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LITERATURE SURVEY</w:t>
      </w:r>
    </w:p>
    <w:p>
      <w:pPr>
        <w:spacing w:after="200"/>
        <w:jc w:val="center"/>
      </w:pPr>
      <w:r>
        <w:rPr>
          <w:rFonts w:ascii="Times New Roman" w:cs="Times New Roman" w:eastAsia="Times New Roman" w:hAnsi="Times New Roman"/>
          <w:b/>
          <w:bCs/>
          <w:sz w:val="24"/>
          <w:szCs w:val="24"/>
        </w:rPr>
        <w:t xml:space="preserve">AI-Powered Water Intelligence and Disaster Resilience Platform</w:t>
      </w:r>
    </w:p>
    <w:p>
      <w:pPr>
        <w:spacing w:after="300"/>
      </w:pPr>
    </w:p>
    <w:p>
      <w:pPr>
        <w:pStyle w:val="Heading1"/>
        <w:spacing w:after="160" w:before="320"/>
      </w:pPr>
      <w:r>
        <w:rPr>
          <w:rFonts w:ascii="Times New Roman" w:cs="Times New Roman" w:eastAsia="Times New Roman" w:hAnsi="Times New Roman"/>
          <w:b/>
          <w:bCs/>
          <w:sz w:val="28"/>
          <w:szCs w:val="28"/>
        </w:rPr>
        <w:t xml:space="preserve">1. Introduction to the Literature Survey</w:t>
      </w:r>
    </w:p>
    <w:p>
      <w:pPr>
        <w:spacing w:after="160" w:line="360"/>
        <w:jc w:val="both"/>
      </w:pPr>
      <w:r>
        <w:rPr>
          <w:rFonts w:ascii="Times New Roman" w:cs="Times New Roman" w:eastAsia="Times New Roman" w:hAnsi="Times New Roman"/>
          <w:sz w:val="24"/>
          <w:szCs w:val="24"/>
        </w:rPr>
        <w:t xml:space="preserve">Water resource management and disaster resilience have become active areas of research over the last decade, driven by climate variability, rapid urbanisation, and the growing availability of environmental and sensor data. A substantial body of literature has explored the use of Machine Learning (ML) for predicting floods and droughts, forecasting water demand, detecting anomalies in water distribution networks, and supporting disaster-related decision-making in smart cities. This chapter reviews existing work relevant to the proposed AI-Powered Water Intelligence and Disaster Resilience Platform, organised under six themes that map directly onto the objectives of the project: flood prediction, drought prediction, water demand forecasting, anomaly detection in water consumption, unsupervised pattern discovery, and AI-based disaster decision-support systems. The review highlights the algorithms most commonly used, the datasets typically employed, the reported performance, and the limitations that motivate the design of the proposed system.</w:t>
      </w:r>
    </w:p>
    <w:p>
      <w:pPr>
        <w:pStyle w:val="Heading1"/>
        <w:spacing w:after="160" w:before="320"/>
      </w:pPr>
      <w:r>
        <w:rPr>
          <w:rFonts w:ascii="Times New Roman" w:cs="Times New Roman" w:eastAsia="Times New Roman" w:hAnsi="Times New Roman"/>
          <w:b/>
          <w:bCs/>
          <w:sz w:val="28"/>
          <w:szCs w:val="28"/>
        </w:rPr>
        <w:t xml:space="preserve">2. Review of Related Work</w:t>
      </w:r>
    </w:p>
    <w:p>
      <w:pPr>
        <w:pStyle w:val="Heading2"/>
        <w:spacing w:after="120" w:before="240"/>
      </w:pPr>
      <w:r>
        <w:rPr>
          <w:rFonts w:ascii="Times New Roman" w:cs="Times New Roman" w:eastAsia="Times New Roman" w:hAnsi="Times New Roman"/>
          <w:b/>
          <w:bCs/>
          <w:sz w:val="24"/>
          <w:szCs w:val="24"/>
        </w:rPr>
        <w:t xml:space="preserve">2.1 Machine Learning for Flood Prediction and Susceptibility Mapping</w:t>
      </w:r>
    </w:p>
    <w:p>
      <w:pPr>
        <w:spacing w:after="160" w:line="360"/>
        <w:jc w:val="both"/>
      </w:pPr>
      <w:r>
        <w:rPr>
          <w:rFonts w:ascii="Times New Roman" w:cs="Times New Roman" w:eastAsia="Times New Roman" w:hAnsi="Times New Roman"/>
          <w:sz w:val="24"/>
          <w:szCs w:val="24"/>
        </w:rPr>
        <w:t xml:space="preserve">Flood prediction has traditionally relied on physically based hydrological models, which are computationally expensive and require detailed local parameters that are often unavailable. Mosavi, Ozturk and Chau (2018) conducted an early and widely cited literature review establishing that machine learning models handle the non-linearity and complexity of flood hazards more efficiently than conventional statistical approaches. Building on this, Esfandiari et al. (2020) applied Random Forest with conditioning factors such as elevation, slope and land cover to generate flood susceptibility maps, demonstrating that ensemble tree-based methods can effectively rank the relative importance of environmental predictors. A more recent review by Hajji et al. (2025) compared Random Forest, logistic regression, ANN and SVM across multiple spatial flood-prediction studies and found that ensemble methods, particularly Random Forest and boosted trees, consistently achieved higher AUC scores than single classifiers. Work on real-time forecasting has combined dynamic clustering with Random Forest to classify flood types before feeding results into physically based models such as the Xin'anjiang model, improving parameter selection for new, unseen flood events. In a related application, Random Forest and AdaBoost were used to predict road-flooding risk during Hurricane Harvey and Tropical Storm Imelda using crowdsourced traffic data, with Random Forest achieving the strongest performance (AUC of 0.86 and 0.79 respectively) and rainfall emerging as the most influential predictor. Collectively, this body of work supports the choice of Random Forest and Gradient Boosting as core algorithms for the flood-risk component of the proposed platform.</w:t>
      </w:r>
    </w:p>
    <w:p>
      <w:pPr>
        <w:pStyle w:val="Heading2"/>
        <w:spacing w:after="120" w:before="240"/>
      </w:pPr>
      <w:r>
        <w:rPr>
          <w:rFonts w:ascii="Times New Roman" w:cs="Times New Roman" w:eastAsia="Times New Roman" w:hAnsi="Times New Roman"/>
          <w:b/>
          <w:bCs/>
          <w:sz w:val="24"/>
          <w:szCs w:val="24"/>
        </w:rPr>
        <w:t xml:space="preserve">2.2 Machine Learning for Drought Prediction and Monitoring</w:t>
      </w:r>
    </w:p>
    <w:p>
      <w:pPr>
        <w:spacing w:after="160" w:line="360"/>
        <w:jc w:val="both"/>
      </w:pPr>
      <w:r>
        <w:rPr>
          <w:rFonts w:ascii="Times New Roman" w:cs="Times New Roman" w:eastAsia="Times New Roman" w:hAnsi="Times New Roman"/>
          <w:sz w:val="24"/>
          <w:szCs w:val="24"/>
        </w:rPr>
        <w:t xml:space="preserve">Drought prediction research has increasingly moved from single statistical indices toward supervised classification of drought severity categories. A 2025 study on the Palmer Drought Severity Index in Ethiopia compared nine classifiers — Logistic Regression, SVM, KNN, Decision Tree, Random Forest, Gradient Boosting, Naive Bayes, AdaBoost and XGBoost — and found Random Forest achieved the best overall accuracy (71.2%) and ROC-AUC (0.90), with soil moisture, precipitation and vapour-pressure deficit identified as the dominant predictive features. A separate study on the Huaihe River Basin applied XGBoost together with SHAP-based explainability to classify hydrological drought into four categories, achieving close to 80% accuracy and confirming the Standardised Precipitation Index as the most influential input. A broader review of ML-based drought monitoring concluded that ensemble and gradient boosting methods (including LightGBM, XGBoost and CatBoost) are particularly well suited to drought forecasting when datasets are moderate in size or when model interpretability is required, though the bias–variance trade-off and class imbalance remain recurring challenges across the literature. These findings directly inform the proposed platform's use of Gradient Boosting and Random Forest for drought and water-scarcity risk classification.</w:t>
      </w:r>
    </w:p>
    <w:p>
      <w:pPr>
        <w:pStyle w:val="Heading2"/>
        <w:spacing w:after="120" w:before="240"/>
      </w:pPr>
      <w:r>
        <w:rPr>
          <w:rFonts w:ascii="Times New Roman" w:cs="Times New Roman" w:eastAsia="Times New Roman" w:hAnsi="Times New Roman"/>
          <w:b/>
          <w:bCs/>
          <w:sz w:val="24"/>
          <w:szCs w:val="24"/>
        </w:rPr>
        <w:t xml:space="preserve">2.3 Water Demand Forecasting</w:t>
      </w:r>
    </w:p>
    <w:p>
      <w:pPr>
        <w:spacing w:after="160" w:line="360"/>
        <w:jc w:val="both"/>
      </w:pPr>
      <w:r>
        <w:rPr>
          <w:rFonts w:ascii="Times New Roman" w:cs="Times New Roman" w:eastAsia="Times New Roman" w:hAnsi="Times New Roman"/>
          <w:sz w:val="24"/>
          <w:szCs w:val="24"/>
        </w:rPr>
        <w:t xml:space="preserve">Accurate forecasting of water demand underpins proactive resource planning. A 2026 review of smart water meter analytics found that Gradient Boosting Decision Trees (implemented via frameworks such as XGBoost) and hybrid AI models generally outperform classical time-series approaches such as ARIMA for short-term demand forecasting, while noting that traditional statistical methods and artificial neural networks together still account for the majority of published approaches. A separate review of machine learning for smart water distribution systems observed that hybrid models — combining, for example, neural networks with statistical decomposition techniques — tend to outperform standalone classical or ML models because water demand is influenced by many uncertain and difficult-to-quantify socio-environmental factors. More recent work integrating IoT sensing with deep learning (a CNN-Attention-LSTM architecture) reported demand-forecasting accuracy above 97% in an industrial trial, though at a substantially higher computational cost than conventional regression-based methods. These studies validate the proposed platform's use of Linear Regression, Decision Trees, Random Forest and Gradient Boosting as an interpretable and computationally lighter alternative suited to the scope of an academic decision-support prototype.</w:t>
      </w:r>
    </w:p>
    <w:p>
      <w:pPr>
        <w:pStyle w:val="Heading2"/>
        <w:spacing w:after="120" w:before="240"/>
      </w:pPr>
      <w:r>
        <w:rPr>
          <w:rFonts w:ascii="Times New Roman" w:cs="Times New Roman" w:eastAsia="Times New Roman" w:hAnsi="Times New Roman"/>
          <w:b/>
          <w:bCs/>
          <w:sz w:val="24"/>
          <w:szCs w:val="24"/>
        </w:rPr>
        <w:t xml:space="preserve">2.4 Anomaly Detection in Water Consumption and Distribution Networks</w:t>
      </w:r>
    </w:p>
    <w:p>
      <w:pPr>
        <w:spacing w:after="160" w:line="360"/>
        <w:jc w:val="both"/>
      </w:pPr>
      <w:r>
        <w:rPr>
          <w:rFonts w:ascii="Times New Roman" w:cs="Times New Roman" w:eastAsia="Times New Roman" w:hAnsi="Times New Roman"/>
          <w:sz w:val="24"/>
          <w:szCs w:val="24"/>
        </w:rPr>
        <w:t xml:space="preserve">Detecting abnormal water usage, leaks and meter faults is an essential component of intelligent water management. A systematic review of thirty-two studies published between 2016 and 2023 on anomaly detection in Smart Water Metering Networks found that classification and ensemble-based ML techniques were consistently effective at identifying leakages, unauthorised usage and meter malfunctions, though most models were validated only on proprietary, utility-specific datasets, limiting reproducibility. Related work applying ensemble regressors — Random Forest, XGBoost and Gradient Boosting — for predictive analytics in resource-intensive facilities combined anomaly detection with real-time monitoring and adaptive thresholding to flag excessive consumption patterns. Other studies have combined rule-based logic with deep-learning demand forecasts to reduce false anomaly alerts by over a third relative to purely statistical thresholds. This literature supports the proposed platform's use of statistical and ensemble-based anomaly detection to flag abnormal water usage alongside its predictive risk models.</w:t>
      </w:r>
    </w:p>
    <w:p>
      <w:pPr>
        <w:pStyle w:val="Heading2"/>
        <w:spacing w:after="120" w:before="240"/>
      </w:pPr>
      <w:r>
        <w:rPr>
          <w:rFonts w:ascii="Times New Roman" w:cs="Times New Roman" w:eastAsia="Times New Roman" w:hAnsi="Times New Roman"/>
          <w:b/>
          <w:bCs/>
          <w:sz w:val="24"/>
          <w:szCs w:val="24"/>
        </w:rPr>
        <w:t xml:space="preserve">2.5 Clustering and Unsupervised Techniques for Water Resource Analysis</w:t>
      </w:r>
    </w:p>
    <w:p>
      <w:pPr>
        <w:spacing w:after="160" w:line="360"/>
        <w:jc w:val="both"/>
      </w:pPr>
      <w:r>
        <w:rPr>
          <w:rFonts w:ascii="Times New Roman" w:cs="Times New Roman" w:eastAsia="Times New Roman" w:hAnsi="Times New Roman"/>
          <w:sz w:val="24"/>
          <w:szCs w:val="24"/>
        </w:rPr>
        <w:t xml:space="preserve">Beyond supervised prediction, unsupervised techniques are widely used to uncover hidden structure in environmental and consumption data. K-Means clustering has been applied in flood-type identification pipelines to group historical flood events by rainfall and flow characteristics before model parameters are selected, improving the adaptability of downstream forecasting models to new events. Similarly, clustering and dimensionality-reduction techniques such as Principal Component Analysis are commonly used in water-quality and consumption-pattern studies to reduce feature redundancy and to segment regions or users by usage behaviour, which supports the identification of disaster-prone or high-risk zones. These unsupervised approaches complement the supervised models reviewed above and justify the inclusion of K-Means, PCA and anomaly-detection techniques in the proposed platform for pattern discovery and disaster-prone region identification.</w:t>
      </w:r>
    </w:p>
    <w:p>
      <w:pPr>
        <w:pStyle w:val="Heading2"/>
        <w:spacing w:after="120" w:before="240"/>
      </w:pPr>
      <w:r>
        <w:rPr>
          <w:rFonts w:ascii="Times New Roman" w:cs="Times New Roman" w:eastAsia="Times New Roman" w:hAnsi="Times New Roman"/>
          <w:b/>
          <w:bCs/>
          <w:sz w:val="24"/>
          <w:szCs w:val="24"/>
        </w:rPr>
        <w:t xml:space="preserve">2.6 AI-Based Disaster Decision Support and Smart City Platforms</w:t>
      </w:r>
    </w:p>
    <w:p>
      <w:pPr>
        <w:spacing w:after="160" w:line="360"/>
        <w:jc w:val="both"/>
      </w:pPr>
      <w:r>
        <w:rPr>
          <w:rFonts w:ascii="Times New Roman" w:cs="Times New Roman" w:eastAsia="Times New Roman" w:hAnsi="Times New Roman"/>
          <w:sz w:val="24"/>
          <w:szCs w:val="24"/>
        </w:rPr>
        <w:t xml:space="preserve">A growing stream of research examines how AI and ML can support disaster-related decision-making within smart city frameworks. Elvas et al. (2021) proposed an architecture in which machine-learning-based pattern recognition on IoT and social-media data enables early hazard detection and multi-hazard risk prioritisation, supported by an API layer for cross-platform integration, though the framework was not validated at scale. A conceptual intelligent decision-support system for South Korean smart cities combined Bayesian networks, fuzzy logic and machine learning to help authorities respond faster to wildfires and temperature extremes, extending disaster-support systems beyond the more commonly studied hazards of flood and earthquake. A broader review of Digital Twin smart cities for disaster risk management concluded that AI-based forecasting systems, including neural-network-based flood and water-level detection, consistently outperform conventional statistical forecasting in both accuracy and warning lead time, while noting that full integration of AI components across heterogeneous city systems remains largely at a conceptual stage. These findings reinforce the motivation for the proposed platform's interactive dashboard, which is intended to translate model predictions into actionable, decision-ready risk assessments.</w:t>
      </w:r>
    </w:p>
    <w:p>
      <w:pPr>
        <w:pStyle w:val="Heading1"/>
        <w:spacing w:after="160" w:before="320"/>
      </w:pPr>
      <w:r>
        <w:rPr>
          <w:rFonts w:ascii="Times New Roman" w:cs="Times New Roman" w:eastAsia="Times New Roman" w:hAnsi="Times New Roman"/>
          <w:b/>
          <w:bCs/>
          <w:sz w:val="28"/>
          <w:szCs w:val="28"/>
        </w:rPr>
        <w:t xml:space="preserve">3. Summary of Literature Survey</w:t>
      </w:r>
    </w:p>
    <w:p>
      <w:pPr>
        <w:spacing w:after="160" w:line="360"/>
        <w:jc w:val="both"/>
      </w:pPr>
      <w:r>
        <w:rPr>
          <w:rFonts w:ascii="Times New Roman" w:cs="Times New Roman" w:eastAsia="Times New Roman" w:hAnsi="Times New Roman"/>
          <w:sz w:val="24"/>
          <w:szCs w:val="24"/>
        </w:rPr>
        <w:t xml:space="preserve">Table 1 consolidates the studies reviewed above, summarising the focus area, techniques applied, key findings, and limitations reported by each. This comparative view highlights the consistent strength of ensemble tree-based methods (Random Forest and Gradient Boosting variants) across flood, drought and demand-forecasting tasks, and the recurring gap between isolated predictive models and integrated, decision-ready platforms.</w:t>
      </w:r>
    </w:p>
    <w:p>
      <w:pPr>
        <w:spacing w:after="120" w:before="100"/>
      </w:pPr>
      <w:r>
        <w:rPr>
          <w:rFonts w:ascii="Times New Roman" w:cs="Times New Roman" w:eastAsia="Times New Roman" w:hAnsi="Times New Roman"/>
          <w:b/>
          <w:bCs/>
          <w:i/>
          <w:iCs/>
          <w:sz w:val="22"/>
          <w:szCs w:val="22"/>
        </w:rPr>
        <w:t xml:space="preserve">Table 1: Summary of Reviewed Literature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550"/>
        <w:gridCol w:w="1650"/>
        <w:gridCol w:w="2450"/>
        <w:gridCol w:w="1700"/>
      </w:tblGrid>
      <w:tr>
        <w:trPr>
          <w:tblHeader/>
        </w:trPr>
        <w:tc>
          <w:tcPr>
            <w:tcW w:type="dxa" w:w="50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S.No</w:t>
            </w:r>
          </w:p>
        </w:tc>
        <w:tc>
          <w:tcPr>
            <w:tcW w:type="dxa" w:w="150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Author(s) / Year</w:t>
            </w:r>
          </w:p>
        </w:tc>
        <w:tc>
          <w:tcPr>
            <w:tcW w:type="dxa" w:w="155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Focus Area</w:t>
            </w:r>
          </w:p>
        </w:tc>
        <w:tc>
          <w:tcPr>
            <w:tcW w:type="dxa" w:w="165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Technique(s) Used</w:t>
            </w:r>
          </w:p>
        </w:tc>
        <w:tc>
          <w:tcPr>
            <w:tcW w:type="dxa" w:w="245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Key Findings / Observations</w:t>
            </w:r>
          </w:p>
        </w:tc>
        <w:tc>
          <w:tcPr>
            <w:tcW w:type="dxa" w:w="170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Limitations</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Mosavi, Ozturk &amp; Chau (2018)</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Flood prediction, systematic literature review</w:t>
            </w:r>
          </w:p>
        </w:tc>
        <w:tc>
          <w:tcPr>
            <w:tcW w:type="dxa" w:w="16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ML models (RF, SVM, ANN, hybrid models) survey</w:t>
            </w:r>
          </w:p>
        </w:tc>
        <w:tc>
          <w:tcPr>
            <w:tcW w:type="dxa" w:w="24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Consolidated evidence that ML models outperform traditional hydrological models in handling non-linear flood behaviour and offer better generalisation across catchments.</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Reviewed studies rely heavily on region-specific data; direct transfer of models across basins remains difficult.</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2</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Esfandiari et al. (2020)</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Flood susceptibility mapping</w:t>
            </w:r>
          </w:p>
        </w:tc>
        <w:tc>
          <w:tcPr>
            <w:tcW w:type="dxa" w:w="16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Random Forest with conditioning factors (elevation, slope, land use)</w:t>
            </w:r>
          </w:p>
        </w:tc>
        <w:tc>
          <w:tcPr>
            <w:tcW w:type="dxa" w:w="24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Random Forest identified key geo-environmental conditioning factors and produced high-accuracy flood susceptibility maps for a Canadian case study.</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Performance is sensitive to the quality and resolution of terrain/land-use datasets.</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3</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Hajji et al. (2025)</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Spatial flood prediction, literature review</w:t>
            </w:r>
          </w:p>
        </w:tc>
        <w:tc>
          <w:tcPr>
            <w:tcW w:type="dxa" w:w="16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Comparative review of RF, logistic regression, ANN, SVM for hazard mapping</w:t>
            </w:r>
          </w:p>
        </w:tc>
        <w:tc>
          <w:tcPr>
            <w:tcW w:type="dxa" w:w="24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Found ensemble tree-based methods (RF, boosted trees) consistently achieve higher AUC scores than single classifiers for flood-prone zone identification.</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Most studies are limited to small geographic extents, restricting large-scale applicability.</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4</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Zhang et al. (2023) — flood forecasting via dynamic clustering</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Real-time flood forecasting</w:t>
            </w:r>
          </w:p>
        </w:tc>
        <w:tc>
          <w:tcPr>
            <w:tcW w:type="dxa" w:w="16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Dynamic clustering + Random Forest + Xin'anjiang hydrological model</w:t>
            </w:r>
          </w:p>
        </w:tc>
        <w:tc>
          <w:tcPr>
            <w:tcW w:type="dxa" w:w="24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Combining clustering with RF enabled identification of flood types and adaptive parameter selection, improving real-time forecast reliability.</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Hybrid pipeline increases computational and implementation complexity.</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5</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Wu et al. (2021) — road flooding, Harris County</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Road inundation risk during storms</w:t>
            </w:r>
          </w:p>
        </w:tc>
        <w:tc>
          <w:tcPr>
            <w:tcW w:type="dxa" w:w="16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Random Forest and AdaBoost with crowdsourced traffic data</w:t>
            </w:r>
          </w:p>
        </w:tc>
        <w:tc>
          <w:tcPr>
            <w:tcW w:type="dxa" w:w="24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Random Forest achieved the highest AUC (up to 0.86); rainfall and topographic features were identified as the most influential predictors.</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Dependence on crowdsourced data introduces reporting bias and uneven spatial coverage.</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6</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PLOS One study, Ethiopia (2025)</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Drought classification using PDSI</w:t>
            </w:r>
          </w:p>
        </w:tc>
        <w:tc>
          <w:tcPr>
            <w:tcW w:type="dxa" w:w="16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Logistic Regression, SVM, KNN, Decision Tree, Random Forest, Gradient Boosting, XGBoost</w:t>
            </w:r>
          </w:p>
        </w:tc>
        <w:tc>
          <w:tcPr>
            <w:tcW w:type="dxa" w:w="24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Random Forest gave the best accuracy (71.2%) and ROC-AUC (0.90); soil moisture, precipitation and vapour-pressure deficit were the most influential features.</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Moderate classification accuracy indicates scope for improved feature engineering and data balancing.</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7</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NHESS, Huaihe River Basin study (2025)</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Hydrological drought category prediction</w:t>
            </w:r>
          </w:p>
        </w:tc>
        <w:tc>
          <w:tcPr>
            <w:tcW w:type="dxa" w:w="16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XGBoost with SHAP-based feature explanation</w:t>
            </w:r>
          </w:p>
        </w:tc>
        <w:tc>
          <w:tcPr>
            <w:tcW w:type="dxa" w:w="24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Achieved about 80% classification accuracy; Standardised Precipitation Index (SPI) was identified as the most influential predictor of drought severity.</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Model performance decreases for longer-range (seasonal) forecasts compared to one-month predictions.</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8</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ScienceDirect review on drought ML models (2025)</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Drought monitoring and forecasting, review</w:t>
            </w:r>
          </w:p>
        </w:tc>
        <w:tc>
          <w:tcPr>
            <w:tcW w:type="dxa" w:w="16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Comparative review of regression, RF, SVM, gradient boosting</w:t>
            </w:r>
          </w:p>
        </w:tc>
        <w:tc>
          <w:tcPr>
            <w:tcW w:type="dxa" w:w="24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Concluded that ensemble and boosting methods perform well on limited data and offer a good balance between interpretability and accuracy.</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Bias–variance trade-off and small/imbalanced datasets remain a persistent challenge across studies.</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Smart Water Meter Analytics review (2026)</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Water consumption forecasting &amp; leak detection</w:t>
            </w:r>
          </w:p>
        </w:tc>
        <w:tc>
          <w:tcPr>
            <w:tcW w:type="dxa" w:w="16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Statistical anomaly detection, GBDT (XGBoost), time-series methods</w:t>
            </w:r>
          </w:p>
        </w:tc>
        <w:tc>
          <w:tcPr>
            <w:tcW w:type="dxa" w:w="24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Reported that gradient boosting and hybrid AI models outperform classical time-series techniques for short-term water demand forecasting and persistent-leak identification.</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Wide diversity of forecasting methods in literature makes standardised comparison difficult.</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10</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ScienceDirect SWMN review (2024)</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Anomaly detection in Smart Water Metering Networks</w:t>
            </w:r>
          </w:p>
        </w:tc>
        <w:tc>
          <w:tcPr>
            <w:tcW w:type="dxa" w:w="16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Systematic review of 32 ML-based studies (2016–2023)</w:t>
            </w:r>
          </w:p>
        </w:tc>
        <w:tc>
          <w:tcPr>
            <w:tcW w:type="dxa" w:w="24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Identified that ML techniques (classification, clustering, ensemble methods) are effective for detecting leakages, meter faults and unauthorised usage in smart water networks.</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Most surveyed models are tested on proprietary datasets, limiting reproducibility and benchmarking.</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11</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ScienceDirect, IoT and gamification (2025)</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Real-time water monitoring and demand forecasting</w:t>
            </w:r>
          </w:p>
        </w:tc>
        <w:tc>
          <w:tcPr>
            <w:tcW w:type="dxa" w:w="16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CNN-Attention-LSTM demand model with hybrid rule-based ML anomaly detection</w:t>
            </w:r>
          </w:p>
        </w:tc>
        <w:tc>
          <w:tcPr>
            <w:tcW w:type="dxa" w:w="24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proposed system achieved high forecasting accuracy (~97%) and reduced false anomaly alerts by combining deep learning forecasts with rule-based checks.</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High model complexity requires substantial computational resources, limiting deployment on low-cost edge devices.</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12</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Elvas et al. (2021)</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Disaster management in smart cities</w:t>
            </w:r>
          </w:p>
        </w:tc>
        <w:tc>
          <w:tcPr>
            <w:tcW w:type="dxa" w:w="16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ML-based pattern recognition, multi-hazard risk analysis, API-based architecture</w:t>
            </w:r>
          </w:p>
        </w:tc>
        <w:tc>
          <w:tcPr>
            <w:tcW w:type="dxa" w:w="24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Proposed an architecture where machine learning-driven pattern recognition on IoT and social-media data supports early hazard detection and multi-hazard risk prioritisation.</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Conceptual framework is not validated with a large-scale real-world deployment or live dataset.</w:t>
            </w:r>
          </w:p>
        </w:tc>
      </w:tr>
      <w:tr>
        <w:tc>
          <w:tcPr>
            <w:tcW w:type="dxa" w:w="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13</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MDPI, Digital Twin Smart Cities review (2023)</w:t>
            </w:r>
          </w:p>
        </w:tc>
        <w:tc>
          <w:tcPr>
            <w:tcW w:type="dxa" w:w="15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AI/ML for disaster risk management, review</w:t>
            </w:r>
          </w:p>
        </w:tc>
        <w:tc>
          <w:tcPr>
            <w:tcW w:type="dxa" w:w="16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Review of neural network and AI-based flood/earthquake detection systems</w:t>
            </w:r>
          </w:p>
        </w:tc>
        <w:tc>
          <w:tcPr>
            <w:tcW w:type="dxa" w:w="245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Concluded that AI-based flood and disaster forecasting systems consistently outperform conventional statistical forecasting in accuracy and lead time.</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Integration of Digital Twin and AI components across heterogeneous city systems remains at an early, largely conceptual stage.</w:t>
            </w:r>
          </w:p>
        </w:tc>
      </w:tr>
    </w:tbl>
    <w:p>
      <w:pPr>
        <w:spacing w:after="200" w:before="200"/>
      </w:pPr>
    </w:p>
    <w:p>
      <w:pPr>
        <w:pStyle w:val="Heading1"/>
        <w:spacing w:after="160" w:before="320"/>
      </w:pPr>
      <w:r>
        <w:rPr>
          <w:rFonts w:ascii="Times New Roman" w:cs="Times New Roman" w:eastAsia="Times New Roman" w:hAnsi="Times New Roman"/>
          <w:b/>
          <w:bCs/>
          <w:sz w:val="28"/>
          <w:szCs w:val="28"/>
        </w:rPr>
        <w:t xml:space="preserve">4. Research Gaps Identified</w:t>
      </w:r>
    </w:p>
    <w:p>
      <w:pPr>
        <w:pStyle w:val="ListParagraph"/>
        <w:numPr>
          <w:ilvl w:val="0"/>
          <w:numId w:val="2"/>
        </w:numPr>
        <w:spacing w:after="100" w:line="300"/>
      </w:pPr>
      <w:r>
        <w:rPr>
          <w:rFonts w:ascii="Times New Roman" w:cs="Times New Roman" w:eastAsia="Times New Roman" w:hAnsi="Times New Roman"/>
          <w:sz w:val="24"/>
          <w:szCs w:val="24"/>
        </w:rPr>
        <w:t xml:space="preserve">Most existing studies address a single hazard in isolation (flood, drought, or demand forecasting) rather than integrating multiple water-related risks into one unified platform.</w:t>
      </w:r>
    </w:p>
    <w:p>
      <w:pPr>
        <w:pStyle w:val="ListParagraph"/>
        <w:numPr>
          <w:ilvl w:val="0"/>
          <w:numId w:val="2"/>
        </w:numPr>
        <w:spacing w:after="100" w:line="300"/>
      </w:pPr>
      <w:r>
        <w:rPr>
          <w:rFonts w:ascii="Times New Roman" w:cs="Times New Roman" w:eastAsia="Times New Roman" w:hAnsi="Times New Roman"/>
          <w:sz w:val="24"/>
          <w:szCs w:val="24"/>
        </w:rPr>
        <w:t xml:space="preserve">A majority of reviewed models are validated on region-specific or proprietary datasets, which limits their generalisability and reproducibility across different geographies.</w:t>
      </w:r>
    </w:p>
    <w:p>
      <w:pPr>
        <w:pStyle w:val="ListParagraph"/>
        <w:numPr>
          <w:ilvl w:val="0"/>
          <w:numId w:val="2"/>
        </w:numPr>
        <w:spacing w:after="100" w:line="300"/>
      </w:pPr>
      <w:r>
        <w:rPr>
          <w:rFonts w:ascii="Times New Roman" w:cs="Times New Roman" w:eastAsia="Times New Roman" w:hAnsi="Times New Roman"/>
          <w:sz w:val="24"/>
          <w:szCs w:val="24"/>
        </w:rPr>
        <w:t xml:space="preserve">Deep-learning approaches (LSTM, CNN-based hybrids) reported in the literature often achieve marginally higher accuracy but demand significantly greater computational resources and larger labelled datasets, making them less suited to lightweight, rapidly deployable decision-support tools.</w:t>
      </w:r>
    </w:p>
    <w:p>
      <w:pPr>
        <w:pStyle w:val="ListParagraph"/>
        <w:numPr>
          <w:ilvl w:val="0"/>
          <w:numId w:val="2"/>
        </w:numPr>
        <w:spacing w:after="100" w:line="300"/>
      </w:pPr>
      <w:r>
        <w:rPr>
          <w:rFonts w:ascii="Times New Roman" w:cs="Times New Roman" w:eastAsia="Times New Roman" w:hAnsi="Times New Roman"/>
          <w:sz w:val="24"/>
          <w:szCs w:val="24"/>
        </w:rPr>
        <w:t xml:space="preserve">Few studies combine supervised prediction with unsupervised pattern discovery (clustering, PCA, anomaly detection) within a single end-to-end ML lifecycle covering preprocessing, training, evaluation, deployment and monitoring.</w:t>
      </w:r>
    </w:p>
    <w:p>
      <w:pPr>
        <w:pStyle w:val="ListParagraph"/>
        <w:numPr>
          <w:ilvl w:val="0"/>
          <w:numId w:val="2"/>
        </w:numPr>
        <w:spacing w:after="100" w:line="300"/>
      </w:pPr>
      <w:r>
        <w:rPr>
          <w:rFonts w:ascii="Times New Roman" w:cs="Times New Roman" w:eastAsia="Times New Roman" w:hAnsi="Times New Roman"/>
          <w:sz w:val="24"/>
          <w:szCs w:val="24"/>
        </w:rPr>
        <w:t xml:space="preserve">Limited attention has been given to translating model outputs into an interactive, decision-maker-facing dashboard; most reviewed work stops at model evaluation rather than actionable deployment.</w:t>
      </w:r>
    </w:p>
    <w:p>
      <w:pPr>
        <w:spacing w:after="160" w:line="360"/>
        <w:jc w:val="both"/>
      </w:pPr>
      <w:r>
        <w:rPr>
          <w:rFonts w:ascii="Times New Roman" w:cs="Times New Roman" w:eastAsia="Times New Roman" w:hAnsi="Times New Roman"/>
          <w:sz w:val="24"/>
          <w:szCs w:val="24"/>
        </w:rPr>
        <w:t xml:space="preserve">These gaps directly motivate the proposed AI-Powered Water Intelligence and Disaster Resilience Platform, which aims to integrate supervised learning (Linear Regression, Logistic Regression, Decision Trees, Random Forest, Gradient Boosting), unsupervised techniques (K-Means, PCA, anomaly detection) and an interactive dashboard within a single, reproducible Machine Learning lifecycle built on publicly available Kaggle and government open-data sources.</w:t>
      </w:r>
    </w:p>
    <w:p>
      <w:pPr>
        <w:pStyle w:val="Heading1"/>
        <w:spacing w:after="160" w:before="320"/>
      </w:pPr>
      <w:r>
        <w:rPr>
          <w:rFonts w:ascii="Times New Roman" w:cs="Times New Roman" w:eastAsia="Times New Roman" w:hAnsi="Times New Roman"/>
          <w:b/>
          <w:bCs/>
          <w:sz w:val="28"/>
          <w:szCs w:val="28"/>
        </w:rPr>
        <w:t xml:space="preserve">References</w:t>
      </w:r>
    </w:p>
    <w:p>
      <w:pPr>
        <w:spacing w:after="120" w:line="300"/>
        <w:ind w:left="431" w:hanging="431"/>
      </w:pPr>
      <w:r>
        <w:rPr>
          <w:rFonts w:ascii="Times New Roman" w:cs="Times New Roman" w:eastAsia="Times New Roman" w:hAnsi="Times New Roman"/>
          <w:sz w:val="22"/>
          <w:szCs w:val="22"/>
        </w:rPr>
        <w:t xml:space="preserve">[1] Mosavi, A., Ozturk, P., &amp; Chau, K. (2018). Flood prediction using machine learning models: Literature review. Water, 10(11), 1536.</w:t>
      </w:r>
    </w:p>
    <w:p>
      <w:pPr>
        <w:spacing w:after="120" w:line="300"/>
        <w:ind w:left="431" w:hanging="431"/>
      </w:pPr>
      <w:r>
        <w:rPr>
          <w:rFonts w:ascii="Times New Roman" w:cs="Times New Roman" w:eastAsia="Times New Roman" w:hAnsi="Times New Roman"/>
          <w:sz w:val="22"/>
          <w:szCs w:val="22"/>
        </w:rPr>
        <w:t xml:space="preserve">[2] Esfandiari, M., Jabari, S., McGrath, H., &amp; Coleman, D. (2020). Flood mapping using random forest and identifying the essential conditioning factors: A case study in Fredericton, New Brunswick, Canada. ISPRS Annals of Photogrammetry, Remote Sensing and Spatial Information Sciences, V-3-2020, 609–615.</w:t>
      </w:r>
    </w:p>
    <w:p>
      <w:pPr>
        <w:spacing w:after="120" w:line="300"/>
        <w:ind w:left="431" w:hanging="431"/>
      </w:pPr>
      <w:r>
        <w:rPr>
          <w:rFonts w:ascii="Times New Roman" w:cs="Times New Roman" w:eastAsia="Times New Roman" w:hAnsi="Times New Roman"/>
          <w:sz w:val="22"/>
          <w:szCs w:val="22"/>
        </w:rPr>
        <w:t xml:space="preserve">[3] Hajji, S., Boudhar, A., Elaloui, A., et al. (2025). A review of the literature on spatial prediction of floods using machine learning models. Journal of Coastal Conservation, 29, 85.</w:t>
      </w:r>
    </w:p>
    <w:p>
      <w:pPr>
        <w:spacing w:after="120" w:line="300"/>
        <w:ind w:left="431" w:hanging="431"/>
      </w:pPr>
      <w:r>
        <w:rPr>
          <w:rFonts w:ascii="Times New Roman" w:cs="Times New Roman" w:eastAsia="Times New Roman" w:hAnsi="Times New Roman"/>
          <w:sz w:val="22"/>
          <w:szCs w:val="22"/>
        </w:rPr>
        <w:t xml:space="preserve">[4] Zhang, et al. (2023). Flood forecasting based on machine learning pattern recognition and dynamic migration of parameters. Journal of Hydrology: Regional Studies (ScienceDirect).</w:t>
      </w:r>
    </w:p>
    <w:p>
      <w:pPr>
        <w:spacing w:after="120" w:line="300"/>
        <w:ind w:left="431" w:hanging="431"/>
      </w:pPr>
      <w:r>
        <w:rPr>
          <w:rFonts w:ascii="Times New Roman" w:cs="Times New Roman" w:eastAsia="Times New Roman" w:hAnsi="Times New Roman"/>
          <w:sz w:val="22"/>
          <w:szCs w:val="22"/>
        </w:rPr>
        <w:t xml:space="preserve">[5] Wu, X., et al. (2021). Predicting road flooding risk with machine learning approaches using crowdsourced reports and fine-grained traffic data. arXiv:2108.13265.</w:t>
      </w:r>
    </w:p>
    <w:p>
      <w:pPr>
        <w:spacing w:after="120" w:line="300"/>
        <w:ind w:left="431" w:hanging="431"/>
      </w:pPr>
      <w:r>
        <w:rPr>
          <w:rFonts w:ascii="Times New Roman" w:cs="Times New Roman" w:eastAsia="Times New Roman" w:hAnsi="Times New Roman"/>
          <w:sz w:val="22"/>
          <w:szCs w:val="22"/>
        </w:rPr>
        <w:t xml:space="preserve">[6] Machine learning-based drought prediction using Palmer Drought Severity Index and TerraClimate data in Ethiopia (2025). PLOS ONE.</w:t>
      </w:r>
    </w:p>
    <w:p>
      <w:pPr>
        <w:spacing w:after="120" w:line="300"/>
        <w:ind w:left="431" w:hanging="431"/>
      </w:pPr>
      <w:r>
        <w:rPr>
          <w:rFonts w:ascii="Times New Roman" w:cs="Times New Roman" w:eastAsia="Times New Roman" w:hAnsi="Times New Roman"/>
          <w:sz w:val="22"/>
          <w:szCs w:val="22"/>
        </w:rPr>
        <w:t xml:space="preserve">[7] Hydrological drought prediction and its influencing features analysis based on a machine learning model (2025). Natural Hazards and Earth System Sciences (NHESS), 25, 4299.</w:t>
      </w:r>
    </w:p>
    <w:p>
      <w:pPr>
        <w:spacing w:after="120" w:line="300"/>
        <w:ind w:left="431" w:hanging="431"/>
      </w:pPr>
      <w:r>
        <w:rPr>
          <w:rFonts w:ascii="Times New Roman" w:cs="Times New Roman" w:eastAsia="Times New Roman" w:hAnsi="Times New Roman"/>
          <w:sz w:val="22"/>
          <w:szCs w:val="22"/>
        </w:rPr>
        <w:t xml:space="preserve">[8] A review on machine learning models for drought monitoring and forecasting (2025). ScienceDirect.</w:t>
      </w:r>
    </w:p>
    <w:p>
      <w:pPr>
        <w:spacing w:after="120" w:line="300"/>
        <w:ind w:left="431" w:hanging="431"/>
      </w:pPr>
      <w:r>
        <w:rPr>
          <w:rFonts w:ascii="Times New Roman" w:cs="Times New Roman" w:eastAsia="Times New Roman" w:hAnsi="Times New Roman"/>
          <w:sz w:val="22"/>
          <w:szCs w:val="22"/>
        </w:rPr>
        <w:t xml:space="preserve">[9] Smart Water Meter Analytics: Consumption Pattern Mining, Leak Detection, and Short-Term Forecasting (2026). ResearchGate preprint.</w:t>
      </w:r>
    </w:p>
    <w:p>
      <w:pPr>
        <w:spacing w:after="120" w:line="300"/>
        <w:ind w:left="431" w:hanging="431"/>
      </w:pPr>
      <w:r>
        <w:rPr>
          <w:rFonts w:ascii="Times New Roman" w:cs="Times New Roman" w:eastAsia="Times New Roman" w:hAnsi="Times New Roman"/>
          <w:sz w:val="22"/>
          <w:szCs w:val="22"/>
        </w:rPr>
        <w:t xml:space="preserve">[10] Machine learning applications for anomaly detection in Smart Water Metering Networks: A systematic review (2024). ScienceDirect.</w:t>
      </w:r>
    </w:p>
    <w:p>
      <w:pPr>
        <w:spacing w:after="120" w:line="300"/>
        <w:ind w:left="431" w:hanging="431"/>
      </w:pPr>
      <w:r>
        <w:rPr>
          <w:rFonts w:ascii="Times New Roman" w:cs="Times New Roman" w:eastAsia="Times New Roman" w:hAnsi="Times New Roman"/>
          <w:sz w:val="22"/>
          <w:szCs w:val="22"/>
        </w:rPr>
        <w:t xml:space="preserve">[11] AI-driven IoT and gamification for smart water management: Real-time monitoring and predictive analytics (2025). ScienceDirect.</w:t>
      </w:r>
    </w:p>
    <w:p>
      <w:pPr>
        <w:spacing w:after="120" w:line="300"/>
        <w:ind w:left="431" w:hanging="431"/>
      </w:pPr>
      <w:r>
        <w:rPr>
          <w:rFonts w:ascii="Times New Roman" w:cs="Times New Roman" w:eastAsia="Times New Roman" w:hAnsi="Times New Roman"/>
          <w:sz w:val="22"/>
          <w:szCs w:val="22"/>
        </w:rPr>
        <w:t xml:space="preserve">[12] Elvas, L. B., Mataloto, B. M., Martins, A. L., &amp; Ferreira, J. C. (2021). Disaster management in smart cities. Smart Cities, 4(2), 819–839.</w:t>
      </w:r>
    </w:p>
    <w:p>
      <w:pPr>
        <w:spacing w:after="120" w:line="300"/>
        <w:ind w:left="431" w:hanging="431"/>
      </w:pPr>
      <w:r>
        <w:rPr>
          <w:rFonts w:ascii="Times New Roman" w:cs="Times New Roman" w:eastAsia="Times New Roman" w:hAnsi="Times New Roman"/>
          <w:sz w:val="22"/>
          <w:szCs w:val="22"/>
        </w:rPr>
        <w:t xml:space="preserve">[13] Digital Twin Smart Cities for Disaster Risk Management: A Review of Evolving Concepts (2023). Sustainability, MDPI.</w:t>
      </w:r>
    </w:p>
    <w:p>
      <w:pPr>
        <w:spacing w:after="120" w:line="300"/>
        <w:ind w:left="431" w:hanging="431"/>
      </w:pPr>
      <w:r>
        <w:rPr>
          <w:rFonts w:ascii="Times New Roman" w:cs="Times New Roman" w:eastAsia="Times New Roman" w:hAnsi="Times New Roman"/>
          <w:sz w:val="22"/>
          <w:szCs w:val="22"/>
        </w:rPr>
        <w:t xml:space="preserve">[14] Conceptual Framework of an Intelligent Decision Support System for Smart City Disaster Management (2020). Applied Sciences, 10(2), 666.</w:t>
      </w:r>
    </w:p>
    <w:p>
      <w:pPr>
        <w:spacing w:after="120" w:line="300"/>
        <w:ind w:left="431" w:hanging="431"/>
      </w:pPr>
      <w:r>
        <w:rPr>
          <w:rFonts w:ascii="Times New Roman" w:cs="Times New Roman" w:eastAsia="Times New Roman" w:hAnsi="Times New Roman"/>
          <w:sz w:val="22"/>
          <w:szCs w:val="22"/>
        </w:rPr>
        <w:t xml:space="preserve">[15] Machine learning for smart water distribution systems: exploring applications, challenges and future perspectives (2025). ResearchGate.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2026-08-17T17:33:57.372Z</dcterms:created>
  <dcterms:modified xsi:type="dcterms:W3CDTF">2026-08-17T17:33:57.373Z</dcterms:modified>
</cp:coreProperties>
</file>

<file path=docProps/custom.xml><?xml version="1.0" encoding="utf-8"?>
<Properties xmlns="http://schemas.openxmlformats.org/officeDocument/2006/custom-properties" xmlns:vt="http://schemas.openxmlformats.org/officeDocument/2006/docPropsVTypes"/>
</file>