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PERSONAL WEALTH &amp; PORTFOLIO STATEMENT</w:t>
      </w:r>
    </w:p>
    <w:p>
      <w:r>
        <w:rPr>
          <w:rFonts w:ascii="Arial" w:hAnsi="Arial"/>
          <w:b/>
          <w:color w:val="4F46E5"/>
          <w:sz w:val="20"/>
        </w:rPr>
        <w:t>Verified Financial Statement for Automatic Ingestion into Halo Wealth Engine</w:t>
      </w:r>
    </w:p>
    <w:p>
      <w:r>
        <w:t>Client Name: Advait Kubal | PAN: ABCDE1234F | Annual Salary Credit (CTC): ₹42,00,000</w:t>
      </w:r>
    </w:p>
    <w:p>
      <w:pPr>
        <w:pStyle w:val="Heading1"/>
      </w:pPr>
      <w:r>
        <w:t>1. Liquid &amp; Investment Assets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Asset Class</w:t>
            </w:r>
          </w:p>
        </w:tc>
        <w:tc>
          <w:tcPr>
            <w:tcW w:type="dxa" w:w="2484"/>
          </w:tcPr>
          <w:p>
            <w:r>
              <w:t>Description / Scheme</w:t>
            </w:r>
          </w:p>
        </w:tc>
        <w:tc>
          <w:tcPr>
            <w:tcW w:type="dxa" w:w="2484"/>
          </w:tcPr>
          <w:p>
            <w:r>
              <w:t>Yield / CAGR</w:t>
            </w:r>
          </w:p>
        </w:tc>
        <w:tc>
          <w:tcPr>
            <w:tcW w:type="dxa" w:w="2484"/>
          </w:tcPr>
          <w:p>
            <w:r>
              <w:t>Current Value</w:t>
            </w:r>
          </w:p>
        </w:tc>
      </w:tr>
      <w:tr>
        <w:tc>
          <w:tcPr>
            <w:tcW w:type="dxa" w:w="2484"/>
          </w:tcPr>
          <w:p>
            <w:r>
              <w:t>Mutual Funds</w:t>
            </w:r>
          </w:p>
        </w:tc>
        <w:tc>
          <w:tcPr>
            <w:tcW w:type="dxa" w:w="2484"/>
          </w:tcPr>
          <w:p>
            <w:r>
              <w:t>Parag Parikh Flexi Cap &amp; Nippon Small Cap</w:t>
            </w:r>
          </w:p>
        </w:tc>
        <w:tc>
          <w:tcPr>
            <w:tcW w:type="dxa" w:w="2484"/>
          </w:tcPr>
          <w:p>
            <w:r>
              <w:t>14.5%</w:t>
            </w:r>
          </w:p>
        </w:tc>
        <w:tc>
          <w:tcPr>
            <w:tcW w:type="dxa" w:w="2484"/>
          </w:tcPr>
          <w:p>
            <w:r>
              <w:t>₹95,00,000</w:t>
            </w:r>
          </w:p>
        </w:tc>
      </w:tr>
      <w:tr>
        <w:tc>
          <w:tcPr>
            <w:tcW w:type="dxa" w:w="2484"/>
          </w:tcPr>
          <w:p>
            <w:r>
              <w:t>Equity</w:t>
            </w:r>
          </w:p>
        </w:tc>
        <w:tc>
          <w:tcPr>
            <w:tcW w:type="dxa" w:w="2484"/>
          </w:tcPr>
          <w:p>
            <w:r>
              <w:t>Direct Equities via Zerodha Demat</w:t>
            </w:r>
          </w:p>
        </w:tc>
        <w:tc>
          <w:tcPr>
            <w:tcW w:type="dxa" w:w="2484"/>
          </w:tcPr>
          <w:p>
            <w:r>
              <w:t>13.2%</w:t>
            </w:r>
          </w:p>
        </w:tc>
        <w:tc>
          <w:tcPr>
            <w:tcW w:type="dxa" w:w="2484"/>
          </w:tcPr>
          <w:p>
            <w:r>
              <w:t>₹75,00,000</w:t>
            </w:r>
          </w:p>
        </w:tc>
      </w:tr>
      <w:tr>
        <w:tc>
          <w:tcPr>
            <w:tcW w:type="dxa" w:w="2484"/>
          </w:tcPr>
          <w:p>
            <w:r>
              <w:t>Fixed Deposit</w:t>
            </w:r>
          </w:p>
        </w:tc>
        <w:tc>
          <w:tcPr>
            <w:tcW w:type="dxa" w:w="2484"/>
          </w:tcPr>
          <w:p>
            <w:r>
              <w:t>Cumulative Bank Fixed Deposit</w:t>
            </w:r>
          </w:p>
        </w:tc>
        <w:tc>
          <w:tcPr>
            <w:tcW w:type="dxa" w:w="2484"/>
          </w:tcPr>
          <w:p>
            <w:r>
              <w:t>7.25%</w:t>
            </w:r>
          </w:p>
        </w:tc>
        <w:tc>
          <w:tcPr>
            <w:tcW w:type="dxa" w:w="2484"/>
          </w:tcPr>
          <w:p>
            <w:r>
              <w:t>₹30,00,000</w:t>
            </w:r>
          </w:p>
        </w:tc>
      </w:tr>
      <w:tr>
        <w:tc>
          <w:tcPr>
            <w:tcW w:type="dxa" w:w="2484"/>
          </w:tcPr>
          <w:p>
            <w:r>
              <w:t>Gold</w:t>
            </w:r>
          </w:p>
        </w:tc>
        <w:tc>
          <w:tcPr>
            <w:tcW w:type="dxa" w:w="2484"/>
          </w:tcPr>
          <w:p>
            <w:r>
              <w:t>Sovereign Gold Bonds (SGB)</w:t>
            </w:r>
          </w:p>
        </w:tc>
        <w:tc>
          <w:tcPr>
            <w:tcW w:type="dxa" w:w="2484"/>
          </w:tcPr>
          <w:p>
            <w:r>
              <w:t>8.5%</w:t>
            </w:r>
          </w:p>
        </w:tc>
        <w:tc>
          <w:tcPr>
            <w:tcW w:type="dxa" w:w="2484"/>
          </w:tcPr>
          <w:p>
            <w:r>
              <w:t>₹20,00,000</w:t>
            </w:r>
          </w:p>
        </w:tc>
      </w:tr>
      <w:tr>
        <w:tc>
          <w:tcPr>
            <w:tcW w:type="dxa" w:w="2484"/>
          </w:tcPr>
          <w:p>
            <w:r>
              <w:t>NPS/PPF</w:t>
            </w:r>
          </w:p>
        </w:tc>
        <w:tc>
          <w:tcPr>
            <w:tcW w:type="dxa" w:w="2484"/>
          </w:tcPr>
          <w:p>
            <w:r>
              <w:t>NPS Tier-1 &amp; Public Provident Fund</w:t>
            </w:r>
          </w:p>
        </w:tc>
        <w:tc>
          <w:tcPr>
            <w:tcW w:type="dxa" w:w="2484"/>
          </w:tcPr>
          <w:p>
            <w:r>
              <w:t>7.1%</w:t>
            </w:r>
          </w:p>
        </w:tc>
        <w:tc>
          <w:tcPr>
            <w:tcW w:type="dxa" w:w="2484"/>
          </w:tcPr>
          <w:p>
            <w:r>
              <w:t>₹25,00,000</w:t>
            </w:r>
          </w:p>
        </w:tc>
      </w:tr>
      <w:tr>
        <w:tc>
          <w:tcPr>
            <w:tcW w:type="dxa" w:w="2484"/>
          </w:tcPr>
          <w:p>
            <w:r>
              <w:t>Cash</w:t>
            </w:r>
          </w:p>
        </w:tc>
        <w:tc>
          <w:tcPr>
            <w:tcW w:type="dxa" w:w="2484"/>
          </w:tcPr>
          <w:p>
            <w:r>
              <w:t>Liquid Savings Account Balance</w:t>
            </w:r>
          </w:p>
        </w:tc>
        <w:tc>
          <w:tcPr>
            <w:tcW w:type="dxa" w:w="2484"/>
          </w:tcPr>
          <w:p>
            <w:r>
              <w:t>3.5%</w:t>
            </w:r>
          </w:p>
        </w:tc>
        <w:tc>
          <w:tcPr>
            <w:tcW w:type="dxa" w:w="2484"/>
          </w:tcPr>
          <w:p>
            <w:r>
              <w:t>₹18,00,000</w:t>
            </w:r>
          </w:p>
        </w:tc>
      </w:tr>
    </w:tbl>
    <w:p>
      <w:pPr>
        <w:pStyle w:val="Heading1"/>
      </w:pPr>
      <w:r>
        <w:t>2. Active Loan Liabilities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Loan Type</w:t>
            </w:r>
          </w:p>
        </w:tc>
        <w:tc>
          <w:tcPr>
            <w:tcW w:type="dxa" w:w="2484"/>
          </w:tcPr>
          <w:p>
            <w:r>
              <w:t>Lender / Account</w:t>
            </w:r>
          </w:p>
        </w:tc>
        <w:tc>
          <w:tcPr>
            <w:tcW w:type="dxa" w:w="2484"/>
          </w:tcPr>
          <w:p>
            <w:r>
              <w:t>Interest Rate &amp; EMI</w:t>
            </w:r>
          </w:p>
        </w:tc>
        <w:tc>
          <w:tcPr>
            <w:tcW w:type="dxa" w:w="2484"/>
          </w:tcPr>
          <w:p>
            <w:r>
              <w:t>Outstanding Principal</w:t>
            </w:r>
          </w:p>
        </w:tc>
      </w:tr>
      <w:tr>
        <w:tc>
          <w:tcPr>
            <w:tcW w:type="dxa" w:w="2484"/>
          </w:tcPr>
          <w:p>
            <w:r>
              <w:t>Home Loan</w:t>
            </w:r>
          </w:p>
        </w:tc>
        <w:tc>
          <w:tcPr>
            <w:tcW w:type="dxa" w:w="2484"/>
          </w:tcPr>
          <w:p>
            <w:r>
              <w:t>HDFC Bank Housing Loan #HL-7788</w:t>
            </w:r>
          </w:p>
        </w:tc>
        <w:tc>
          <w:tcPr>
            <w:tcW w:type="dxa" w:w="2484"/>
          </w:tcPr>
          <w:p>
            <w:r>
              <w:t>8.4% (EMI: ₹42,000)</w:t>
            </w:r>
          </w:p>
        </w:tc>
        <w:tc>
          <w:tcPr>
            <w:tcW w:type="dxa" w:w="2484"/>
          </w:tcPr>
          <w:p>
            <w:r>
              <w:t>₹48,00,000</w:t>
            </w:r>
          </w:p>
        </w:tc>
      </w:tr>
      <w:tr>
        <w:tc>
          <w:tcPr>
            <w:tcW w:type="dxa" w:w="2484"/>
          </w:tcPr>
          <w:p>
            <w:r>
              <w:t>Car Loan</w:t>
            </w:r>
          </w:p>
        </w:tc>
        <w:tc>
          <w:tcPr>
            <w:tcW w:type="dxa" w:w="2484"/>
          </w:tcPr>
          <w:p>
            <w:r>
              <w:t>ICICI Express Auto Loan #AL-2233</w:t>
            </w:r>
          </w:p>
        </w:tc>
        <w:tc>
          <w:tcPr>
            <w:tcW w:type="dxa" w:w="2484"/>
          </w:tcPr>
          <w:p>
            <w:r>
              <w:t>8.85% (EMI: ₹16,500)</w:t>
            </w:r>
          </w:p>
        </w:tc>
        <w:tc>
          <w:tcPr>
            <w:tcW w:type="dxa" w:w="2484"/>
          </w:tcPr>
          <w:p>
            <w:r>
              <w:t>₹7,20,000</w:t>
            </w:r>
          </w:p>
        </w:tc>
      </w:tr>
    </w:tbl>
    <w:p>
      <w:pPr>
        <w:pStyle w:val="Heading1"/>
      </w:pPr>
      <w:r>
        <w:t>3. Compensation &amp; Cash Flow</w:t>
      </w:r>
    </w:p>
    <w:p>
      <w:r>
        <w:t>• Annual Salary Credit (Gross CTC): ₹42,00,000</w:t>
        <w:br/>
        <w:t>• In-Hand Monthly Take-Home: ₹2,87,000</w:t>
        <w:br/>
        <w:t>• Monthly Mandatory Living Burn: ₹65,000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