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auto"/>
        <w:jc w:val="center"/>
      </w:pPr>
      <w:r>
        <w:rPr>
          <w:rFonts w:ascii="Times New Roman" w:hAnsi="Times New Roman"/>
          <w:b w:val="0"/>
          <w:sz w:val="28"/>
        </w:rPr>
        <w:t>Mini Project Report</w:t>
      </w:r>
    </w:p>
    <w:p>
      <w:pPr>
        <w:spacing w:after="240" w:line="360" w:lineRule="auto"/>
        <w:jc w:val="center"/>
      </w:pPr>
      <w:r>
        <w:rPr>
          <w:rFonts w:ascii="Times New Roman" w:hAnsi="Times New Roman"/>
          <w:b w:val="0"/>
          <w:sz w:val="28"/>
        </w:rPr>
        <w:t>on</w:t>
      </w:r>
    </w:p>
    <w:p>
      <w:pPr>
        <w:spacing w:after="360" w:line="360" w:lineRule="auto"/>
        <w:jc w:val="center"/>
      </w:pPr>
      <w:r>
        <w:rPr>
          <w:rFonts w:ascii="Times New Roman" w:hAnsi="Times New Roman"/>
          <w:b/>
          <w:sz w:val="36"/>
        </w:rPr>
        <w:t>HALO: PRIVACY-FIRST DETERMINISTIC AI WEALTH INTELLIGENCE ENGINE AND FINANCIAL PLANNING ASSISTANT</w:t>
      </w:r>
    </w:p>
    <w:p>
      <w:pPr>
        <w:spacing w:after="80" w:line="360" w:lineRule="auto"/>
        <w:jc w:val="center"/>
      </w:pPr>
      <w:r>
        <w:rPr>
          <w:rFonts w:ascii="Times New Roman" w:hAnsi="Times New Roman"/>
          <w:b w:val="0"/>
          <w:sz w:val="24"/>
        </w:rPr>
        <w:t>Submitted in the partial fulfillment of the requirements</w:t>
        <w:br/>
        <w:t>for the degree of</w:t>
      </w:r>
    </w:p>
    <w:p>
      <w:pPr>
        <w:spacing w:after="320" w:line="360" w:lineRule="auto"/>
        <w:jc w:val="center"/>
      </w:pPr>
      <w:r>
        <w:rPr>
          <w:rFonts w:ascii="Times New Roman" w:hAnsi="Times New Roman"/>
          <w:b/>
          <w:sz w:val="28"/>
        </w:rPr>
        <w:t>Bachelor in Technology (Computer &amp; Communication Engineering)</w:t>
      </w:r>
    </w:p>
    <w:p>
      <w:pPr>
        <w:spacing w:after="160" w:line="360" w:lineRule="auto"/>
        <w:jc w:val="center"/>
      </w:pPr>
      <w:r>
        <w:rPr>
          <w:rFonts w:ascii="Times New Roman" w:hAnsi="Times New Roman"/>
          <w:b w:val="0"/>
          <w:sz w:val="24"/>
        </w:rPr>
        <w:t>by</w:t>
      </w:r>
    </w:p>
    <w:p>
      <w:pPr>
        <w:spacing w:after="20" w:line="360" w:lineRule="auto"/>
        <w:jc w:val="center"/>
      </w:pPr>
      <w:r>
        <w:rPr>
          <w:rFonts w:ascii="Times New Roman" w:hAnsi="Times New Roman"/>
          <w:b/>
          <w:sz w:val="26"/>
        </w:rPr>
        <w:t>Advait Kubal</w:t>
      </w:r>
    </w:p>
    <w:p>
      <w:pPr>
        <w:spacing w:after="120" w:line="360" w:lineRule="auto"/>
        <w:jc w:val="center"/>
      </w:pPr>
      <w:r>
        <w:rPr>
          <w:rFonts w:ascii="Times New Roman" w:hAnsi="Times New Roman"/>
          <w:b w:val="0"/>
          <w:sz w:val="22"/>
        </w:rPr>
        <w:t>Roll No: 16010423001</w:t>
      </w:r>
    </w:p>
    <w:p>
      <w:pPr>
        <w:spacing w:after="20" w:line="360" w:lineRule="auto"/>
        <w:jc w:val="center"/>
      </w:pPr>
      <w:r>
        <w:rPr>
          <w:rFonts w:ascii="Times New Roman" w:hAnsi="Times New Roman"/>
          <w:b/>
          <w:sz w:val="26"/>
        </w:rPr>
        <w:t>Sparsh Kumar</w:t>
      </w:r>
    </w:p>
    <w:p>
      <w:pPr>
        <w:spacing w:after="120" w:line="360" w:lineRule="auto"/>
        <w:jc w:val="center"/>
      </w:pPr>
      <w:r>
        <w:rPr>
          <w:rFonts w:ascii="Times New Roman" w:hAnsi="Times New Roman"/>
          <w:b w:val="0"/>
          <w:sz w:val="22"/>
        </w:rPr>
        <w:t>Roll No: 16010423002</w:t>
      </w:r>
    </w:p>
    <w:p>
      <w:pPr>
        <w:spacing w:after="20" w:line="360" w:lineRule="auto"/>
        <w:jc w:val="center"/>
      </w:pPr>
      <w:r>
        <w:rPr>
          <w:rFonts w:ascii="Times New Roman" w:hAnsi="Times New Roman"/>
          <w:b/>
          <w:sz w:val="26"/>
        </w:rPr>
        <w:t>Swaroop Mane</w:t>
      </w:r>
    </w:p>
    <w:p>
      <w:pPr>
        <w:spacing w:after="120" w:line="360" w:lineRule="auto"/>
        <w:jc w:val="center"/>
      </w:pPr>
      <w:r>
        <w:rPr>
          <w:rFonts w:ascii="Times New Roman" w:hAnsi="Times New Roman"/>
          <w:b w:val="0"/>
          <w:sz w:val="22"/>
        </w:rPr>
        <w:t>Roll No: 16010423003</w:t>
      </w:r>
    </w:p>
    <w:p>
      <w:pPr>
        <w:spacing w:after="20" w:line="360" w:lineRule="auto"/>
        <w:jc w:val="center"/>
      </w:pPr>
      <w:r>
        <w:rPr>
          <w:rFonts w:ascii="Times New Roman" w:hAnsi="Times New Roman"/>
          <w:b/>
          <w:sz w:val="26"/>
        </w:rPr>
        <w:t>Ishika Poddar</w:t>
      </w:r>
    </w:p>
    <w:p>
      <w:pPr>
        <w:spacing w:after="120" w:line="360" w:lineRule="auto"/>
        <w:jc w:val="center"/>
      </w:pPr>
      <w:r>
        <w:rPr>
          <w:rFonts w:ascii="Times New Roman" w:hAnsi="Times New Roman"/>
          <w:b w:val="0"/>
          <w:sz w:val="22"/>
        </w:rPr>
        <w:t>Roll No: 16010423004</w:t>
      </w:r>
    </w:p>
    <w:p>
      <w:pPr>
        <w:spacing w:after="80" w:line="360" w:lineRule="auto"/>
        <w:jc w:val="center"/>
      </w:pPr>
      <w:r>
        <w:rPr>
          <w:rFonts w:ascii="Times New Roman" w:hAnsi="Times New Roman"/>
          <w:b w:val="0"/>
          <w:sz w:val="24"/>
        </w:rPr>
        <w:t>Under the Guidance of</w:t>
      </w:r>
    </w:p>
    <w:p>
      <w:pPr>
        <w:spacing w:after="320" w:line="360" w:lineRule="auto"/>
        <w:jc w:val="center"/>
      </w:pPr>
      <w:r>
        <w:rPr>
          <w:rFonts w:ascii="Times New Roman" w:hAnsi="Times New Roman"/>
          <w:b/>
          <w:sz w:val="28"/>
        </w:rPr>
        <w:t>Prof. [Project Guide Name]</w:t>
      </w:r>
    </w:p>
    <w:p>
      <w:pPr>
        <w:spacing w:after="60" w:line="360" w:lineRule="auto"/>
        <w:jc w:val="center"/>
      </w:pPr>
      <w:r>
        <w:rPr>
          <w:rFonts w:ascii="Times New Roman" w:hAnsi="Times New Roman"/>
          <w:b/>
          <w:sz w:val="26"/>
        </w:rPr>
        <w:t>Department of Electronics and Telecommunication Engineering</w:t>
      </w:r>
    </w:p>
    <w:p>
      <w:pPr>
        <w:spacing w:after="60" w:line="360" w:lineRule="auto"/>
        <w:jc w:val="center"/>
      </w:pPr>
      <w:r>
        <w:rPr>
          <w:rFonts w:ascii="Times New Roman" w:hAnsi="Times New Roman"/>
          <w:b/>
          <w:sz w:val="28"/>
        </w:rPr>
        <w:t>K. J. Somaiya School of Engineering</w:t>
      </w:r>
    </w:p>
    <w:p>
      <w:pPr>
        <w:spacing w:after="60" w:line="360" w:lineRule="auto"/>
        <w:jc w:val="center"/>
      </w:pPr>
      <w:r>
        <w:rPr>
          <w:rFonts w:ascii="Times New Roman" w:hAnsi="Times New Roman"/>
          <w:b w:val="0"/>
          <w:sz w:val="24"/>
        </w:rPr>
        <w:t>Somaiya Vidyavihar University, Mumbai - 400077</w:t>
      </w:r>
    </w:p>
    <w:p>
      <w:pPr>
        <w:spacing w:after="0" w:line="360" w:lineRule="auto"/>
        <w:jc w:val="center"/>
      </w:pPr>
      <w:r>
        <w:rPr>
          <w:rFonts w:ascii="Times New Roman" w:hAnsi="Times New Roman"/>
          <w:b/>
          <w:sz w:val="26"/>
        </w:rPr>
        <w:t>Batch 2023 - 2027</w:t>
      </w:r>
    </w:p>
    <w:p>
      <w:r>
        <w:br w:type="page"/>
      </w:r>
    </w:p>
    <w:p>
      <w:pPr>
        <w:spacing w:after="240" w:line="360" w:lineRule="auto"/>
        <w:jc w:val="center"/>
      </w:pPr>
      <w:r>
        <w:rPr>
          <w:rFonts w:ascii="Times New Roman" w:hAnsi="Times New Roman"/>
          <w:b/>
          <w:sz w:val="28"/>
        </w:rPr>
        <w:t>K J Somaiya School of Engineering, Mumbai-77</w:t>
      </w:r>
    </w:p>
    <w:p>
      <w:pPr>
        <w:spacing w:after="480" w:line="360" w:lineRule="auto"/>
        <w:jc w:val="center"/>
      </w:pPr>
      <w:r>
        <w:rPr>
          <w:rFonts w:ascii="Times New Roman" w:hAnsi="Times New Roman"/>
          <w:b/>
          <w:sz w:val="36"/>
        </w:rPr>
        <w:t>Certificate</w:t>
      </w:r>
    </w:p>
    <w:p>
      <w:pPr>
        <w:spacing w:after="960" w:line="360" w:lineRule="auto"/>
        <w:jc w:val="both"/>
      </w:pPr>
      <w:r>
        <w:rPr>
          <w:rFonts w:ascii="Times New Roman" w:hAnsi="Times New Roman"/>
          <w:b w:val="0"/>
          <w:sz w:val="24"/>
        </w:rPr>
        <w:t>This is to certify that the Mini project report entitled "Halo: Privacy-First Deterministic AI Wealth Intelligence Engine and Financial Planning Assistant" is a bonafide record of the work done by Advait Kubal, Sparsh Kumar, Swaroop Mane, and Ishika Poddar in the academic year 2025-2026 under the guidance of Prof. [Project Guide Name] in partial fulfillment of the requirement for the degree of Bachelor in Technology in Computer &amp; Communication Engineering of Somaiya Vidyavihar University.</w:t>
      </w:r>
    </w:p>
    <w:p>
      <w:pPr>
        <w:spacing w:after="720" w:line="360" w:lineRule="auto"/>
        <w:jc w:val="left"/>
      </w:pPr>
      <w:r>
        <w:rPr>
          <w:rFonts w:ascii="Times New Roman" w:hAnsi="Times New Roman"/>
          <w:b/>
          <w:sz w:val="24"/>
        </w:rPr>
        <w:t>___________________________</w:t>
        <w:br/>
        <w:t>Guide</w:t>
        <w:br/>
        <w:t>Department of Electronics &amp; Telecommunication Engineering</w:t>
      </w:r>
    </w:p>
    <w:p>
      <w:pPr>
        <w:spacing w:after="0" w:line="360" w:lineRule="auto"/>
        <w:jc w:val="left"/>
      </w:pPr>
      <w:r>
        <w:rPr>
          <w:rFonts w:ascii="Times New Roman" w:hAnsi="Times New Roman"/>
          <w:b w:val="0"/>
          <w:sz w:val="24"/>
        </w:rPr>
        <w:t>Date: November 2025</w:t>
        <w:br/>
        <w:t>Place: Mumbai-77</w:t>
      </w:r>
    </w:p>
    <w:p>
      <w:r>
        <w:br w:type="page"/>
      </w:r>
    </w:p>
    <w:p>
      <w:pPr>
        <w:spacing w:after="40" w:line="360" w:lineRule="auto"/>
        <w:jc w:val="center"/>
      </w:pPr>
      <w:r>
        <w:rPr>
          <w:rFonts w:ascii="Times New Roman" w:hAnsi="Times New Roman"/>
          <w:b/>
          <w:sz w:val="28"/>
        </w:rPr>
        <w:t>Somaiya Vidyavihar University</w:t>
      </w:r>
    </w:p>
    <w:p>
      <w:pPr>
        <w:spacing w:after="40" w:line="360" w:lineRule="auto"/>
        <w:jc w:val="center"/>
      </w:pPr>
      <w:r>
        <w:rPr>
          <w:rFonts w:ascii="Times New Roman" w:hAnsi="Times New Roman"/>
          <w:b/>
          <w:sz w:val="26"/>
        </w:rPr>
        <w:t>K. J. Somaiya College of Engineering</w:t>
      </w:r>
    </w:p>
    <w:p>
      <w:pPr>
        <w:spacing w:after="240" w:line="360" w:lineRule="auto"/>
        <w:jc w:val="center"/>
      </w:pPr>
      <w:r>
        <w:rPr>
          <w:rFonts w:ascii="Times New Roman" w:hAnsi="Times New Roman"/>
          <w:b w:val="0"/>
          <w:sz w:val="22"/>
        </w:rPr>
        <w:t>(Constituent College of Somaiya Vidyavihar University)</w:t>
      </w:r>
    </w:p>
    <w:p>
      <w:pPr>
        <w:spacing w:after="480" w:line="360" w:lineRule="auto"/>
        <w:jc w:val="center"/>
      </w:pPr>
      <w:r>
        <w:rPr>
          <w:rFonts w:ascii="Times New Roman" w:hAnsi="Times New Roman"/>
          <w:b/>
          <w:sz w:val="32"/>
        </w:rPr>
        <w:t>Certificate of Approval of Examiners</w:t>
      </w:r>
    </w:p>
    <w:p>
      <w:pPr>
        <w:spacing w:after="960" w:line="360" w:lineRule="auto"/>
        <w:jc w:val="both"/>
      </w:pPr>
      <w:r>
        <w:rPr>
          <w:rFonts w:ascii="Times New Roman" w:hAnsi="Times New Roman"/>
          <w:b w:val="0"/>
          <w:sz w:val="24"/>
        </w:rPr>
        <w:t>This is to certify that the Mini project report entitled "Halo: Privacy-First Deterministic AI Wealth Intelligence Engine and Financial Planning Assistant" is a bonafide record of the work done by Advait Kubal, Sparsh Kumar, Swaroop Mane, and Ishika Poddar in partial fulfillment of the requirement for the degree of Bachelor in Technology in Computer &amp; Communication Engineering of Somaiya Vidyavihar University.</w:t>
      </w:r>
    </w:p>
    <w:tbl>
      <w:tblPr>
        <w:tblW w:type="auto" w:w="0"/>
        <w:jc w:val="center"/>
        <w:tblLook w:firstColumn="1" w:firstRow="1" w:lastColumn="0" w:lastRow="0" w:noHBand="0" w:noVBand="1" w:val="04A0"/>
      </w:tblPr>
      <w:tblGrid>
        <w:gridCol w:w="4154"/>
        <w:gridCol w:w="4154"/>
      </w:tblGrid>
      <w:tr>
        <w:tc>
          <w:tcPr>
            <w:tcW w:type="dxa" w:w="4154"/>
          </w:tcPr>
          <w:p>
            <w:pPr>
              <w:jc w:val="center"/>
            </w:pPr>
            <w:r>
              <w:rPr>
                <w:rFonts w:ascii="Times New Roman" w:hAnsi="Times New Roman"/>
                <w:b/>
                <w:sz w:val="24"/>
              </w:rPr>
              <w:t>___________________________</w:t>
            </w:r>
          </w:p>
        </w:tc>
        <w:tc>
          <w:tcPr>
            <w:tcW w:type="dxa" w:w="4154"/>
          </w:tcPr>
          <w:p>
            <w:pPr>
              <w:jc w:val="center"/>
            </w:pPr>
            <w:r>
              <w:rPr>
                <w:rFonts w:ascii="Times New Roman" w:hAnsi="Times New Roman"/>
                <w:b/>
                <w:sz w:val="24"/>
              </w:rPr>
              <w:t>___________________________</w:t>
            </w:r>
          </w:p>
        </w:tc>
      </w:tr>
      <w:tr>
        <w:tc>
          <w:tcPr>
            <w:tcW w:type="dxa" w:w="4154"/>
          </w:tcPr>
          <w:p>
            <w:pPr>
              <w:jc w:val="center"/>
            </w:pPr>
            <w:r>
              <w:rPr>
                <w:rFonts w:ascii="Times New Roman" w:hAnsi="Times New Roman"/>
                <w:b/>
                <w:sz w:val="24"/>
              </w:rPr>
              <w:t>Expert / External Examiner</w:t>
            </w:r>
          </w:p>
        </w:tc>
        <w:tc>
          <w:tcPr>
            <w:tcW w:type="dxa" w:w="4154"/>
          </w:tcPr>
          <w:p>
            <w:pPr>
              <w:jc w:val="center"/>
            </w:pPr>
            <w:r>
              <w:rPr>
                <w:rFonts w:ascii="Times New Roman" w:hAnsi="Times New Roman"/>
                <w:b/>
                <w:sz w:val="24"/>
              </w:rPr>
              <w:t>Internal Examiner / Guide</w:t>
            </w:r>
          </w:p>
        </w:tc>
      </w:tr>
    </w:tbl>
    <w:p>
      <w:pPr>
        <w:spacing w:after="720" w:line="360" w:lineRule="auto"/>
        <w:jc w:val="center"/>
      </w:pPr>
    </w:p>
    <w:p>
      <w:pPr>
        <w:spacing w:after="0" w:line="360" w:lineRule="auto"/>
        <w:jc w:val="left"/>
      </w:pPr>
      <w:r>
        <w:rPr>
          <w:rFonts w:ascii="Times New Roman" w:hAnsi="Times New Roman"/>
          <w:b w:val="0"/>
          <w:sz w:val="24"/>
        </w:rPr>
        <w:t>Date: November 2025</w:t>
        <w:br/>
        <w:t>Place: Mumbai-77</w:t>
      </w:r>
    </w:p>
    <w:p>
      <w:r>
        <w:br w:type="page"/>
      </w:r>
    </w:p>
    <w:p>
      <w:pPr>
        <w:spacing w:after="240" w:line="360" w:lineRule="auto"/>
        <w:jc w:val="center"/>
      </w:pPr>
      <w:r>
        <w:rPr>
          <w:rFonts w:ascii="Times New Roman" w:hAnsi="Times New Roman"/>
          <w:b/>
          <w:sz w:val="28"/>
        </w:rPr>
        <w:t>K. J. Somaiya School of Engineering, Mumbai-77</w:t>
      </w:r>
    </w:p>
    <w:p>
      <w:pPr>
        <w:spacing w:after="400" w:line="360" w:lineRule="auto"/>
        <w:jc w:val="center"/>
      </w:pPr>
      <w:r>
        <w:rPr>
          <w:rFonts w:ascii="Times New Roman" w:hAnsi="Times New Roman"/>
          <w:b/>
          <w:sz w:val="32"/>
        </w:rPr>
        <w:t>DECLARATION</w:t>
      </w:r>
    </w:p>
    <w:p>
      <w:pPr>
        <w:spacing w:after="280" w:line="360" w:lineRule="auto"/>
        <w:jc w:val="both"/>
      </w:pPr>
      <w:r>
        <w:rPr>
          <w:rFonts w:ascii="Times New Roman" w:hAnsi="Times New Roman"/>
          <w:b w:val="0"/>
          <w:sz w:val="24"/>
        </w:rPr>
        <w:t>We declare that this written report submission represents the work done based on our and / or others’ ideas with adequately cited and referenced the original source. We also declare that we have adhered to all principles of intellectual property, academic honesty and integrity as we have not misinterpreted or fabricated or falsified any idea/data/fact/source/original work/matter in our submission.</w:t>
      </w:r>
    </w:p>
    <w:p>
      <w:pPr>
        <w:spacing w:after="480" w:line="360" w:lineRule="auto"/>
        <w:jc w:val="both"/>
      </w:pPr>
      <w:r>
        <w:rPr>
          <w:rFonts w:ascii="Times New Roman" w:hAnsi="Times New Roman"/>
          <w:b w:val="0"/>
          <w:sz w:val="24"/>
        </w:rPr>
        <w:t>We understand that any violation of the above will be cause for disciplinary action by the college and may evoke the penal action from the sources which have not been properly cited or from whom proper permission is not sought.</w:t>
      </w:r>
    </w:p>
    <w:tbl>
      <w:tblPr>
        <w:tblW w:type="auto" w:w="0"/>
        <w:jc w:val="center"/>
        <w:tblLook w:firstColumn="1" w:firstRow="1" w:lastColumn="0" w:lastRow="0" w:noHBand="0" w:noVBand="1" w:val="04A0"/>
      </w:tblPr>
      <w:tblGrid>
        <w:gridCol w:w="4154"/>
        <w:gridCol w:w="4154"/>
      </w:tblGrid>
      <w:tr>
        <w:tc>
          <w:tcPr>
            <w:tcW w:type="dxa" w:w="4154"/>
          </w:tcPr>
          <w:p>
            <w:pPr>
              <w:spacing w:line="312" w:lineRule="auto"/>
            </w:pPr>
            <w:r>
              <w:rPr>
                <w:rFonts w:ascii="Times New Roman" w:hAnsi="Times New Roman"/>
                <w:sz w:val="22"/>
              </w:rPr>
              <w:t>_____________________________</w:t>
              <w:br/>
              <w:t>Signature of the Student</w:t>
              <w:br/>
              <w:t>Advait Kubal</w:t>
            </w:r>
          </w:p>
        </w:tc>
        <w:tc>
          <w:tcPr>
            <w:tcW w:type="dxa" w:w="4154"/>
          </w:tcPr>
          <w:p>
            <w:pPr>
              <w:spacing w:line="312" w:lineRule="auto"/>
            </w:pPr>
            <w:r>
              <w:rPr>
                <w:rFonts w:ascii="Times New Roman" w:hAnsi="Times New Roman"/>
                <w:sz w:val="22"/>
              </w:rPr>
              <w:br/>
              <w:br/>
              <w:t>Roll No.: 16010423001</w:t>
            </w:r>
          </w:p>
        </w:tc>
      </w:tr>
      <w:tr>
        <w:tc>
          <w:tcPr>
            <w:tcW w:type="dxa" w:w="4154"/>
          </w:tcPr>
          <w:p>
            <w:pPr>
              <w:spacing w:line="312" w:lineRule="auto"/>
            </w:pPr>
            <w:r>
              <w:rPr>
                <w:rFonts w:ascii="Times New Roman" w:hAnsi="Times New Roman"/>
                <w:sz w:val="22"/>
              </w:rPr>
              <w:t>_____________________________</w:t>
              <w:br/>
              <w:t>Signature of the Student</w:t>
              <w:br/>
              <w:t>Sparsh Kumar</w:t>
            </w:r>
          </w:p>
        </w:tc>
        <w:tc>
          <w:tcPr>
            <w:tcW w:type="dxa" w:w="4154"/>
          </w:tcPr>
          <w:p>
            <w:pPr>
              <w:spacing w:line="312" w:lineRule="auto"/>
            </w:pPr>
            <w:r>
              <w:rPr>
                <w:rFonts w:ascii="Times New Roman" w:hAnsi="Times New Roman"/>
                <w:sz w:val="22"/>
              </w:rPr>
              <w:br/>
              <w:br/>
              <w:t>Roll No.: 16010423002</w:t>
            </w:r>
          </w:p>
        </w:tc>
      </w:tr>
      <w:tr>
        <w:tc>
          <w:tcPr>
            <w:tcW w:type="dxa" w:w="4154"/>
          </w:tcPr>
          <w:p>
            <w:pPr>
              <w:spacing w:line="312" w:lineRule="auto"/>
            </w:pPr>
            <w:r>
              <w:rPr>
                <w:rFonts w:ascii="Times New Roman" w:hAnsi="Times New Roman"/>
                <w:sz w:val="22"/>
              </w:rPr>
              <w:t>_____________________________</w:t>
              <w:br/>
              <w:t>Signature of the Student</w:t>
              <w:br/>
              <w:t>Swaroop Mane</w:t>
            </w:r>
          </w:p>
        </w:tc>
        <w:tc>
          <w:tcPr>
            <w:tcW w:type="dxa" w:w="4154"/>
          </w:tcPr>
          <w:p>
            <w:pPr>
              <w:spacing w:line="312" w:lineRule="auto"/>
            </w:pPr>
            <w:r>
              <w:rPr>
                <w:rFonts w:ascii="Times New Roman" w:hAnsi="Times New Roman"/>
                <w:sz w:val="22"/>
              </w:rPr>
              <w:br/>
              <w:br/>
              <w:t>Roll No.: 16010423003</w:t>
            </w:r>
          </w:p>
        </w:tc>
      </w:tr>
      <w:tr>
        <w:tc>
          <w:tcPr>
            <w:tcW w:type="dxa" w:w="4154"/>
          </w:tcPr>
          <w:p>
            <w:pPr>
              <w:spacing w:line="312" w:lineRule="auto"/>
            </w:pPr>
            <w:r>
              <w:rPr>
                <w:rFonts w:ascii="Times New Roman" w:hAnsi="Times New Roman"/>
                <w:sz w:val="22"/>
              </w:rPr>
              <w:t>_____________________________</w:t>
              <w:br/>
              <w:t>Signature of the Student</w:t>
              <w:br/>
              <w:t>Ishika Poddar</w:t>
            </w:r>
          </w:p>
        </w:tc>
        <w:tc>
          <w:tcPr>
            <w:tcW w:type="dxa" w:w="4154"/>
          </w:tcPr>
          <w:p>
            <w:pPr>
              <w:spacing w:line="312" w:lineRule="auto"/>
            </w:pPr>
            <w:r>
              <w:rPr>
                <w:rFonts w:ascii="Times New Roman" w:hAnsi="Times New Roman"/>
                <w:sz w:val="22"/>
              </w:rPr>
              <w:br/>
              <w:br/>
              <w:t>Roll No.: 16010423004</w:t>
            </w:r>
          </w:p>
        </w:tc>
      </w:tr>
    </w:tbl>
    <w:p>
      <w:pPr>
        <w:spacing w:after="480" w:line="360" w:lineRule="auto"/>
        <w:jc w:val="center"/>
      </w:pPr>
    </w:p>
    <w:p>
      <w:pPr>
        <w:spacing w:after="0" w:line="360" w:lineRule="auto"/>
        <w:jc w:val="left"/>
      </w:pPr>
      <w:r>
        <w:rPr>
          <w:rFonts w:ascii="Times New Roman" w:hAnsi="Times New Roman"/>
          <w:b w:val="0"/>
          <w:sz w:val="24"/>
        </w:rPr>
        <w:t>Date: November 2025</w:t>
        <w:br/>
        <w:t>Place: Mumbai-77</w:t>
      </w:r>
    </w:p>
    <w:p>
      <w:r>
        <w:br w:type="page"/>
      </w:r>
    </w:p>
    <w:p>
      <w:pPr>
        <w:spacing w:after="320" w:line="360" w:lineRule="auto"/>
        <w:jc w:val="center"/>
      </w:pPr>
      <w:r>
        <w:rPr>
          <w:rFonts w:ascii="Times New Roman" w:hAnsi="Times New Roman"/>
          <w:b/>
          <w:sz w:val="32"/>
        </w:rPr>
        <w:t>Abstract</w:t>
      </w:r>
    </w:p>
    <w:p>
      <w:pPr>
        <w:spacing w:after="240" w:line="360" w:lineRule="auto"/>
        <w:jc w:val="both"/>
      </w:pPr>
      <w:r>
        <w:rPr>
          <w:rFonts w:ascii="Times New Roman" w:hAnsi="Times New Roman"/>
          <w:b w:val="0"/>
          <w:sz w:val="24"/>
        </w:rPr>
        <w:t>The rapid digitization of financial services in India has enabled retail investors to accumulate diverse portfolios across mutual funds, direct equities, fixed deposits, employee provident funds (EPF/PPF), and statutory tax-saving instruments. Concurrently, personal debt obligations—including home loans, vehicle loans, and education loans—have expanded in complexity. However, contemporary commercial wealth management and fintech platforms mandate the transmission of sensitive personal financial documents (Consolidated Account Statements, Form 16s, bank statements, and Permanent Account Numbers) to centralized cloud servers. This architecture introduces severe privacy vulnerabilities, third-party data tracking, and vulnerability to catastrophic data breaches. Furthermore, modern cloud-based conversational artificial intelligence systems compute financial numbers probabilistically, frequently generating numerical hallucinations in tax slabs, debt amortizations, and compound growth trajectories.</w:t>
      </w:r>
    </w:p>
    <w:p>
      <w:pPr>
        <w:spacing w:after="320" w:line="360" w:lineRule="auto"/>
        <w:jc w:val="both"/>
      </w:pPr>
      <w:r>
        <w:rPr>
          <w:rFonts w:ascii="Times New Roman" w:hAnsi="Times New Roman"/>
          <w:b w:val="0"/>
          <w:sz w:val="24"/>
        </w:rPr>
        <w:t>To resolve these foundational challenges, this project presents 'Halo', a 100% on-device, air-gapped personal wealth intelligence engine and financial planning assistant designed specifically for the Indian financial ecosystem. Halo enforces a strict deterministic-first architecture: a local quantized Large Language Model (via Ollama) is orchestrated through LangGraph state graphs and Pydantic validation nodes exclusively for intent routing, parameter extraction, and natural language explanation. Crucially, 100% of arithmetic, tax liability computations, debt payoff trajectories, and portfolio analytics are executed by pure, verified Python mathematical modules, ensuring zero numerical hallucinations. The system incorporates a dynamic Indian Income Tax engine compliant with Union Budget 2024 revisions (comparing Old vs New regimes, Section 87A rebate and marginal relief, and Section 234 interest), on-device document intelligence for CAS PDFs via local vector search (sqlite-vec), multi-scenario What-If life decision simulators (Debt Avalanche vs Snowball, Prepay vs Invest, FIRE corpus, and Emergency Runway), and a 1-click audit-ready Chartered Accountant handoff dossier. Benchmarks confirm sub-15ms calculation latencies, local LLM responses within 2.5 seconds, and exactly 0 bytes of network data egress, providing verifiable privacy and mathematical accuracy.</w:t>
      </w:r>
    </w:p>
    <w:p>
      <w:pPr>
        <w:spacing w:after="0" w:line="360" w:lineRule="auto"/>
        <w:jc w:val="both"/>
      </w:pPr>
      <w:r>
        <w:rPr>
          <w:rFonts w:ascii="Times New Roman" w:hAnsi="Times New Roman"/>
          <w:b/>
          <w:sz w:val="24"/>
        </w:rPr>
        <w:t xml:space="preserve">Keywords: </w:t>
      </w:r>
      <w:r>
        <w:rPr>
          <w:rFonts w:ascii="Times New Roman" w:hAnsi="Times New Roman"/>
          <w:sz w:val="24"/>
        </w:rPr>
        <w:t>Local Large Language Models, Deterministic Computing, Privacy-Preserving FinTech, Indian Income Tax Engine, LangGraph, Retrieval-Augmented Generation (RAG), Personal Wealth Intelligence.</w:t>
      </w:r>
    </w:p>
    <w:p>
      <w:r>
        <w:br w:type="page"/>
      </w:r>
    </w:p>
    <w:p>
      <w:pPr>
        <w:spacing w:after="360" w:line="360" w:lineRule="auto"/>
        <w:jc w:val="center"/>
      </w:pPr>
      <w:r>
        <w:rPr>
          <w:rFonts w:ascii="Times New Roman" w:hAnsi="Times New Roman"/>
          <w:b/>
          <w:sz w:val="32"/>
        </w:rPr>
        <w:t>Contents</w:t>
      </w:r>
    </w:p>
    <w:tbl>
      <w:tblPr>
        <w:tblW w:type="auto" w:w="0"/>
        <w:jc w:val="center"/>
        <w:tblLook w:firstColumn="1" w:firstRow="1" w:lastColumn="0" w:lastRow="0" w:noHBand="0" w:noVBand="1" w:val="04A0"/>
      </w:tblPr>
      <w:tblGrid>
        <w:gridCol w:w="4154"/>
        <w:gridCol w:w="4154"/>
      </w:tblGrid>
      <w:tr>
        <w:tc>
          <w:tcPr>
            <w:tcW w:type="dxa" w:w="4154"/>
          </w:tcPr>
          <w:p>
            <w:pPr>
              <w:spacing w:line="312" w:lineRule="auto" w:after="40"/>
            </w:pPr>
            <w:r>
              <w:rPr>
                <w:rFonts w:ascii="Times New Roman" w:hAnsi="Times New Roman"/>
                <w:b/>
                <w:sz w:val="22"/>
              </w:rPr>
              <w:t>List of Figures</w:t>
            </w:r>
          </w:p>
        </w:tc>
        <w:tc>
          <w:tcPr>
            <w:tcW w:type="dxa" w:w="4154"/>
          </w:tcPr>
          <w:p>
            <w:pPr>
              <w:spacing w:line="312" w:lineRule="auto" w:after="40"/>
              <w:jc w:val="right"/>
            </w:pPr>
            <w:r>
              <w:rPr>
                <w:rFonts w:ascii="Times New Roman" w:hAnsi="Times New Roman"/>
                <w:b/>
                <w:sz w:val="22"/>
              </w:rPr>
              <w:t>viii</w:t>
            </w:r>
          </w:p>
        </w:tc>
      </w:tr>
      <w:tr>
        <w:tc>
          <w:tcPr>
            <w:tcW w:type="dxa" w:w="4154"/>
          </w:tcPr>
          <w:p>
            <w:pPr>
              <w:spacing w:line="312" w:lineRule="auto" w:after="40"/>
            </w:pPr>
            <w:r>
              <w:rPr>
                <w:rFonts w:ascii="Times New Roman" w:hAnsi="Times New Roman"/>
                <w:b/>
                <w:sz w:val="22"/>
              </w:rPr>
              <w:t>List of Tables</w:t>
            </w:r>
          </w:p>
        </w:tc>
        <w:tc>
          <w:tcPr>
            <w:tcW w:type="dxa" w:w="4154"/>
          </w:tcPr>
          <w:p>
            <w:pPr>
              <w:spacing w:line="312" w:lineRule="auto" w:after="40"/>
              <w:jc w:val="right"/>
            </w:pPr>
            <w:r>
              <w:rPr>
                <w:rFonts w:ascii="Times New Roman" w:hAnsi="Times New Roman"/>
                <w:b/>
                <w:sz w:val="22"/>
              </w:rPr>
              <w:t>ix</w:t>
            </w:r>
          </w:p>
        </w:tc>
      </w:tr>
      <w:tr>
        <w:tc>
          <w:tcPr>
            <w:tcW w:type="dxa" w:w="4154"/>
          </w:tcPr>
          <w:p>
            <w:pPr>
              <w:spacing w:line="312" w:lineRule="auto" w:after="40"/>
            </w:pPr>
            <w:r>
              <w:rPr>
                <w:rFonts w:ascii="Times New Roman" w:hAnsi="Times New Roman"/>
                <w:b/>
                <w:sz w:val="22"/>
              </w:rPr>
              <w:t>Nomenclature</w:t>
            </w:r>
          </w:p>
        </w:tc>
        <w:tc>
          <w:tcPr>
            <w:tcW w:type="dxa" w:w="4154"/>
          </w:tcPr>
          <w:p>
            <w:pPr>
              <w:spacing w:line="312" w:lineRule="auto" w:after="40"/>
              <w:jc w:val="right"/>
            </w:pPr>
            <w:r>
              <w:rPr>
                <w:rFonts w:ascii="Times New Roman" w:hAnsi="Times New Roman"/>
                <w:b/>
                <w:sz w:val="22"/>
              </w:rPr>
              <w:t>x</w:t>
            </w:r>
          </w:p>
        </w:tc>
      </w:tr>
      <w:tr>
        <w:tc>
          <w:tcPr>
            <w:tcW w:type="dxa" w:w="4154"/>
          </w:tcPr>
          <w:p>
            <w:pPr>
              <w:spacing w:line="312" w:lineRule="auto" w:after="40"/>
            </w:pPr>
            <w:r>
              <w:rPr>
                <w:rFonts w:ascii="Times New Roman" w:hAnsi="Times New Roman"/>
                <w:b/>
                <w:sz w:val="22"/>
              </w:rPr>
              <w:t>1   Introduction</w:t>
            </w:r>
          </w:p>
        </w:tc>
        <w:tc>
          <w:tcPr>
            <w:tcW w:type="dxa" w:w="4154"/>
          </w:tcPr>
          <w:p>
            <w:pPr>
              <w:spacing w:line="312" w:lineRule="auto" w:after="40"/>
              <w:jc w:val="right"/>
            </w:pPr>
            <w:r>
              <w:rPr>
                <w:rFonts w:ascii="Times New Roman" w:hAnsi="Times New Roman"/>
                <w:b/>
                <w:sz w:val="22"/>
              </w:rPr>
              <w:t>1</w:t>
            </w:r>
          </w:p>
        </w:tc>
      </w:tr>
      <w:tr>
        <w:tc>
          <w:tcPr>
            <w:tcW w:type="dxa" w:w="4154"/>
          </w:tcPr>
          <w:p>
            <w:pPr>
              <w:spacing w:line="312" w:lineRule="auto" w:after="40"/>
            </w:pPr>
            <w:r>
              <w:rPr>
                <w:rFonts w:ascii="Times New Roman" w:hAnsi="Times New Roman"/>
                <w:b w:val="0"/>
                <w:sz w:val="22"/>
              </w:rPr>
              <w:t xml:space="preserve">    1.1   Background</w:t>
            </w:r>
          </w:p>
        </w:tc>
        <w:tc>
          <w:tcPr>
            <w:tcW w:type="dxa" w:w="4154"/>
          </w:tcPr>
          <w:p>
            <w:pPr>
              <w:spacing w:line="312" w:lineRule="auto" w:after="40"/>
              <w:jc w:val="right"/>
            </w:pPr>
            <w:r>
              <w:rPr>
                <w:rFonts w:ascii="Times New Roman" w:hAnsi="Times New Roman"/>
                <w:b w:val="0"/>
                <w:sz w:val="22"/>
              </w:rPr>
              <w:t>1</w:t>
            </w:r>
          </w:p>
        </w:tc>
      </w:tr>
      <w:tr>
        <w:tc>
          <w:tcPr>
            <w:tcW w:type="dxa" w:w="4154"/>
          </w:tcPr>
          <w:p>
            <w:pPr>
              <w:spacing w:line="312" w:lineRule="auto" w:after="40"/>
            </w:pPr>
            <w:r>
              <w:rPr>
                <w:rFonts w:ascii="Times New Roman" w:hAnsi="Times New Roman"/>
                <w:b w:val="0"/>
                <w:sz w:val="22"/>
              </w:rPr>
              <w:t xml:space="preserve">    1.2   Motivation</w:t>
            </w:r>
          </w:p>
        </w:tc>
        <w:tc>
          <w:tcPr>
            <w:tcW w:type="dxa" w:w="4154"/>
          </w:tcPr>
          <w:p>
            <w:pPr>
              <w:spacing w:line="312" w:lineRule="auto" w:after="40"/>
              <w:jc w:val="right"/>
            </w:pPr>
            <w:r>
              <w:rPr>
                <w:rFonts w:ascii="Times New Roman" w:hAnsi="Times New Roman"/>
                <w:b w:val="0"/>
                <w:sz w:val="22"/>
              </w:rPr>
              <w:t>3</w:t>
            </w:r>
          </w:p>
        </w:tc>
      </w:tr>
      <w:tr>
        <w:tc>
          <w:tcPr>
            <w:tcW w:type="dxa" w:w="4154"/>
          </w:tcPr>
          <w:p>
            <w:pPr>
              <w:spacing w:line="312" w:lineRule="auto" w:after="40"/>
            </w:pPr>
            <w:r>
              <w:rPr>
                <w:rFonts w:ascii="Times New Roman" w:hAnsi="Times New Roman"/>
                <w:b w:val="0"/>
                <w:sz w:val="22"/>
              </w:rPr>
              <w:t xml:space="preserve">    1.3   Scope of the Project</w:t>
            </w:r>
          </w:p>
        </w:tc>
        <w:tc>
          <w:tcPr>
            <w:tcW w:type="dxa" w:w="4154"/>
          </w:tcPr>
          <w:p>
            <w:pPr>
              <w:spacing w:line="312" w:lineRule="auto" w:after="40"/>
              <w:jc w:val="right"/>
            </w:pPr>
            <w:r>
              <w:rPr>
                <w:rFonts w:ascii="Times New Roman" w:hAnsi="Times New Roman"/>
                <w:b w:val="0"/>
                <w:sz w:val="22"/>
              </w:rPr>
              <w:t>4</w:t>
            </w:r>
          </w:p>
        </w:tc>
      </w:tr>
      <w:tr>
        <w:tc>
          <w:tcPr>
            <w:tcW w:type="dxa" w:w="4154"/>
          </w:tcPr>
          <w:p>
            <w:pPr>
              <w:spacing w:line="312" w:lineRule="auto" w:after="40"/>
            </w:pPr>
            <w:r>
              <w:rPr>
                <w:rFonts w:ascii="Times New Roman" w:hAnsi="Times New Roman"/>
                <w:b w:val="0"/>
                <w:sz w:val="22"/>
              </w:rPr>
              <w:t xml:space="preserve">    1.4   Organization of the Report</w:t>
            </w:r>
          </w:p>
        </w:tc>
        <w:tc>
          <w:tcPr>
            <w:tcW w:type="dxa" w:w="4154"/>
          </w:tcPr>
          <w:p>
            <w:pPr>
              <w:spacing w:line="312" w:lineRule="auto" w:after="40"/>
              <w:jc w:val="right"/>
            </w:pPr>
            <w:r>
              <w:rPr>
                <w:rFonts w:ascii="Times New Roman" w:hAnsi="Times New Roman"/>
                <w:b w:val="0"/>
                <w:sz w:val="22"/>
              </w:rPr>
              <w:t>5</w:t>
            </w:r>
          </w:p>
        </w:tc>
      </w:tr>
      <w:tr>
        <w:tc>
          <w:tcPr>
            <w:tcW w:type="dxa" w:w="4154"/>
          </w:tcPr>
          <w:p>
            <w:pPr>
              <w:spacing w:line="312" w:lineRule="auto" w:after="40"/>
            </w:pPr>
            <w:r>
              <w:rPr>
                <w:rFonts w:ascii="Times New Roman" w:hAnsi="Times New Roman"/>
                <w:b/>
                <w:sz w:val="22"/>
              </w:rPr>
              <w:t>2   Literature Survey</w:t>
            </w:r>
          </w:p>
        </w:tc>
        <w:tc>
          <w:tcPr>
            <w:tcW w:type="dxa" w:w="4154"/>
          </w:tcPr>
          <w:p>
            <w:pPr>
              <w:spacing w:line="312" w:lineRule="auto" w:after="40"/>
              <w:jc w:val="right"/>
            </w:pPr>
            <w:r>
              <w:rPr>
                <w:rFonts w:ascii="Times New Roman" w:hAnsi="Times New Roman"/>
                <w:b/>
                <w:sz w:val="22"/>
              </w:rPr>
              <w:t>6</w:t>
            </w:r>
          </w:p>
        </w:tc>
      </w:tr>
      <w:tr>
        <w:tc>
          <w:tcPr>
            <w:tcW w:type="dxa" w:w="4154"/>
          </w:tcPr>
          <w:p>
            <w:pPr>
              <w:spacing w:line="312" w:lineRule="auto" w:after="40"/>
            </w:pPr>
            <w:r>
              <w:rPr>
                <w:rFonts w:ascii="Times New Roman" w:hAnsi="Times New Roman"/>
                <w:b w:val="0"/>
                <w:sz w:val="22"/>
              </w:rPr>
              <w:t xml:space="preserve">    2.1   Review of Contemporary Financial Advisory Systems</w:t>
            </w:r>
          </w:p>
        </w:tc>
        <w:tc>
          <w:tcPr>
            <w:tcW w:type="dxa" w:w="4154"/>
          </w:tcPr>
          <w:p>
            <w:pPr>
              <w:spacing w:line="312" w:lineRule="auto" w:after="40"/>
              <w:jc w:val="right"/>
            </w:pPr>
            <w:r>
              <w:rPr>
                <w:rFonts w:ascii="Times New Roman" w:hAnsi="Times New Roman"/>
                <w:b w:val="0"/>
                <w:sz w:val="22"/>
              </w:rPr>
              <w:t>6</w:t>
            </w:r>
          </w:p>
        </w:tc>
      </w:tr>
      <w:tr>
        <w:tc>
          <w:tcPr>
            <w:tcW w:type="dxa" w:w="4154"/>
          </w:tcPr>
          <w:p>
            <w:pPr>
              <w:spacing w:line="312" w:lineRule="auto" w:after="40"/>
            </w:pPr>
            <w:r>
              <w:rPr>
                <w:rFonts w:ascii="Times New Roman" w:hAnsi="Times New Roman"/>
                <w:b w:val="0"/>
                <w:sz w:val="22"/>
              </w:rPr>
              <w:t xml:space="preserve">    2.2   Local &amp; Privacy-Preserving AI Architectures</w:t>
            </w:r>
          </w:p>
        </w:tc>
        <w:tc>
          <w:tcPr>
            <w:tcW w:type="dxa" w:w="4154"/>
          </w:tcPr>
          <w:p>
            <w:pPr>
              <w:spacing w:line="312" w:lineRule="auto" w:after="40"/>
              <w:jc w:val="right"/>
            </w:pPr>
            <w:r>
              <w:rPr>
                <w:rFonts w:ascii="Times New Roman" w:hAnsi="Times New Roman"/>
                <w:b w:val="0"/>
                <w:sz w:val="22"/>
              </w:rPr>
              <w:t>8</w:t>
            </w:r>
          </w:p>
        </w:tc>
      </w:tr>
      <w:tr>
        <w:tc>
          <w:tcPr>
            <w:tcW w:type="dxa" w:w="4154"/>
          </w:tcPr>
          <w:p>
            <w:pPr>
              <w:spacing w:line="312" w:lineRule="auto" w:after="40"/>
            </w:pPr>
            <w:r>
              <w:rPr>
                <w:rFonts w:ascii="Times New Roman" w:hAnsi="Times New Roman"/>
                <w:b w:val="0"/>
                <w:sz w:val="22"/>
              </w:rPr>
              <w:t xml:space="preserve">    2.3   Deterministic Computing vs Generative LLM Hallucinations</w:t>
            </w:r>
          </w:p>
        </w:tc>
        <w:tc>
          <w:tcPr>
            <w:tcW w:type="dxa" w:w="4154"/>
          </w:tcPr>
          <w:p>
            <w:pPr>
              <w:spacing w:line="312" w:lineRule="auto" w:after="40"/>
              <w:jc w:val="right"/>
            </w:pPr>
            <w:r>
              <w:rPr>
                <w:rFonts w:ascii="Times New Roman" w:hAnsi="Times New Roman"/>
                <w:b w:val="0"/>
                <w:sz w:val="22"/>
              </w:rPr>
              <w:t>10</w:t>
            </w:r>
          </w:p>
        </w:tc>
      </w:tr>
      <w:tr>
        <w:tc>
          <w:tcPr>
            <w:tcW w:type="dxa" w:w="4154"/>
          </w:tcPr>
          <w:p>
            <w:pPr>
              <w:spacing w:line="312" w:lineRule="auto" w:after="40"/>
            </w:pPr>
            <w:r>
              <w:rPr>
                <w:rFonts w:ascii="Times New Roman" w:hAnsi="Times New Roman"/>
                <w:b w:val="0"/>
                <w:sz w:val="22"/>
              </w:rPr>
              <w:t xml:space="preserve">    2.4   Comparative Summary of Literature</w:t>
            </w:r>
          </w:p>
        </w:tc>
        <w:tc>
          <w:tcPr>
            <w:tcW w:type="dxa" w:w="4154"/>
          </w:tcPr>
          <w:p>
            <w:pPr>
              <w:spacing w:line="312" w:lineRule="auto" w:after="40"/>
              <w:jc w:val="right"/>
            </w:pPr>
            <w:r>
              <w:rPr>
                <w:rFonts w:ascii="Times New Roman" w:hAnsi="Times New Roman"/>
                <w:b w:val="0"/>
                <w:sz w:val="22"/>
              </w:rPr>
              <w:t>12</w:t>
            </w:r>
          </w:p>
        </w:tc>
      </w:tr>
      <w:tr>
        <w:tc>
          <w:tcPr>
            <w:tcW w:type="dxa" w:w="4154"/>
          </w:tcPr>
          <w:p>
            <w:pPr>
              <w:spacing w:line="312" w:lineRule="auto" w:after="40"/>
            </w:pPr>
            <w:r>
              <w:rPr>
                <w:rFonts w:ascii="Times New Roman" w:hAnsi="Times New Roman"/>
                <w:b w:val="0"/>
                <w:sz w:val="22"/>
              </w:rPr>
              <w:t xml:space="preserve">    2.5   Objectives of the Project</w:t>
            </w:r>
          </w:p>
        </w:tc>
        <w:tc>
          <w:tcPr>
            <w:tcW w:type="dxa" w:w="4154"/>
          </w:tcPr>
          <w:p>
            <w:pPr>
              <w:spacing w:line="312" w:lineRule="auto" w:after="40"/>
              <w:jc w:val="right"/>
            </w:pPr>
            <w:r>
              <w:rPr>
                <w:rFonts w:ascii="Times New Roman" w:hAnsi="Times New Roman"/>
                <w:b w:val="0"/>
                <w:sz w:val="22"/>
              </w:rPr>
              <w:t>13</w:t>
            </w:r>
          </w:p>
        </w:tc>
      </w:tr>
      <w:tr>
        <w:tc>
          <w:tcPr>
            <w:tcW w:type="dxa" w:w="4154"/>
          </w:tcPr>
          <w:p>
            <w:pPr>
              <w:spacing w:line="312" w:lineRule="auto" w:after="40"/>
            </w:pPr>
            <w:r>
              <w:rPr>
                <w:rFonts w:ascii="Times New Roman" w:hAnsi="Times New Roman"/>
                <w:b/>
                <w:sz w:val="22"/>
              </w:rPr>
              <w:t>3   Project Design &amp; Mathematical Background</w:t>
            </w:r>
          </w:p>
        </w:tc>
        <w:tc>
          <w:tcPr>
            <w:tcW w:type="dxa" w:w="4154"/>
          </w:tcPr>
          <w:p>
            <w:pPr>
              <w:spacing w:line="312" w:lineRule="auto" w:after="40"/>
              <w:jc w:val="right"/>
            </w:pPr>
            <w:r>
              <w:rPr>
                <w:rFonts w:ascii="Times New Roman" w:hAnsi="Times New Roman"/>
                <w:b/>
                <w:sz w:val="22"/>
              </w:rPr>
              <w:t>14</w:t>
            </w:r>
          </w:p>
        </w:tc>
      </w:tr>
      <w:tr>
        <w:tc>
          <w:tcPr>
            <w:tcW w:type="dxa" w:w="4154"/>
          </w:tcPr>
          <w:p>
            <w:pPr>
              <w:spacing w:line="312" w:lineRule="auto" w:after="40"/>
            </w:pPr>
            <w:r>
              <w:rPr>
                <w:rFonts w:ascii="Times New Roman" w:hAnsi="Times New Roman"/>
                <w:b w:val="0"/>
                <w:sz w:val="22"/>
              </w:rPr>
              <w:t xml:space="preserve">    3.1   System Architecture &amp; Design Philosophy</w:t>
            </w:r>
          </w:p>
        </w:tc>
        <w:tc>
          <w:tcPr>
            <w:tcW w:type="dxa" w:w="4154"/>
          </w:tcPr>
          <w:p>
            <w:pPr>
              <w:spacing w:line="312" w:lineRule="auto" w:after="40"/>
              <w:jc w:val="right"/>
            </w:pPr>
            <w:r>
              <w:rPr>
                <w:rFonts w:ascii="Times New Roman" w:hAnsi="Times New Roman"/>
                <w:b w:val="0"/>
                <w:sz w:val="22"/>
              </w:rPr>
              <w:t>14</w:t>
            </w:r>
          </w:p>
        </w:tc>
      </w:tr>
      <w:tr>
        <w:tc>
          <w:tcPr>
            <w:tcW w:type="dxa" w:w="4154"/>
          </w:tcPr>
          <w:p>
            <w:pPr>
              <w:spacing w:line="312" w:lineRule="auto" w:after="40"/>
            </w:pPr>
            <w:r>
              <w:rPr>
                <w:rFonts w:ascii="Times New Roman" w:hAnsi="Times New Roman"/>
                <w:b w:val="0"/>
                <w:sz w:val="22"/>
              </w:rPr>
              <w:t xml:space="preserve">    3.2   Problem Statement &amp; Formulation</w:t>
            </w:r>
          </w:p>
        </w:tc>
        <w:tc>
          <w:tcPr>
            <w:tcW w:type="dxa" w:w="4154"/>
          </w:tcPr>
          <w:p>
            <w:pPr>
              <w:spacing w:line="312" w:lineRule="auto" w:after="40"/>
              <w:jc w:val="right"/>
            </w:pPr>
            <w:r>
              <w:rPr>
                <w:rFonts w:ascii="Times New Roman" w:hAnsi="Times New Roman"/>
                <w:b w:val="0"/>
                <w:sz w:val="22"/>
              </w:rPr>
              <w:t>16</w:t>
            </w:r>
          </w:p>
        </w:tc>
      </w:tr>
      <w:tr>
        <w:tc>
          <w:tcPr>
            <w:tcW w:type="dxa" w:w="4154"/>
          </w:tcPr>
          <w:p>
            <w:pPr>
              <w:spacing w:line="312" w:lineRule="auto" w:after="40"/>
            </w:pPr>
            <w:r>
              <w:rPr>
                <w:rFonts w:ascii="Times New Roman" w:hAnsi="Times New Roman"/>
                <w:b w:val="0"/>
                <w:sz w:val="22"/>
              </w:rPr>
              <w:t xml:space="preserve">    3.3   System Block Diagram &amp; Pipeline</w:t>
            </w:r>
          </w:p>
        </w:tc>
        <w:tc>
          <w:tcPr>
            <w:tcW w:type="dxa" w:w="4154"/>
          </w:tcPr>
          <w:p>
            <w:pPr>
              <w:spacing w:line="312" w:lineRule="auto" w:after="40"/>
              <w:jc w:val="right"/>
            </w:pPr>
            <w:r>
              <w:rPr>
                <w:rFonts w:ascii="Times New Roman" w:hAnsi="Times New Roman"/>
                <w:b w:val="0"/>
                <w:sz w:val="22"/>
              </w:rPr>
              <w:t>18</w:t>
            </w:r>
          </w:p>
        </w:tc>
      </w:tr>
      <w:tr>
        <w:tc>
          <w:tcPr>
            <w:tcW w:type="dxa" w:w="4154"/>
          </w:tcPr>
          <w:p>
            <w:pPr>
              <w:spacing w:line="312" w:lineRule="auto" w:after="40"/>
            </w:pPr>
            <w:r>
              <w:rPr>
                <w:rFonts w:ascii="Times New Roman" w:hAnsi="Times New Roman"/>
                <w:b w:val="0"/>
                <w:sz w:val="22"/>
              </w:rPr>
              <w:t xml:space="preserve">    3.4   Mathematical Formulations &amp; Engines</w:t>
            </w:r>
          </w:p>
        </w:tc>
        <w:tc>
          <w:tcPr>
            <w:tcW w:type="dxa" w:w="4154"/>
          </w:tcPr>
          <w:p>
            <w:pPr>
              <w:spacing w:line="312" w:lineRule="auto" w:after="40"/>
              <w:jc w:val="right"/>
            </w:pPr>
            <w:r>
              <w:rPr>
                <w:rFonts w:ascii="Times New Roman" w:hAnsi="Times New Roman"/>
                <w:b w:val="0"/>
                <w:sz w:val="22"/>
              </w:rPr>
              <w:t>20</w:t>
            </w:r>
          </w:p>
        </w:tc>
      </w:tr>
      <w:tr>
        <w:tc>
          <w:tcPr>
            <w:tcW w:type="dxa" w:w="4154"/>
          </w:tcPr>
          <w:p>
            <w:pPr>
              <w:spacing w:line="312" w:lineRule="auto" w:after="40"/>
            </w:pPr>
            <w:r>
              <w:rPr>
                <w:rFonts w:ascii="Times New Roman" w:hAnsi="Times New Roman"/>
                <w:b w:val="0"/>
                <w:sz w:val="22"/>
              </w:rPr>
              <w:t xml:space="preserve">          3.4.1   Indian Income Tax Engine (New vs Old Regimes, Sec 87A, 234)</w:t>
            </w:r>
          </w:p>
        </w:tc>
        <w:tc>
          <w:tcPr>
            <w:tcW w:type="dxa" w:w="4154"/>
          </w:tcPr>
          <w:p>
            <w:pPr>
              <w:spacing w:line="312" w:lineRule="auto" w:after="40"/>
              <w:jc w:val="right"/>
            </w:pPr>
            <w:r>
              <w:rPr>
                <w:rFonts w:ascii="Times New Roman" w:hAnsi="Times New Roman"/>
                <w:b w:val="0"/>
                <w:sz w:val="22"/>
              </w:rPr>
              <w:t>20</w:t>
            </w:r>
          </w:p>
        </w:tc>
      </w:tr>
      <w:tr>
        <w:tc>
          <w:tcPr>
            <w:tcW w:type="dxa" w:w="4154"/>
          </w:tcPr>
          <w:p>
            <w:pPr>
              <w:spacing w:line="312" w:lineRule="auto" w:after="40"/>
            </w:pPr>
            <w:r>
              <w:rPr>
                <w:rFonts w:ascii="Times New Roman" w:hAnsi="Times New Roman"/>
                <w:b w:val="0"/>
                <w:sz w:val="22"/>
              </w:rPr>
              <w:t xml:space="preserve">          3.4.2   Debt Amortization &amp; Strategy Algorithms (Avalanche vs Snowball)</w:t>
            </w:r>
          </w:p>
        </w:tc>
        <w:tc>
          <w:tcPr>
            <w:tcW w:type="dxa" w:w="4154"/>
          </w:tcPr>
          <w:p>
            <w:pPr>
              <w:spacing w:line="312" w:lineRule="auto" w:after="40"/>
              <w:jc w:val="right"/>
            </w:pPr>
            <w:r>
              <w:rPr>
                <w:rFonts w:ascii="Times New Roman" w:hAnsi="Times New Roman"/>
                <w:b w:val="0"/>
                <w:sz w:val="22"/>
              </w:rPr>
              <w:t>23</w:t>
            </w:r>
          </w:p>
        </w:tc>
      </w:tr>
      <w:tr>
        <w:tc>
          <w:tcPr>
            <w:tcW w:type="dxa" w:w="4154"/>
          </w:tcPr>
          <w:p>
            <w:pPr>
              <w:spacing w:line="312" w:lineRule="auto" w:after="40"/>
            </w:pPr>
            <w:r>
              <w:rPr>
                <w:rFonts w:ascii="Times New Roman" w:hAnsi="Times New Roman"/>
                <w:b w:val="0"/>
                <w:sz w:val="22"/>
              </w:rPr>
              <w:t xml:space="preserve">          3.4.3   Investment Analytics (CAGR, XIRR, Regular vs Direct Drag)</w:t>
            </w:r>
          </w:p>
        </w:tc>
        <w:tc>
          <w:tcPr>
            <w:tcW w:type="dxa" w:w="4154"/>
          </w:tcPr>
          <w:p>
            <w:pPr>
              <w:spacing w:line="312" w:lineRule="auto" w:after="40"/>
              <w:jc w:val="right"/>
            </w:pPr>
            <w:r>
              <w:rPr>
                <w:rFonts w:ascii="Times New Roman" w:hAnsi="Times New Roman"/>
                <w:b w:val="0"/>
                <w:sz w:val="22"/>
              </w:rPr>
              <w:t>25</w:t>
            </w:r>
          </w:p>
        </w:tc>
      </w:tr>
      <w:tr>
        <w:tc>
          <w:tcPr>
            <w:tcW w:type="dxa" w:w="4154"/>
          </w:tcPr>
          <w:p>
            <w:pPr>
              <w:spacing w:line="312" w:lineRule="auto" w:after="40"/>
            </w:pPr>
            <w:r>
              <w:rPr>
                <w:rFonts w:ascii="Times New Roman" w:hAnsi="Times New Roman"/>
                <w:b w:val="0"/>
                <w:sz w:val="22"/>
              </w:rPr>
              <w:t xml:space="preserve">          3.4.4   Monte Carlo FIRE &amp; Emergency Runway Modeling</w:t>
            </w:r>
          </w:p>
        </w:tc>
        <w:tc>
          <w:tcPr>
            <w:tcW w:type="dxa" w:w="4154"/>
          </w:tcPr>
          <w:p>
            <w:pPr>
              <w:spacing w:line="312" w:lineRule="auto" w:after="40"/>
              <w:jc w:val="right"/>
            </w:pPr>
            <w:r>
              <w:rPr>
                <w:rFonts w:ascii="Times New Roman" w:hAnsi="Times New Roman"/>
                <w:b w:val="0"/>
                <w:sz w:val="22"/>
              </w:rPr>
              <w:t>27</w:t>
            </w:r>
          </w:p>
        </w:tc>
      </w:tr>
      <w:tr>
        <w:tc>
          <w:tcPr>
            <w:tcW w:type="dxa" w:w="4154"/>
          </w:tcPr>
          <w:p>
            <w:pPr>
              <w:spacing w:line="312" w:lineRule="auto" w:after="40"/>
            </w:pPr>
            <w:r>
              <w:rPr>
                <w:rFonts w:ascii="Times New Roman" w:hAnsi="Times New Roman"/>
                <w:b/>
                <w:sz w:val="22"/>
              </w:rPr>
              <w:t>4   Implementation and Experimentation</w:t>
            </w:r>
          </w:p>
        </w:tc>
        <w:tc>
          <w:tcPr>
            <w:tcW w:type="dxa" w:w="4154"/>
          </w:tcPr>
          <w:p>
            <w:pPr>
              <w:spacing w:line="312" w:lineRule="auto" w:after="40"/>
              <w:jc w:val="right"/>
            </w:pPr>
            <w:r>
              <w:rPr>
                <w:rFonts w:ascii="Times New Roman" w:hAnsi="Times New Roman"/>
                <w:b/>
                <w:sz w:val="22"/>
              </w:rPr>
              <w:t>29</w:t>
            </w:r>
          </w:p>
        </w:tc>
      </w:tr>
      <w:tr>
        <w:tc>
          <w:tcPr>
            <w:tcW w:type="dxa" w:w="4154"/>
          </w:tcPr>
          <w:p>
            <w:pPr>
              <w:spacing w:line="312" w:lineRule="auto" w:after="40"/>
            </w:pPr>
            <w:r>
              <w:rPr>
                <w:rFonts w:ascii="Times New Roman" w:hAnsi="Times New Roman"/>
                <w:b w:val="0"/>
                <w:sz w:val="22"/>
              </w:rPr>
              <w:t xml:space="preserve">    4.1   Technology Stack &amp; On-Device Environment</w:t>
            </w:r>
          </w:p>
        </w:tc>
        <w:tc>
          <w:tcPr>
            <w:tcW w:type="dxa" w:w="4154"/>
          </w:tcPr>
          <w:p>
            <w:pPr>
              <w:spacing w:line="312" w:lineRule="auto" w:after="40"/>
              <w:jc w:val="right"/>
            </w:pPr>
            <w:r>
              <w:rPr>
                <w:rFonts w:ascii="Times New Roman" w:hAnsi="Times New Roman"/>
                <w:b w:val="0"/>
                <w:sz w:val="22"/>
              </w:rPr>
              <w:t>29</w:t>
            </w:r>
          </w:p>
        </w:tc>
      </w:tr>
      <w:tr>
        <w:tc>
          <w:tcPr>
            <w:tcW w:type="dxa" w:w="4154"/>
          </w:tcPr>
          <w:p>
            <w:pPr>
              <w:spacing w:line="312" w:lineRule="auto" w:after="40"/>
            </w:pPr>
            <w:r>
              <w:rPr>
                <w:rFonts w:ascii="Times New Roman" w:hAnsi="Times New Roman"/>
                <w:b w:val="0"/>
                <w:sz w:val="22"/>
              </w:rPr>
              <w:t xml:space="preserve">    4.2   LangGraph Orchestration &amp; Validation Guardrails</w:t>
            </w:r>
          </w:p>
        </w:tc>
        <w:tc>
          <w:tcPr>
            <w:tcW w:type="dxa" w:w="4154"/>
          </w:tcPr>
          <w:p>
            <w:pPr>
              <w:spacing w:line="312" w:lineRule="auto" w:after="40"/>
              <w:jc w:val="right"/>
            </w:pPr>
            <w:r>
              <w:rPr>
                <w:rFonts w:ascii="Times New Roman" w:hAnsi="Times New Roman"/>
                <w:b w:val="0"/>
                <w:sz w:val="22"/>
              </w:rPr>
              <w:t>31</w:t>
            </w:r>
          </w:p>
        </w:tc>
      </w:tr>
      <w:tr>
        <w:tc>
          <w:tcPr>
            <w:tcW w:type="dxa" w:w="4154"/>
          </w:tcPr>
          <w:p>
            <w:pPr>
              <w:spacing w:line="312" w:lineRule="auto" w:after="40"/>
            </w:pPr>
            <w:r>
              <w:rPr>
                <w:rFonts w:ascii="Times New Roman" w:hAnsi="Times New Roman"/>
                <w:b w:val="0"/>
                <w:sz w:val="22"/>
              </w:rPr>
              <w:t xml:space="preserve">    4.3   Document Intelligence &amp; Local Vector Database (sqlite-vec)</w:t>
            </w:r>
          </w:p>
        </w:tc>
        <w:tc>
          <w:tcPr>
            <w:tcW w:type="dxa" w:w="4154"/>
          </w:tcPr>
          <w:p>
            <w:pPr>
              <w:spacing w:line="312" w:lineRule="auto" w:after="40"/>
              <w:jc w:val="right"/>
            </w:pPr>
            <w:r>
              <w:rPr>
                <w:rFonts w:ascii="Times New Roman" w:hAnsi="Times New Roman"/>
                <w:b w:val="0"/>
                <w:sz w:val="22"/>
              </w:rPr>
              <w:t>34</w:t>
            </w:r>
          </w:p>
        </w:tc>
      </w:tr>
      <w:tr>
        <w:tc>
          <w:tcPr>
            <w:tcW w:type="dxa" w:w="4154"/>
          </w:tcPr>
          <w:p>
            <w:pPr>
              <w:spacing w:line="312" w:lineRule="auto" w:after="40"/>
            </w:pPr>
            <w:r>
              <w:rPr>
                <w:rFonts w:ascii="Times New Roman" w:hAnsi="Times New Roman"/>
                <w:b w:val="0"/>
                <w:sz w:val="22"/>
              </w:rPr>
              <w:t xml:space="preserve">    4.4   User Interface &amp; Interactive Financial Cockpit</w:t>
            </w:r>
          </w:p>
        </w:tc>
        <w:tc>
          <w:tcPr>
            <w:tcW w:type="dxa" w:w="4154"/>
          </w:tcPr>
          <w:p>
            <w:pPr>
              <w:spacing w:line="312" w:lineRule="auto" w:after="40"/>
              <w:jc w:val="right"/>
            </w:pPr>
            <w:r>
              <w:rPr>
                <w:rFonts w:ascii="Times New Roman" w:hAnsi="Times New Roman"/>
                <w:b w:val="0"/>
                <w:sz w:val="22"/>
              </w:rPr>
              <w:t>36</w:t>
            </w:r>
          </w:p>
        </w:tc>
      </w:tr>
      <w:tr>
        <w:tc>
          <w:tcPr>
            <w:tcW w:type="dxa" w:w="4154"/>
          </w:tcPr>
          <w:p>
            <w:pPr>
              <w:spacing w:line="312" w:lineRule="auto" w:after="40"/>
            </w:pPr>
            <w:r>
              <w:rPr>
                <w:rFonts w:ascii="Times New Roman" w:hAnsi="Times New Roman"/>
                <w:b w:val="0"/>
                <w:sz w:val="22"/>
              </w:rPr>
              <w:t xml:space="preserve">    4.5   Results, Benchmark Analysis &amp; Verification</w:t>
            </w:r>
          </w:p>
        </w:tc>
        <w:tc>
          <w:tcPr>
            <w:tcW w:type="dxa" w:w="4154"/>
          </w:tcPr>
          <w:p>
            <w:pPr>
              <w:spacing w:line="312" w:lineRule="auto" w:after="40"/>
              <w:jc w:val="right"/>
            </w:pPr>
            <w:r>
              <w:rPr>
                <w:rFonts w:ascii="Times New Roman" w:hAnsi="Times New Roman"/>
                <w:b w:val="0"/>
                <w:sz w:val="22"/>
              </w:rPr>
              <w:t>39</w:t>
            </w:r>
          </w:p>
        </w:tc>
      </w:tr>
      <w:tr>
        <w:tc>
          <w:tcPr>
            <w:tcW w:type="dxa" w:w="4154"/>
          </w:tcPr>
          <w:p>
            <w:pPr>
              <w:spacing w:line="312" w:lineRule="auto" w:after="40"/>
            </w:pPr>
            <w:r>
              <w:rPr>
                <w:rFonts w:ascii="Times New Roman" w:hAnsi="Times New Roman"/>
                <w:b/>
                <w:sz w:val="22"/>
              </w:rPr>
              <w:t>5   Conclusions and Future Work</w:t>
            </w:r>
          </w:p>
        </w:tc>
        <w:tc>
          <w:tcPr>
            <w:tcW w:type="dxa" w:w="4154"/>
          </w:tcPr>
          <w:p>
            <w:pPr>
              <w:spacing w:line="312" w:lineRule="auto" w:after="40"/>
              <w:jc w:val="right"/>
            </w:pPr>
            <w:r>
              <w:rPr>
                <w:rFonts w:ascii="Times New Roman" w:hAnsi="Times New Roman"/>
                <w:b/>
                <w:sz w:val="22"/>
              </w:rPr>
              <w:t>43</w:t>
            </w:r>
          </w:p>
        </w:tc>
      </w:tr>
      <w:tr>
        <w:tc>
          <w:tcPr>
            <w:tcW w:type="dxa" w:w="4154"/>
          </w:tcPr>
          <w:p>
            <w:pPr>
              <w:spacing w:line="312" w:lineRule="auto" w:after="40"/>
            </w:pPr>
            <w:r>
              <w:rPr>
                <w:rFonts w:ascii="Times New Roman" w:hAnsi="Times New Roman"/>
                <w:b w:val="0"/>
                <w:sz w:val="22"/>
              </w:rPr>
              <w:t xml:space="preserve">    5.1   Summary of Findings</w:t>
            </w:r>
          </w:p>
        </w:tc>
        <w:tc>
          <w:tcPr>
            <w:tcW w:type="dxa" w:w="4154"/>
          </w:tcPr>
          <w:p>
            <w:pPr>
              <w:spacing w:line="312" w:lineRule="auto" w:after="40"/>
              <w:jc w:val="right"/>
            </w:pPr>
            <w:r>
              <w:rPr>
                <w:rFonts w:ascii="Times New Roman" w:hAnsi="Times New Roman"/>
                <w:b w:val="0"/>
                <w:sz w:val="22"/>
              </w:rPr>
              <w:t>43</w:t>
            </w:r>
          </w:p>
        </w:tc>
      </w:tr>
      <w:tr>
        <w:tc>
          <w:tcPr>
            <w:tcW w:type="dxa" w:w="4154"/>
          </w:tcPr>
          <w:p>
            <w:pPr>
              <w:spacing w:line="312" w:lineRule="auto" w:after="40"/>
            </w:pPr>
            <w:r>
              <w:rPr>
                <w:rFonts w:ascii="Times New Roman" w:hAnsi="Times New Roman"/>
                <w:b w:val="0"/>
                <w:sz w:val="22"/>
              </w:rPr>
              <w:t xml:space="preserve">    5.2   Key Conclusions</w:t>
            </w:r>
          </w:p>
        </w:tc>
        <w:tc>
          <w:tcPr>
            <w:tcW w:type="dxa" w:w="4154"/>
          </w:tcPr>
          <w:p>
            <w:pPr>
              <w:spacing w:line="312" w:lineRule="auto" w:after="40"/>
              <w:jc w:val="right"/>
            </w:pPr>
            <w:r>
              <w:rPr>
                <w:rFonts w:ascii="Times New Roman" w:hAnsi="Times New Roman"/>
                <w:b w:val="0"/>
                <w:sz w:val="22"/>
              </w:rPr>
              <w:t>44</w:t>
            </w:r>
          </w:p>
        </w:tc>
      </w:tr>
      <w:tr>
        <w:tc>
          <w:tcPr>
            <w:tcW w:type="dxa" w:w="4154"/>
          </w:tcPr>
          <w:p>
            <w:pPr>
              <w:spacing w:line="312" w:lineRule="auto" w:after="40"/>
            </w:pPr>
            <w:r>
              <w:rPr>
                <w:rFonts w:ascii="Times New Roman" w:hAnsi="Times New Roman"/>
                <w:b w:val="0"/>
                <w:sz w:val="22"/>
              </w:rPr>
              <w:t xml:space="preserve">    5.3   Future Scope</w:t>
            </w:r>
          </w:p>
        </w:tc>
        <w:tc>
          <w:tcPr>
            <w:tcW w:type="dxa" w:w="4154"/>
          </w:tcPr>
          <w:p>
            <w:pPr>
              <w:spacing w:line="312" w:lineRule="auto" w:after="40"/>
              <w:jc w:val="right"/>
            </w:pPr>
            <w:r>
              <w:rPr>
                <w:rFonts w:ascii="Times New Roman" w:hAnsi="Times New Roman"/>
                <w:b w:val="0"/>
                <w:sz w:val="22"/>
              </w:rPr>
              <w:t>45</w:t>
            </w:r>
          </w:p>
        </w:tc>
      </w:tr>
      <w:tr>
        <w:tc>
          <w:tcPr>
            <w:tcW w:type="dxa" w:w="4154"/>
          </w:tcPr>
          <w:p>
            <w:pPr>
              <w:spacing w:line="312" w:lineRule="auto" w:after="40"/>
            </w:pPr>
            <w:r>
              <w:rPr>
                <w:rFonts w:ascii="Times New Roman" w:hAnsi="Times New Roman"/>
                <w:b/>
                <w:sz w:val="22"/>
              </w:rPr>
              <w:t>References</w:t>
            </w:r>
          </w:p>
        </w:tc>
        <w:tc>
          <w:tcPr>
            <w:tcW w:type="dxa" w:w="4154"/>
          </w:tcPr>
          <w:p>
            <w:pPr>
              <w:spacing w:line="312" w:lineRule="auto" w:after="40"/>
              <w:jc w:val="right"/>
            </w:pPr>
            <w:r>
              <w:rPr>
                <w:rFonts w:ascii="Times New Roman" w:hAnsi="Times New Roman"/>
                <w:b/>
                <w:sz w:val="22"/>
              </w:rPr>
              <w:t>46</w:t>
            </w:r>
          </w:p>
        </w:tc>
      </w:tr>
      <w:tr>
        <w:tc>
          <w:tcPr>
            <w:tcW w:type="dxa" w:w="4154"/>
          </w:tcPr>
          <w:p>
            <w:pPr>
              <w:spacing w:line="312" w:lineRule="auto" w:after="40"/>
            </w:pPr>
            <w:r>
              <w:rPr>
                <w:rFonts w:ascii="Times New Roman" w:hAnsi="Times New Roman"/>
                <w:b/>
                <w:sz w:val="22"/>
              </w:rPr>
              <w:t>Appendix A: Statutory Tax Formulas &amp; Golden Test Suite</w:t>
            </w:r>
          </w:p>
        </w:tc>
        <w:tc>
          <w:tcPr>
            <w:tcW w:type="dxa" w:w="4154"/>
          </w:tcPr>
          <w:p>
            <w:pPr>
              <w:spacing w:line="312" w:lineRule="auto" w:after="40"/>
              <w:jc w:val="right"/>
            </w:pPr>
            <w:r>
              <w:rPr>
                <w:rFonts w:ascii="Times New Roman" w:hAnsi="Times New Roman"/>
                <w:b/>
                <w:sz w:val="22"/>
              </w:rPr>
              <w:t>49</w:t>
            </w:r>
          </w:p>
        </w:tc>
      </w:tr>
    </w:tbl>
    <w:p>
      <w:r>
        <w:br w:type="page"/>
      </w:r>
    </w:p>
    <w:p>
      <w:pPr>
        <w:spacing w:after="280" w:line="360" w:lineRule="auto"/>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2770"/>
        <w:gridCol w:w="2770"/>
        <w:gridCol w:w="2770"/>
      </w:tblGrid>
      <w:tr>
        <w:tc>
          <w:tcPr>
            <w:tcW w:type="dxa" w:w="2770"/>
          </w:tcPr>
          <w:p>
            <w:pPr>
              <w:spacing w:after="40" w:line="288" w:lineRule="auto"/>
            </w:pPr>
            <w:r>
              <w:rPr>
                <w:rFonts w:ascii="Times New Roman" w:hAnsi="Times New Roman"/>
                <w:sz w:val="22"/>
              </w:rPr>
              <w:t>1.1</w:t>
            </w:r>
          </w:p>
        </w:tc>
        <w:tc>
          <w:tcPr>
            <w:tcW w:type="dxa" w:w="2770"/>
          </w:tcPr>
          <w:p>
            <w:pPr>
              <w:spacing w:after="40" w:line="288" w:lineRule="auto"/>
            </w:pPr>
            <w:r>
              <w:rPr>
                <w:rFonts w:ascii="Times New Roman" w:hAnsi="Times New Roman"/>
                <w:sz w:val="22"/>
              </w:rPr>
              <w:t>System Architecture of Halo Offline Financial Intelligence Engine</w:t>
            </w:r>
          </w:p>
        </w:tc>
        <w:tc>
          <w:tcPr>
            <w:tcW w:type="dxa" w:w="2770"/>
          </w:tcPr>
          <w:p>
            <w:pPr>
              <w:spacing w:after="40" w:line="288" w:lineRule="auto"/>
              <w:jc w:val="right"/>
            </w:pPr>
            <w:r>
              <w:rPr>
                <w:rFonts w:ascii="Times New Roman" w:hAnsi="Times New Roman"/>
                <w:sz w:val="22"/>
              </w:rPr>
              <w:t>2</w:t>
            </w:r>
          </w:p>
        </w:tc>
      </w:tr>
      <w:tr>
        <w:tc>
          <w:tcPr>
            <w:tcW w:type="dxa" w:w="2770"/>
          </w:tcPr>
          <w:p>
            <w:pPr>
              <w:spacing w:after="40" w:line="288" w:lineRule="auto"/>
            </w:pPr>
            <w:r>
              <w:rPr>
                <w:rFonts w:ascii="Times New Roman" w:hAnsi="Times New Roman"/>
                <w:sz w:val="22"/>
              </w:rPr>
              <w:t>3.1</w:t>
            </w:r>
          </w:p>
        </w:tc>
        <w:tc>
          <w:tcPr>
            <w:tcW w:type="dxa" w:w="2770"/>
          </w:tcPr>
          <w:p>
            <w:pPr>
              <w:spacing w:after="40" w:line="288" w:lineRule="auto"/>
            </w:pPr>
            <w:r>
              <w:rPr>
                <w:rFonts w:ascii="Times New Roman" w:hAnsi="Times New Roman"/>
                <w:sz w:val="22"/>
              </w:rPr>
              <w:t>High-Level End-to-End System Block Diagram</w:t>
            </w:r>
          </w:p>
        </w:tc>
        <w:tc>
          <w:tcPr>
            <w:tcW w:type="dxa" w:w="2770"/>
          </w:tcPr>
          <w:p>
            <w:pPr>
              <w:spacing w:after="40" w:line="288" w:lineRule="auto"/>
              <w:jc w:val="right"/>
            </w:pPr>
            <w:r>
              <w:rPr>
                <w:rFonts w:ascii="Times New Roman" w:hAnsi="Times New Roman"/>
                <w:sz w:val="22"/>
              </w:rPr>
              <w:t>18</w:t>
            </w:r>
          </w:p>
        </w:tc>
      </w:tr>
      <w:tr>
        <w:tc>
          <w:tcPr>
            <w:tcW w:type="dxa" w:w="2770"/>
          </w:tcPr>
          <w:p>
            <w:pPr>
              <w:spacing w:after="40" w:line="288" w:lineRule="auto"/>
            </w:pPr>
            <w:r>
              <w:rPr>
                <w:rFonts w:ascii="Times New Roman" w:hAnsi="Times New Roman"/>
                <w:sz w:val="22"/>
              </w:rPr>
              <w:t>3.2</w:t>
            </w:r>
          </w:p>
        </w:tc>
        <w:tc>
          <w:tcPr>
            <w:tcW w:type="dxa" w:w="2770"/>
          </w:tcPr>
          <w:p>
            <w:pPr>
              <w:spacing w:after="40" w:line="288" w:lineRule="auto"/>
            </w:pPr>
            <w:r>
              <w:rPr>
                <w:rFonts w:ascii="Times New Roman" w:hAnsi="Times New Roman"/>
                <w:sz w:val="22"/>
              </w:rPr>
              <w:t>LangGraph State Machine with Pydantic Validation Gatekeeper</w:t>
            </w:r>
          </w:p>
        </w:tc>
        <w:tc>
          <w:tcPr>
            <w:tcW w:type="dxa" w:w="2770"/>
          </w:tcPr>
          <w:p>
            <w:pPr>
              <w:spacing w:after="40" w:line="288" w:lineRule="auto"/>
              <w:jc w:val="right"/>
            </w:pPr>
            <w:r>
              <w:rPr>
                <w:rFonts w:ascii="Times New Roman" w:hAnsi="Times New Roman"/>
                <w:sz w:val="22"/>
              </w:rPr>
              <w:t>19</w:t>
            </w:r>
          </w:p>
        </w:tc>
      </w:tr>
      <w:tr>
        <w:tc>
          <w:tcPr>
            <w:tcW w:type="dxa" w:w="2770"/>
          </w:tcPr>
          <w:p>
            <w:pPr>
              <w:spacing w:after="40" w:line="288" w:lineRule="auto"/>
            </w:pPr>
            <w:r>
              <w:rPr>
                <w:rFonts w:ascii="Times New Roman" w:hAnsi="Times New Roman"/>
                <w:sz w:val="22"/>
              </w:rPr>
              <w:t>3.3</w:t>
            </w:r>
          </w:p>
        </w:tc>
        <w:tc>
          <w:tcPr>
            <w:tcW w:type="dxa" w:w="2770"/>
          </w:tcPr>
          <w:p>
            <w:pPr>
              <w:spacing w:after="40" w:line="288" w:lineRule="auto"/>
            </w:pPr>
            <w:r>
              <w:rPr>
                <w:rFonts w:ascii="Times New Roman" w:hAnsi="Times New Roman"/>
                <w:sz w:val="22"/>
              </w:rPr>
              <w:t>Document Ingestion &amp; Local RAG Vector Pipeline</w:t>
            </w:r>
          </w:p>
        </w:tc>
        <w:tc>
          <w:tcPr>
            <w:tcW w:type="dxa" w:w="2770"/>
          </w:tcPr>
          <w:p>
            <w:pPr>
              <w:spacing w:after="40" w:line="288" w:lineRule="auto"/>
              <w:jc w:val="right"/>
            </w:pPr>
            <w:r>
              <w:rPr>
                <w:rFonts w:ascii="Times New Roman" w:hAnsi="Times New Roman"/>
                <w:sz w:val="22"/>
              </w:rPr>
              <w:t>20</w:t>
            </w:r>
          </w:p>
        </w:tc>
      </w:tr>
      <w:tr>
        <w:tc>
          <w:tcPr>
            <w:tcW w:type="dxa" w:w="2770"/>
          </w:tcPr>
          <w:p>
            <w:pPr>
              <w:spacing w:after="40" w:line="288" w:lineRule="auto"/>
            </w:pPr>
            <w:r>
              <w:rPr>
                <w:rFonts w:ascii="Times New Roman" w:hAnsi="Times New Roman"/>
                <w:sz w:val="22"/>
              </w:rPr>
              <w:t>3.4</w:t>
            </w:r>
          </w:p>
        </w:tc>
        <w:tc>
          <w:tcPr>
            <w:tcW w:type="dxa" w:w="2770"/>
          </w:tcPr>
          <w:p>
            <w:pPr>
              <w:spacing w:after="40" w:line="288" w:lineRule="auto"/>
            </w:pPr>
            <w:r>
              <w:rPr>
                <w:rFonts w:ascii="Times New Roman" w:hAnsi="Times New Roman"/>
                <w:sz w:val="22"/>
              </w:rPr>
              <w:t>Tax Calculation Pipeline &amp; Dual-Regime Comparison Flow</w:t>
            </w:r>
          </w:p>
        </w:tc>
        <w:tc>
          <w:tcPr>
            <w:tcW w:type="dxa" w:w="2770"/>
          </w:tcPr>
          <w:p>
            <w:pPr>
              <w:spacing w:after="40" w:line="288" w:lineRule="auto"/>
              <w:jc w:val="right"/>
            </w:pPr>
            <w:r>
              <w:rPr>
                <w:rFonts w:ascii="Times New Roman" w:hAnsi="Times New Roman"/>
                <w:sz w:val="22"/>
              </w:rPr>
              <w:t>22</w:t>
            </w:r>
          </w:p>
        </w:tc>
      </w:tr>
      <w:tr>
        <w:tc>
          <w:tcPr>
            <w:tcW w:type="dxa" w:w="2770"/>
          </w:tcPr>
          <w:p>
            <w:pPr>
              <w:spacing w:after="40" w:line="288" w:lineRule="auto"/>
            </w:pPr>
            <w:r>
              <w:rPr>
                <w:rFonts w:ascii="Times New Roman" w:hAnsi="Times New Roman"/>
                <w:sz w:val="22"/>
              </w:rPr>
              <w:t>3.5</w:t>
            </w:r>
          </w:p>
        </w:tc>
        <w:tc>
          <w:tcPr>
            <w:tcW w:type="dxa" w:w="2770"/>
          </w:tcPr>
          <w:p>
            <w:pPr>
              <w:spacing w:after="40" w:line="288" w:lineRule="auto"/>
            </w:pPr>
            <w:r>
              <w:rPr>
                <w:rFonts w:ascii="Times New Roman" w:hAnsi="Times New Roman"/>
                <w:sz w:val="22"/>
              </w:rPr>
              <w:t>Debt Avalanche vs Snowball Repayment Trajectories</w:t>
            </w:r>
          </w:p>
        </w:tc>
        <w:tc>
          <w:tcPr>
            <w:tcW w:type="dxa" w:w="2770"/>
          </w:tcPr>
          <w:p>
            <w:pPr>
              <w:spacing w:after="40" w:line="288" w:lineRule="auto"/>
              <w:jc w:val="right"/>
            </w:pPr>
            <w:r>
              <w:rPr>
                <w:rFonts w:ascii="Times New Roman" w:hAnsi="Times New Roman"/>
                <w:sz w:val="22"/>
              </w:rPr>
              <w:t>24</w:t>
            </w:r>
          </w:p>
        </w:tc>
      </w:tr>
      <w:tr>
        <w:tc>
          <w:tcPr>
            <w:tcW w:type="dxa" w:w="2770"/>
          </w:tcPr>
          <w:p>
            <w:pPr>
              <w:spacing w:after="40" w:line="288" w:lineRule="auto"/>
            </w:pPr>
            <w:r>
              <w:rPr>
                <w:rFonts w:ascii="Times New Roman" w:hAnsi="Times New Roman"/>
                <w:sz w:val="22"/>
              </w:rPr>
              <w:t>3.6</w:t>
            </w:r>
          </w:p>
        </w:tc>
        <w:tc>
          <w:tcPr>
            <w:tcW w:type="dxa" w:w="2770"/>
          </w:tcPr>
          <w:p>
            <w:pPr>
              <w:spacing w:after="40" w:line="288" w:lineRule="auto"/>
            </w:pPr>
            <w:r>
              <w:rPr>
                <w:rFonts w:ascii="Times New Roman" w:hAnsi="Times New Roman"/>
                <w:sz w:val="22"/>
              </w:rPr>
              <w:t>Monte Carlo FIRE Retirement Corpus Probability Distribution</w:t>
            </w:r>
          </w:p>
        </w:tc>
        <w:tc>
          <w:tcPr>
            <w:tcW w:type="dxa" w:w="2770"/>
          </w:tcPr>
          <w:p>
            <w:pPr>
              <w:spacing w:after="40" w:line="288" w:lineRule="auto"/>
              <w:jc w:val="right"/>
            </w:pPr>
            <w:r>
              <w:rPr>
                <w:rFonts w:ascii="Times New Roman" w:hAnsi="Times New Roman"/>
                <w:sz w:val="22"/>
              </w:rPr>
              <w:t>28</w:t>
            </w:r>
          </w:p>
        </w:tc>
      </w:tr>
      <w:tr>
        <w:tc>
          <w:tcPr>
            <w:tcW w:type="dxa" w:w="2770"/>
          </w:tcPr>
          <w:p>
            <w:pPr>
              <w:spacing w:after="40" w:line="288" w:lineRule="auto"/>
            </w:pPr>
            <w:r>
              <w:rPr>
                <w:rFonts w:ascii="Times New Roman" w:hAnsi="Times New Roman"/>
                <w:sz w:val="22"/>
              </w:rPr>
              <w:t>4.1</w:t>
            </w:r>
          </w:p>
        </w:tc>
        <w:tc>
          <w:tcPr>
            <w:tcW w:type="dxa" w:w="2770"/>
          </w:tcPr>
          <w:p>
            <w:pPr>
              <w:spacing w:after="40" w:line="288" w:lineRule="auto"/>
            </w:pPr>
            <w:r>
              <w:rPr>
                <w:rFonts w:ascii="Times New Roman" w:hAnsi="Times New Roman"/>
                <w:sz w:val="22"/>
              </w:rPr>
              <w:t>Halo Today Cockpit &amp; Real-Time Financial Health Dashboard</w:t>
            </w:r>
          </w:p>
        </w:tc>
        <w:tc>
          <w:tcPr>
            <w:tcW w:type="dxa" w:w="2770"/>
          </w:tcPr>
          <w:p>
            <w:pPr>
              <w:spacing w:after="40" w:line="288" w:lineRule="auto"/>
              <w:jc w:val="right"/>
            </w:pPr>
            <w:r>
              <w:rPr>
                <w:rFonts w:ascii="Times New Roman" w:hAnsi="Times New Roman"/>
                <w:sz w:val="22"/>
              </w:rPr>
              <w:t>36</w:t>
            </w:r>
          </w:p>
        </w:tc>
      </w:tr>
      <w:tr>
        <w:tc>
          <w:tcPr>
            <w:tcW w:type="dxa" w:w="2770"/>
          </w:tcPr>
          <w:p>
            <w:pPr>
              <w:spacing w:after="40" w:line="288" w:lineRule="auto"/>
            </w:pPr>
            <w:r>
              <w:rPr>
                <w:rFonts w:ascii="Times New Roman" w:hAnsi="Times New Roman"/>
                <w:sz w:val="22"/>
              </w:rPr>
              <w:t>4.2</w:t>
            </w:r>
          </w:p>
        </w:tc>
        <w:tc>
          <w:tcPr>
            <w:tcW w:type="dxa" w:w="2770"/>
          </w:tcPr>
          <w:p>
            <w:pPr>
              <w:spacing w:after="40" w:line="288" w:lineRule="auto"/>
            </w:pPr>
            <w:r>
              <w:rPr>
                <w:rFonts w:ascii="Times New Roman" w:hAnsi="Times New Roman"/>
                <w:sz w:val="22"/>
              </w:rPr>
              <w:t>Interactive What-If Scenario Simulators &amp; Prepay vs Invest UI</w:t>
            </w:r>
          </w:p>
        </w:tc>
        <w:tc>
          <w:tcPr>
            <w:tcW w:type="dxa" w:w="2770"/>
          </w:tcPr>
          <w:p>
            <w:pPr>
              <w:spacing w:after="40" w:line="288" w:lineRule="auto"/>
              <w:jc w:val="right"/>
            </w:pPr>
            <w:r>
              <w:rPr>
                <w:rFonts w:ascii="Times New Roman" w:hAnsi="Times New Roman"/>
                <w:sz w:val="22"/>
              </w:rPr>
              <w:t>37</w:t>
            </w:r>
          </w:p>
        </w:tc>
      </w:tr>
      <w:tr>
        <w:tc>
          <w:tcPr>
            <w:tcW w:type="dxa" w:w="2770"/>
          </w:tcPr>
          <w:p>
            <w:pPr>
              <w:spacing w:after="40" w:line="288" w:lineRule="auto"/>
            </w:pPr>
            <w:r>
              <w:rPr>
                <w:rFonts w:ascii="Times New Roman" w:hAnsi="Times New Roman"/>
                <w:sz w:val="22"/>
              </w:rPr>
              <w:t>4.3</w:t>
            </w:r>
          </w:p>
        </w:tc>
        <w:tc>
          <w:tcPr>
            <w:tcW w:type="dxa" w:w="2770"/>
          </w:tcPr>
          <w:p>
            <w:pPr>
              <w:spacing w:after="40" w:line="288" w:lineRule="auto"/>
            </w:pPr>
            <w:r>
              <w:rPr>
                <w:rFonts w:ascii="Times New Roman" w:hAnsi="Times New Roman"/>
                <w:sz w:val="22"/>
              </w:rPr>
              <w:t>Hands-Free Voice Assistant with Visual Countdown Feedback</w:t>
            </w:r>
          </w:p>
        </w:tc>
        <w:tc>
          <w:tcPr>
            <w:tcW w:type="dxa" w:w="2770"/>
          </w:tcPr>
          <w:p>
            <w:pPr>
              <w:spacing w:after="40" w:line="288" w:lineRule="auto"/>
              <w:jc w:val="right"/>
            </w:pPr>
            <w:r>
              <w:rPr>
                <w:rFonts w:ascii="Times New Roman" w:hAnsi="Times New Roman"/>
                <w:sz w:val="22"/>
              </w:rPr>
              <w:t>38</w:t>
            </w:r>
          </w:p>
        </w:tc>
      </w:tr>
      <w:tr>
        <w:tc>
          <w:tcPr>
            <w:tcW w:type="dxa" w:w="2770"/>
          </w:tcPr>
          <w:p>
            <w:pPr>
              <w:spacing w:after="40" w:line="288" w:lineRule="auto"/>
            </w:pPr>
            <w:r>
              <w:rPr>
                <w:rFonts w:ascii="Times New Roman" w:hAnsi="Times New Roman"/>
                <w:sz w:val="22"/>
              </w:rPr>
              <w:t>4.4</w:t>
            </w:r>
          </w:p>
        </w:tc>
        <w:tc>
          <w:tcPr>
            <w:tcW w:type="dxa" w:w="2770"/>
          </w:tcPr>
          <w:p>
            <w:pPr>
              <w:spacing w:after="40" w:line="288" w:lineRule="auto"/>
            </w:pPr>
            <w:r>
              <w:rPr>
                <w:rFonts w:ascii="Times New Roman" w:hAnsi="Times New Roman"/>
                <w:sz w:val="22"/>
              </w:rPr>
              <w:t>1-Click CA Audit Handoff Dossier Export View</w:t>
            </w:r>
          </w:p>
        </w:tc>
        <w:tc>
          <w:tcPr>
            <w:tcW w:type="dxa" w:w="2770"/>
          </w:tcPr>
          <w:p>
            <w:pPr>
              <w:spacing w:after="40" w:line="288" w:lineRule="auto"/>
              <w:jc w:val="right"/>
            </w:pPr>
            <w:r>
              <w:rPr>
                <w:rFonts w:ascii="Times New Roman" w:hAnsi="Times New Roman"/>
                <w:sz w:val="22"/>
              </w:rPr>
              <w:t>39</w:t>
            </w:r>
          </w:p>
        </w:tc>
      </w:tr>
      <w:tr>
        <w:tc>
          <w:tcPr>
            <w:tcW w:type="dxa" w:w="2770"/>
          </w:tcPr>
          <w:p>
            <w:pPr>
              <w:spacing w:after="40" w:line="288" w:lineRule="auto"/>
            </w:pPr>
            <w:r>
              <w:rPr>
                <w:rFonts w:ascii="Times New Roman" w:hAnsi="Times New Roman"/>
                <w:sz w:val="22"/>
              </w:rPr>
              <w:t>4.5</w:t>
            </w:r>
          </w:p>
        </w:tc>
        <w:tc>
          <w:tcPr>
            <w:tcW w:type="dxa" w:w="2770"/>
          </w:tcPr>
          <w:p>
            <w:pPr>
              <w:spacing w:after="40" w:line="288" w:lineRule="auto"/>
            </w:pPr>
            <w:r>
              <w:rPr>
                <w:rFonts w:ascii="Times New Roman" w:hAnsi="Times New Roman"/>
                <w:sz w:val="22"/>
              </w:rPr>
              <w:t>Air-Gap Network Egress Assertion &amp; Latency Benchmark Comparison</w:t>
            </w:r>
          </w:p>
        </w:tc>
        <w:tc>
          <w:tcPr>
            <w:tcW w:type="dxa" w:w="2770"/>
          </w:tcPr>
          <w:p>
            <w:pPr>
              <w:spacing w:after="40" w:line="288" w:lineRule="auto"/>
              <w:jc w:val="right"/>
            </w:pPr>
            <w:r>
              <w:rPr>
                <w:rFonts w:ascii="Times New Roman" w:hAnsi="Times New Roman"/>
                <w:sz w:val="22"/>
              </w:rPr>
              <w:t>41</w:t>
            </w:r>
          </w:p>
        </w:tc>
      </w:tr>
    </w:tbl>
    <w:p>
      <w:pPr>
        <w:spacing w:after="360" w:line="360" w:lineRule="auto"/>
        <w:jc w:val="center"/>
      </w:pPr>
    </w:p>
    <w:p>
      <w:pPr>
        <w:spacing w:after="280" w:line="360" w:lineRule="auto"/>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2770"/>
        <w:gridCol w:w="2770"/>
        <w:gridCol w:w="2770"/>
      </w:tblGrid>
      <w:tr>
        <w:tc>
          <w:tcPr>
            <w:tcW w:type="dxa" w:w="2770"/>
          </w:tcPr>
          <w:p>
            <w:pPr>
              <w:spacing w:after="40" w:line="288" w:lineRule="auto"/>
            </w:pPr>
            <w:r>
              <w:rPr>
                <w:rFonts w:ascii="Times New Roman" w:hAnsi="Times New Roman"/>
                <w:sz w:val="22"/>
              </w:rPr>
              <w:t>2.1</w:t>
            </w:r>
          </w:p>
        </w:tc>
        <w:tc>
          <w:tcPr>
            <w:tcW w:type="dxa" w:w="2770"/>
          </w:tcPr>
          <w:p>
            <w:pPr>
              <w:spacing w:after="40" w:line="288" w:lineRule="auto"/>
            </w:pPr>
            <w:r>
              <w:rPr>
                <w:rFonts w:ascii="Times New Roman" w:hAnsi="Times New Roman"/>
                <w:sz w:val="22"/>
              </w:rPr>
              <w:t>Comparative Evaluation: Commercial Fintech Platforms vs Halo</w:t>
            </w:r>
          </w:p>
        </w:tc>
        <w:tc>
          <w:tcPr>
            <w:tcW w:type="dxa" w:w="2770"/>
          </w:tcPr>
          <w:p>
            <w:pPr>
              <w:spacing w:after="40" w:line="288" w:lineRule="auto"/>
              <w:jc w:val="right"/>
            </w:pPr>
            <w:r>
              <w:rPr>
                <w:rFonts w:ascii="Times New Roman" w:hAnsi="Times New Roman"/>
                <w:sz w:val="22"/>
              </w:rPr>
              <w:t>12</w:t>
            </w:r>
          </w:p>
        </w:tc>
      </w:tr>
      <w:tr>
        <w:tc>
          <w:tcPr>
            <w:tcW w:type="dxa" w:w="2770"/>
          </w:tcPr>
          <w:p>
            <w:pPr>
              <w:spacing w:after="40" w:line="288" w:lineRule="auto"/>
            </w:pPr>
            <w:r>
              <w:rPr>
                <w:rFonts w:ascii="Times New Roman" w:hAnsi="Times New Roman"/>
                <w:sz w:val="22"/>
              </w:rPr>
              <w:t>3.1</w:t>
            </w:r>
          </w:p>
        </w:tc>
        <w:tc>
          <w:tcPr>
            <w:tcW w:type="dxa" w:w="2770"/>
          </w:tcPr>
          <w:p>
            <w:pPr>
              <w:spacing w:after="40" w:line="288" w:lineRule="auto"/>
            </w:pPr>
            <w:r>
              <w:rPr>
                <w:rFonts w:ascii="Times New Roman" w:hAnsi="Times New Roman"/>
                <w:sz w:val="22"/>
              </w:rPr>
              <w:t>Indian Income Tax Slab Rates (New Regime vs Old Regime Budget 2024)</w:t>
            </w:r>
          </w:p>
        </w:tc>
        <w:tc>
          <w:tcPr>
            <w:tcW w:type="dxa" w:w="2770"/>
          </w:tcPr>
          <w:p>
            <w:pPr>
              <w:spacing w:after="40" w:line="288" w:lineRule="auto"/>
              <w:jc w:val="right"/>
            </w:pPr>
            <w:r>
              <w:rPr>
                <w:rFonts w:ascii="Times New Roman" w:hAnsi="Times New Roman"/>
                <w:sz w:val="22"/>
              </w:rPr>
              <w:t>21</w:t>
            </w:r>
          </w:p>
        </w:tc>
      </w:tr>
      <w:tr>
        <w:tc>
          <w:tcPr>
            <w:tcW w:type="dxa" w:w="2770"/>
          </w:tcPr>
          <w:p>
            <w:pPr>
              <w:spacing w:after="40" w:line="288" w:lineRule="auto"/>
            </w:pPr>
            <w:r>
              <w:rPr>
                <w:rFonts w:ascii="Times New Roman" w:hAnsi="Times New Roman"/>
                <w:sz w:val="22"/>
              </w:rPr>
              <w:t>3.2</w:t>
            </w:r>
          </w:p>
        </w:tc>
        <w:tc>
          <w:tcPr>
            <w:tcW w:type="dxa" w:w="2770"/>
          </w:tcPr>
          <w:p>
            <w:pPr>
              <w:spacing w:after="40" w:line="288" w:lineRule="auto"/>
            </w:pPr>
            <w:r>
              <w:rPr>
                <w:rFonts w:ascii="Times New Roman" w:hAnsi="Times New Roman"/>
                <w:sz w:val="22"/>
              </w:rPr>
              <w:t>Statutory Interest Rates and Thresholds for Sections 234A, 234B, and 234C</w:t>
            </w:r>
          </w:p>
        </w:tc>
        <w:tc>
          <w:tcPr>
            <w:tcW w:type="dxa" w:w="2770"/>
          </w:tcPr>
          <w:p>
            <w:pPr>
              <w:spacing w:after="40" w:line="288" w:lineRule="auto"/>
              <w:jc w:val="right"/>
            </w:pPr>
            <w:r>
              <w:rPr>
                <w:rFonts w:ascii="Times New Roman" w:hAnsi="Times New Roman"/>
                <w:sz w:val="22"/>
              </w:rPr>
              <w:t>23</w:t>
            </w:r>
          </w:p>
        </w:tc>
      </w:tr>
      <w:tr>
        <w:tc>
          <w:tcPr>
            <w:tcW w:type="dxa" w:w="2770"/>
          </w:tcPr>
          <w:p>
            <w:pPr>
              <w:spacing w:after="40" w:line="288" w:lineRule="auto"/>
            </w:pPr>
            <w:r>
              <w:rPr>
                <w:rFonts w:ascii="Times New Roman" w:hAnsi="Times New Roman"/>
                <w:sz w:val="22"/>
              </w:rPr>
              <w:t>3.3</w:t>
            </w:r>
          </w:p>
        </w:tc>
        <w:tc>
          <w:tcPr>
            <w:tcW w:type="dxa" w:w="2770"/>
          </w:tcPr>
          <w:p>
            <w:pPr>
              <w:spacing w:after="40" w:line="288" w:lineRule="auto"/>
            </w:pPr>
            <w:r>
              <w:rPr>
                <w:rFonts w:ascii="Times New Roman" w:hAnsi="Times New Roman"/>
                <w:sz w:val="22"/>
              </w:rPr>
              <w:t>Capital Gains Tax Rates (LTCG / STCG post-July 23, 2024)</w:t>
            </w:r>
          </w:p>
        </w:tc>
        <w:tc>
          <w:tcPr>
            <w:tcW w:type="dxa" w:w="2770"/>
          </w:tcPr>
          <w:p>
            <w:pPr>
              <w:spacing w:after="40" w:line="288" w:lineRule="auto"/>
              <w:jc w:val="right"/>
            </w:pPr>
            <w:r>
              <w:rPr>
                <w:rFonts w:ascii="Times New Roman" w:hAnsi="Times New Roman"/>
                <w:sz w:val="22"/>
              </w:rPr>
              <w:t>26</w:t>
            </w:r>
          </w:p>
        </w:tc>
      </w:tr>
      <w:tr>
        <w:tc>
          <w:tcPr>
            <w:tcW w:type="dxa" w:w="2770"/>
          </w:tcPr>
          <w:p>
            <w:pPr>
              <w:spacing w:after="40" w:line="288" w:lineRule="auto"/>
            </w:pPr>
            <w:r>
              <w:rPr>
                <w:rFonts w:ascii="Times New Roman" w:hAnsi="Times New Roman"/>
                <w:sz w:val="22"/>
              </w:rPr>
              <w:t>4.1</w:t>
            </w:r>
          </w:p>
        </w:tc>
        <w:tc>
          <w:tcPr>
            <w:tcW w:type="dxa" w:w="2770"/>
          </w:tcPr>
          <w:p>
            <w:pPr>
              <w:spacing w:after="40" w:line="288" w:lineRule="auto"/>
            </w:pPr>
            <w:r>
              <w:rPr>
                <w:rFonts w:ascii="Times New Roman" w:hAnsi="Times New Roman"/>
                <w:sz w:val="22"/>
              </w:rPr>
              <w:t>Software Specifications and Development Dependencies</w:t>
            </w:r>
          </w:p>
        </w:tc>
        <w:tc>
          <w:tcPr>
            <w:tcW w:type="dxa" w:w="2770"/>
          </w:tcPr>
          <w:p>
            <w:pPr>
              <w:spacing w:after="40" w:line="288" w:lineRule="auto"/>
              <w:jc w:val="right"/>
            </w:pPr>
            <w:r>
              <w:rPr>
                <w:rFonts w:ascii="Times New Roman" w:hAnsi="Times New Roman"/>
                <w:sz w:val="22"/>
              </w:rPr>
              <w:t>30</w:t>
            </w:r>
          </w:p>
        </w:tc>
      </w:tr>
      <w:tr>
        <w:tc>
          <w:tcPr>
            <w:tcW w:type="dxa" w:w="2770"/>
          </w:tcPr>
          <w:p>
            <w:pPr>
              <w:spacing w:after="40" w:line="288" w:lineRule="auto"/>
            </w:pPr>
            <w:r>
              <w:rPr>
                <w:rFonts w:ascii="Times New Roman" w:hAnsi="Times New Roman"/>
                <w:sz w:val="22"/>
              </w:rPr>
              <w:t>4.2</w:t>
            </w:r>
          </w:p>
        </w:tc>
        <w:tc>
          <w:tcPr>
            <w:tcW w:type="dxa" w:w="2770"/>
          </w:tcPr>
          <w:p>
            <w:pPr>
              <w:spacing w:after="40" w:line="288" w:lineRule="auto"/>
            </w:pPr>
            <w:r>
              <w:rPr>
                <w:rFonts w:ascii="Times New Roman" w:hAnsi="Times New Roman"/>
                <w:sz w:val="22"/>
              </w:rPr>
              <w:t>Hardware Resource Utilization &amp; Response Latency Benchmarks</w:t>
            </w:r>
          </w:p>
        </w:tc>
        <w:tc>
          <w:tcPr>
            <w:tcW w:type="dxa" w:w="2770"/>
          </w:tcPr>
          <w:p>
            <w:pPr>
              <w:spacing w:after="40" w:line="288" w:lineRule="auto"/>
              <w:jc w:val="right"/>
            </w:pPr>
            <w:r>
              <w:rPr>
                <w:rFonts w:ascii="Times New Roman" w:hAnsi="Times New Roman"/>
                <w:sz w:val="22"/>
              </w:rPr>
              <w:t>40</w:t>
            </w:r>
          </w:p>
        </w:tc>
      </w:tr>
      <w:tr>
        <w:tc>
          <w:tcPr>
            <w:tcW w:type="dxa" w:w="2770"/>
          </w:tcPr>
          <w:p>
            <w:pPr>
              <w:spacing w:after="40" w:line="288" w:lineRule="auto"/>
            </w:pPr>
            <w:r>
              <w:rPr>
                <w:rFonts w:ascii="Times New Roman" w:hAnsi="Times New Roman"/>
                <w:sz w:val="22"/>
              </w:rPr>
              <w:t>4.3</w:t>
            </w:r>
          </w:p>
        </w:tc>
        <w:tc>
          <w:tcPr>
            <w:tcW w:type="dxa" w:w="2770"/>
          </w:tcPr>
          <w:p>
            <w:pPr>
              <w:spacing w:after="40" w:line="288" w:lineRule="auto"/>
            </w:pPr>
            <w:r>
              <w:rPr>
                <w:rFonts w:ascii="Times New Roman" w:hAnsi="Times New Roman"/>
                <w:sz w:val="22"/>
              </w:rPr>
              <w:t>Comparative Matrix: Halo vs Cloud-Based Wealth Management Solutions</w:t>
            </w:r>
          </w:p>
        </w:tc>
        <w:tc>
          <w:tcPr>
            <w:tcW w:type="dxa" w:w="2770"/>
          </w:tcPr>
          <w:p>
            <w:pPr>
              <w:spacing w:after="40" w:line="288" w:lineRule="auto"/>
              <w:jc w:val="right"/>
            </w:pPr>
            <w:r>
              <w:rPr>
                <w:rFonts w:ascii="Times New Roman" w:hAnsi="Times New Roman"/>
                <w:sz w:val="22"/>
              </w:rPr>
              <w:t>42</w:t>
            </w:r>
          </w:p>
        </w:tc>
      </w:tr>
    </w:tbl>
    <w:p>
      <w:r>
        <w:br w:type="page"/>
      </w:r>
    </w:p>
    <w:p>
      <w:pPr>
        <w:spacing w:after="320" w:line="360" w:lineRule="auto"/>
        <w:jc w:val="center"/>
      </w:pPr>
      <w:r>
        <w:rPr>
          <w:rFonts w:ascii="Times New Roman" w:hAnsi="Times New Roman"/>
          <w:b/>
          <w:sz w:val="32"/>
        </w:rPr>
        <w:t>Nomenclature</w:t>
      </w:r>
    </w:p>
    <w:tbl>
      <w:tblPr>
        <w:tblW w:type="auto" w:w="0"/>
        <w:jc w:val="center"/>
        <w:tblLook w:firstColumn="1" w:firstRow="1" w:lastColumn="0" w:lastRow="0" w:noHBand="0" w:noVBand="1" w:val="04A0"/>
      </w:tblPr>
      <w:tblGrid>
        <w:gridCol w:w="4154"/>
        <w:gridCol w:w="4154"/>
      </w:tblGrid>
      <w:tr>
        <w:tc>
          <w:tcPr>
            <w:tcW w:type="dxa" w:w="4154"/>
          </w:tcPr>
          <w:p>
            <w:pPr>
              <w:spacing w:after="40" w:line="288" w:lineRule="auto"/>
            </w:pPr>
            <w:r>
              <w:rPr>
                <w:rFonts w:ascii="Times New Roman" w:hAnsi="Times New Roman"/>
                <w:b/>
                <w:sz w:val="22"/>
              </w:rPr>
              <w:t>Y</w:t>
            </w:r>
          </w:p>
        </w:tc>
        <w:tc>
          <w:tcPr>
            <w:tcW w:type="dxa" w:w="4154"/>
          </w:tcPr>
          <w:p>
            <w:pPr>
              <w:spacing w:after="40" w:line="288" w:lineRule="auto"/>
            </w:pPr>
            <w:r>
              <w:rPr>
                <w:rFonts w:ascii="Times New Roman" w:hAnsi="Times New Roman"/>
                <w:sz w:val="22"/>
              </w:rPr>
              <w:t>Gross Total Annual Income of the individual taxpayer (₹)</w:t>
            </w:r>
          </w:p>
        </w:tc>
      </w:tr>
      <w:tr>
        <w:tc>
          <w:tcPr>
            <w:tcW w:type="dxa" w:w="4154"/>
          </w:tcPr>
          <w:p>
            <w:pPr>
              <w:spacing w:after="40" w:line="288" w:lineRule="auto"/>
            </w:pPr>
            <w:r>
              <w:rPr>
                <w:rFonts w:ascii="Times New Roman" w:hAnsi="Times New Roman"/>
                <w:b/>
                <w:sz w:val="22"/>
              </w:rPr>
              <w:t>Y_taxable</w:t>
            </w:r>
          </w:p>
        </w:tc>
        <w:tc>
          <w:tcPr>
            <w:tcW w:type="dxa" w:w="4154"/>
          </w:tcPr>
          <w:p>
            <w:pPr>
              <w:spacing w:after="40" w:line="288" w:lineRule="auto"/>
            </w:pPr>
            <w:r>
              <w:rPr>
                <w:rFonts w:ascii="Times New Roman" w:hAnsi="Times New Roman"/>
                <w:sz w:val="22"/>
              </w:rPr>
              <w:t>Net Taxable Income after allowable chapter VI-A deductions and standard deduction (₹)</w:t>
            </w:r>
          </w:p>
        </w:tc>
      </w:tr>
      <w:tr>
        <w:tc>
          <w:tcPr>
            <w:tcW w:type="dxa" w:w="4154"/>
          </w:tcPr>
          <w:p>
            <w:pPr>
              <w:spacing w:after="40" w:line="288" w:lineRule="auto"/>
            </w:pPr>
            <w:r>
              <w:rPr>
                <w:rFonts w:ascii="Times New Roman" w:hAnsi="Times New Roman"/>
                <w:b/>
                <w:sz w:val="22"/>
              </w:rPr>
              <w:t>D_std</w:t>
            </w:r>
          </w:p>
        </w:tc>
        <w:tc>
          <w:tcPr>
            <w:tcW w:type="dxa" w:w="4154"/>
          </w:tcPr>
          <w:p>
            <w:pPr>
              <w:spacing w:after="40" w:line="288" w:lineRule="auto"/>
            </w:pPr>
            <w:r>
              <w:rPr>
                <w:rFonts w:ascii="Times New Roman" w:hAnsi="Times New Roman"/>
                <w:sz w:val="22"/>
              </w:rPr>
              <w:t>Statutory Standard Deduction under Indian Income-tax Act (₹75,000 for New Regime, ₹50,000 Old)</w:t>
            </w:r>
          </w:p>
        </w:tc>
      </w:tr>
      <w:tr>
        <w:tc>
          <w:tcPr>
            <w:tcW w:type="dxa" w:w="4154"/>
          </w:tcPr>
          <w:p>
            <w:pPr>
              <w:spacing w:after="40" w:line="288" w:lineRule="auto"/>
            </w:pPr>
            <w:r>
              <w:rPr>
                <w:rFonts w:ascii="Times New Roman" w:hAnsi="Times New Roman"/>
                <w:b/>
                <w:sz w:val="22"/>
              </w:rPr>
              <w:t>T_gross</w:t>
            </w:r>
          </w:p>
        </w:tc>
        <w:tc>
          <w:tcPr>
            <w:tcW w:type="dxa" w:w="4154"/>
          </w:tcPr>
          <w:p>
            <w:pPr>
              <w:spacing w:after="40" w:line="288" w:lineRule="auto"/>
            </w:pPr>
            <w:r>
              <w:rPr>
                <w:rFonts w:ascii="Times New Roman" w:hAnsi="Times New Roman"/>
                <w:sz w:val="22"/>
              </w:rPr>
              <w:t>Gross Income Tax computed on taxable slabs prior to rebates, surcharges, and cess (₹)</w:t>
            </w:r>
          </w:p>
        </w:tc>
      </w:tr>
      <w:tr>
        <w:tc>
          <w:tcPr>
            <w:tcW w:type="dxa" w:w="4154"/>
          </w:tcPr>
          <w:p>
            <w:pPr>
              <w:spacing w:after="40" w:line="288" w:lineRule="auto"/>
            </w:pPr>
            <w:r>
              <w:rPr>
                <w:rFonts w:ascii="Times New Roman" w:hAnsi="Times New Roman"/>
                <w:b/>
                <w:sz w:val="22"/>
              </w:rPr>
              <w:t>R_87A</w:t>
            </w:r>
          </w:p>
        </w:tc>
        <w:tc>
          <w:tcPr>
            <w:tcW w:type="dxa" w:w="4154"/>
          </w:tcPr>
          <w:p>
            <w:pPr>
              <w:spacing w:after="40" w:line="288" w:lineRule="auto"/>
            </w:pPr>
            <w:r>
              <w:rPr>
                <w:rFonts w:ascii="Times New Roman" w:hAnsi="Times New Roman"/>
                <w:sz w:val="22"/>
              </w:rPr>
              <w:t>Statutory tax rebate computed under Section 87A of the Income-tax Act (₹)</w:t>
            </w:r>
          </w:p>
        </w:tc>
      </w:tr>
      <w:tr>
        <w:tc>
          <w:tcPr>
            <w:tcW w:type="dxa" w:w="4154"/>
          </w:tcPr>
          <w:p>
            <w:pPr>
              <w:spacing w:after="40" w:line="288" w:lineRule="auto"/>
            </w:pPr>
            <w:r>
              <w:rPr>
                <w:rFonts w:ascii="Times New Roman" w:hAnsi="Times New Roman"/>
                <w:b/>
                <w:sz w:val="22"/>
              </w:rPr>
              <w:t>T_net</w:t>
            </w:r>
          </w:p>
        </w:tc>
        <w:tc>
          <w:tcPr>
            <w:tcW w:type="dxa" w:w="4154"/>
          </w:tcPr>
          <w:p>
            <w:pPr>
              <w:spacing w:after="40" w:line="288" w:lineRule="auto"/>
            </w:pPr>
            <w:r>
              <w:rPr>
                <w:rFonts w:ascii="Times New Roman" w:hAnsi="Times New Roman"/>
                <w:sz w:val="22"/>
              </w:rPr>
              <w:t>Net Tax Liability payable after statutory rebates, marginal relief, surcharges, and 4% cess (₹)</w:t>
            </w:r>
          </w:p>
        </w:tc>
      </w:tr>
      <w:tr>
        <w:tc>
          <w:tcPr>
            <w:tcW w:type="dxa" w:w="4154"/>
          </w:tcPr>
          <w:p>
            <w:pPr>
              <w:spacing w:after="40" w:line="288" w:lineRule="auto"/>
            </w:pPr>
            <w:r>
              <w:rPr>
                <w:rFonts w:ascii="Times New Roman" w:hAnsi="Times New Roman"/>
                <w:b/>
                <w:sz w:val="22"/>
              </w:rPr>
              <w:t>P</w:t>
            </w:r>
          </w:p>
        </w:tc>
        <w:tc>
          <w:tcPr>
            <w:tcW w:type="dxa" w:w="4154"/>
          </w:tcPr>
          <w:p>
            <w:pPr>
              <w:spacing w:after="40" w:line="288" w:lineRule="auto"/>
            </w:pPr>
            <w:r>
              <w:rPr>
                <w:rFonts w:ascii="Times New Roman" w:hAnsi="Times New Roman"/>
                <w:sz w:val="22"/>
              </w:rPr>
              <w:t>Outstanding principal balance of a loan liability (₹)</w:t>
            </w:r>
          </w:p>
        </w:tc>
      </w:tr>
      <w:tr>
        <w:tc>
          <w:tcPr>
            <w:tcW w:type="dxa" w:w="4154"/>
          </w:tcPr>
          <w:p>
            <w:pPr>
              <w:spacing w:after="40" w:line="288" w:lineRule="auto"/>
            </w:pPr>
            <w:r>
              <w:rPr>
                <w:rFonts w:ascii="Times New Roman" w:hAnsi="Times New Roman"/>
                <w:b/>
                <w:sz w:val="22"/>
              </w:rPr>
              <w:t>r</w:t>
            </w:r>
          </w:p>
        </w:tc>
        <w:tc>
          <w:tcPr>
            <w:tcW w:type="dxa" w:w="4154"/>
          </w:tcPr>
          <w:p>
            <w:pPr>
              <w:spacing w:after="40" w:line="288" w:lineRule="auto"/>
            </w:pPr>
            <w:r>
              <w:rPr>
                <w:rFonts w:ascii="Times New Roman" w:hAnsi="Times New Roman"/>
                <w:sz w:val="22"/>
              </w:rPr>
              <w:t>Monthly statutory or contract interest rate (Annual Nominal Rate / 12 / 100)</w:t>
            </w:r>
          </w:p>
        </w:tc>
      </w:tr>
      <w:tr>
        <w:tc>
          <w:tcPr>
            <w:tcW w:type="dxa" w:w="4154"/>
          </w:tcPr>
          <w:p>
            <w:pPr>
              <w:spacing w:after="40" w:line="288" w:lineRule="auto"/>
            </w:pPr>
            <w:r>
              <w:rPr>
                <w:rFonts w:ascii="Times New Roman" w:hAnsi="Times New Roman"/>
                <w:b/>
                <w:sz w:val="22"/>
              </w:rPr>
              <w:t>n</w:t>
            </w:r>
          </w:p>
        </w:tc>
        <w:tc>
          <w:tcPr>
            <w:tcW w:type="dxa" w:w="4154"/>
          </w:tcPr>
          <w:p>
            <w:pPr>
              <w:spacing w:after="40" w:line="288" w:lineRule="auto"/>
            </w:pPr>
            <w:r>
              <w:rPr>
                <w:rFonts w:ascii="Times New Roman" w:hAnsi="Times New Roman"/>
                <w:sz w:val="22"/>
              </w:rPr>
              <w:t>Total remaining amortization tenure in months</w:t>
            </w:r>
          </w:p>
        </w:tc>
      </w:tr>
      <w:tr>
        <w:tc>
          <w:tcPr>
            <w:tcW w:type="dxa" w:w="4154"/>
          </w:tcPr>
          <w:p>
            <w:pPr>
              <w:spacing w:after="40" w:line="288" w:lineRule="auto"/>
            </w:pPr>
            <w:r>
              <w:rPr>
                <w:rFonts w:ascii="Times New Roman" w:hAnsi="Times New Roman"/>
                <w:b/>
                <w:sz w:val="22"/>
              </w:rPr>
              <w:t>EMI</w:t>
            </w:r>
          </w:p>
        </w:tc>
        <w:tc>
          <w:tcPr>
            <w:tcW w:type="dxa" w:w="4154"/>
          </w:tcPr>
          <w:p>
            <w:pPr>
              <w:spacing w:after="40" w:line="288" w:lineRule="auto"/>
            </w:pPr>
            <w:r>
              <w:rPr>
                <w:rFonts w:ascii="Times New Roman" w:hAnsi="Times New Roman"/>
                <w:sz w:val="22"/>
              </w:rPr>
              <w:t>Equated Monthly Installment computed via standard continuous amortization (₹)</w:t>
            </w:r>
          </w:p>
        </w:tc>
      </w:tr>
      <w:tr>
        <w:tc>
          <w:tcPr>
            <w:tcW w:type="dxa" w:w="4154"/>
          </w:tcPr>
          <w:p>
            <w:pPr>
              <w:spacing w:after="40" w:line="288" w:lineRule="auto"/>
            </w:pPr>
            <w:r>
              <w:rPr>
                <w:rFonts w:ascii="Times New Roman" w:hAnsi="Times New Roman"/>
                <w:b/>
                <w:sz w:val="22"/>
              </w:rPr>
              <w:t>CAGR</w:t>
            </w:r>
          </w:p>
        </w:tc>
        <w:tc>
          <w:tcPr>
            <w:tcW w:type="dxa" w:w="4154"/>
          </w:tcPr>
          <w:p>
            <w:pPr>
              <w:spacing w:after="40" w:line="288" w:lineRule="auto"/>
            </w:pPr>
            <w:r>
              <w:rPr>
                <w:rFonts w:ascii="Times New Roman" w:hAnsi="Times New Roman"/>
                <w:sz w:val="22"/>
              </w:rPr>
              <w:t>Compound Annual Growth Rate of portfolio asset holdings (%)</w:t>
            </w:r>
          </w:p>
        </w:tc>
      </w:tr>
      <w:tr>
        <w:tc>
          <w:tcPr>
            <w:tcW w:type="dxa" w:w="4154"/>
          </w:tcPr>
          <w:p>
            <w:pPr>
              <w:spacing w:after="40" w:line="288" w:lineRule="auto"/>
            </w:pPr>
            <w:r>
              <w:rPr>
                <w:rFonts w:ascii="Times New Roman" w:hAnsi="Times New Roman"/>
                <w:b/>
                <w:sz w:val="22"/>
              </w:rPr>
              <w:t>XIRR</w:t>
            </w:r>
          </w:p>
        </w:tc>
        <w:tc>
          <w:tcPr>
            <w:tcW w:type="dxa" w:w="4154"/>
          </w:tcPr>
          <w:p>
            <w:pPr>
              <w:spacing w:after="40" w:line="288" w:lineRule="auto"/>
            </w:pPr>
            <w:r>
              <w:rPr>
                <w:rFonts w:ascii="Times New Roman" w:hAnsi="Times New Roman"/>
                <w:sz w:val="22"/>
              </w:rPr>
              <w:t>Extended Internal Rate of Return computed across irregular cash flow dates (%)</w:t>
            </w:r>
          </w:p>
        </w:tc>
      </w:tr>
      <w:tr>
        <w:tc>
          <w:tcPr>
            <w:tcW w:type="dxa" w:w="4154"/>
          </w:tcPr>
          <w:p>
            <w:pPr>
              <w:spacing w:after="40" w:line="288" w:lineRule="auto"/>
            </w:pPr>
            <w:r>
              <w:rPr>
                <w:rFonts w:ascii="Times New Roman" w:hAnsi="Times New Roman"/>
                <w:b/>
                <w:sz w:val="22"/>
              </w:rPr>
              <w:t>F_FIRE</w:t>
            </w:r>
          </w:p>
        </w:tc>
        <w:tc>
          <w:tcPr>
            <w:tcW w:type="dxa" w:w="4154"/>
          </w:tcPr>
          <w:p>
            <w:pPr>
              <w:spacing w:after="40" w:line="288" w:lineRule="auto"/>
            </w:pPr>
            <w:r>
              <w:rPr>
                <w:rFonts w:ascii="Times New Roman" w:hAnsi="Times New Roman"/>
                <w:sz w:val="22"/>
              </w:rPr>
              <w:t>Target Financial Independence Retirement Early corpus value (₹)</w:t>
            </w:r>
          </w:p>
        </w:tc>
      </w:tr>
      <w:tr>
        <w:tc>
          <w:tcPr>
            <w:tcW w:type="dxa" w:w="4154"/>
          </w:tcPr>
          <w:p>
            <w:pPr>
              <w:spacing w:after="40" w:line="288" w:lineRule="auto"/>
            </w:pPr>
            <w:r>
              <w:rPr>
                <w:rFonts w:ascii="Times New Roman" w:hAnsi="Times New Roman"/>
                <w:b/>
                <w:sz w:val="22"/>
              </w:rPr>
              <w:t>SWR</w:t>
            </w:r>
          </w:p>
        </w:tc>
        <w:tc>
          <w:tcPr>
            <w:tcW w:type="dxa" w:w="4154"/>
          </w:tcPr>
          <w:p>
            <w:pPr>
              <w:spacing w:after="40" w:line="288" w:lineRule="auto"/>
            </w:pPr>
            <w:r>
              <w:rPr>
                <w:rFonts w:ascii="Times New Roman" w:hAnsi="Times New Roman"/>
                <w:sz w:val="22"/>
              </w:rPr>
              <w:t>Safe Withdrawal Rate applied to annual retirement expenditures (typically 3.5% - 4.0%)</w:t>
            </w:r>
          </w:p>
        </w:tc>
      </w:tr>
      <w:tr>
        <w:tc>
          <w:tcPr>
            <w:tcW w:type="dxa" w:w="4154"/>
          </w:tcPr>
          <w:p>
            <w:pPr>
              <w:spacing w:after="40" w:line="288" w:lineRule="auto"/>
            </w:pPr>
            <w:r>
              <w:rPr>
                <w:rFonts w:ascii="Times New Roman" w:hAnsi="Times New Roman"/>
                <w:b/>
                <w:sz w:val="22"/>
              </w:rPr>
              <w:t>M_runway</w:t>
            </w:r>
          </w:p>
        </w:tc>
        <w:tc>
          <w:tcPr>
            <w:tcW w:type="dxa" w:w="4154"/>
          </w:tcPr>
          <w:p>
            <w:pPr>
              <w:spacing w:after="40" w:line="288" w:lineRule="auto"/>
            </w:pPr>
            <w:r>
              <w:rPr>
                <w:rFonts w:ascii="Times New Roman" w:hAnsi="Times New Roman"/>
                <w:sz w:val="22"/>
              </w:rPr>
              <w:t>Emergency liquidity survival runway expressed in integer calendar months</w:t>
            </w:r>
          </w:p>
        </w:tc>
      </w:tr>
      <w:tr>
        <w:tc>
          <w:tcPr>
            <w:tcW w:type="dxa" w:w="4154"/>
          </w:tcPr>
          <w:p>
            <w:pPr>
              <w:spacing w:after="40" w:line="288" w:lineRule="auto"/>
            </w:pPr>
            <w:r>
              <w:rPr>
                <w:rFonts w:ascii="Times New Roman" w:hAnsi="Times New Roman"/>
                <w:b/>
                <w:sz w:val="22"/>
              </w:rPr>
              <w:t>RAG</w:t>
            </w:r>
          </w:p>
        </w:tc>
        <w:tc>
          <w:tcPr>
            <w:tcW w:type="dxa" w:w="4154"/>
          </w:tcPr>
          <w:p>
            <w:pPr>
              <w:spacing w:after="40" w:line="288" w:lineRule="auto"/>
            </w:pPr>
            <w:r>
              <w:rPr>
                <w:rFonts w:ascii="Times New Roman" w:hAnsi="Times New Roman"/>
                <w:sz w:val="22"/>
              </w:rPr>
              <w:t>Retrieval-Augmented Generation</w:t>
            </w:r>
          </w:p>
        </w:tc>
      </w:tr>
      <w:tr>
        <w:tc>
          <w:tcPr>
            <w:tcW w:type="dxa" w:w="4154"/>
          </w:tcPr>
          <w:p>
            <w:pPr>
              <w:spacing w:after="40" w:line="288" w:lineRule="auto"/>
            </w:pPr>
            <w:r>
              <w:rPr>
                <w:rFonts w:ascii="Times New Roman" w:hAnsi="Times New Roman"/>
                <w:b/>
                <w:sz w:val="22"/>
              </w:rPr>
              <w:t>LLM</w:t>
            </w:r>
          </w:p>
        </w:tc>
        <w:tc>
          <w:tcPr>
            <w:tcW w:type="dxa" w:w="4154"/>
          </w:tcPr>
          <w:p>
            <w:pPr>
              <w:spacing w:after="40" w:line="288" w:lineRule="auto"/>
            </w:pPr>
            <w:r>
              <w:rPr>
                <w:rFonts w:ascii="Times New Roman" w:hAnsi="Times New Roman"/>
                <w:sz w:val="22"/>
              </w:rPr>
              <w:t>Large Language Model (Quantized local inference model)</w:t>
            </w:r>
          </w:p>
        </w:tc>
      </w:tr>
      <w:tr>
        <w:tc>
          <w:tcPr>
            <w:tcW w:type="dxa" w:w="4154"/>
          </w:tcPr>
          <w:p>
            <w:pPr>
              <w:spacing w:after="40" w:line="288" w:lineRule="auto"/>
            </w:pPr>
            <w:r>
              <w:rPr>
                <w:rFonts w:ascii="Times New Roman" w:hAnsi="Times New Roman"/>
                <w:b/>
                <w:sz w:val="22"/>
              </w:rPr>
              <w:t>CAS</w:t>
            </w:r>
          </w:p>
        </w:tc>
        <w:tc>
          <w:tcPr>
            <w:tcW w:type="dxa" w:w="4154"/>
          </w:tcPr>
          <w:p>
            <w:pPr>
              <w:spacing w:after="40" w:line="288" w:lineRule="auto"/>
            </w:pPr>
            <w:r>
              <w:rPr>
                <w:rFonts w:ascii="Times New Roman" w:hAnsi="Times New Roman"/>
                <w:sz w:val="22"/>
              </w:rPr>
              <w:t>Consolidated Account Statement (AMFI / CAMS / KFintech mutual fund registry)</w:t>
            </w:r>
          </w:p>
        </w:tc>
      </w:tr>
      <w:tr>
        <w:tc>
          <w:tcPr>
            <w:tcW w:type="dxa" w:w="4154"/>
          </w:tcPr>
          <w:p>
            <w:pPr>
              <w:spacing w:after="40" w:line="288" w:lineRule="auto"/>
            </w:pPr>
            <w:r>
              <w:rPr>
                <w:rFonts w:ascii="Times New Roman" w:hAnsi="Times New Roman"/>
                <w:b/>
                <w:sz w:val="22"/>
              </w:rPr>
              <w:t>PII</w:t>
            </w:r>
          </w:p>
        </w:tc>
        <w:tc>
          <w:tcPr>
            <w:tcW w:type="dxa" w:w="4154"/>
          </w:tcPr>
          <w:p>
            <w:pPr>
              <w:spacing w:after="40" w:line="288" w:lineRule="auto"/>
            </w:pPr>
            <w:r>
              <w:rPr>
                <w:rFonts w:ascii="Times New Roman" w:hAnsi="Times New Roman"/>
                <w:sz w:val="22"/>
              </w:rPr>
              <w:t>Personally Identifiable Information</w:t>
            </w:r>
          </w:p>
        </w:tc>
      </w:tr>
      <w:tr>
        <w:tc>
          <w:tcPr>
            <w:tcW w:type="dxa" w:w="4154"/>
          </w:tcPr>
          <w:p>
            <w:pPr>
              <w:spacing w:after="40" w:line="288" w:lineRule="auto"/>
            </w:pPr>
            <w:r>
              <w:rPr>
                <w:rFonts w:ascii="Times New Roman" w:hAnsi="Times New Roman"/>
                <w:b/>
                <w:sz w:val="22"/>
              </w:rPr>
              <w:t>HUF</w:t>
            </w:r>
          </w:p>
        </w:tc>
        <w:tc>
          <w:tcPr>
            <w:tcW w:type="dxa" w:w="4154"/>
          </w:tcPr>
          <w:p>
            <w:pPr>
              <w:spacing w:after="40" w:line="288" w:lineRule="auto"/>
            </w:pPr>
            <w:r>
              <w:rPr>
                <w:rFonts w:ascii="Times New Roman" w:hAnsi="Times New Roman"/>
                <w:sz w:val="22"/>
              </w:rPr>
              <w:t>Hindu Undivided Family (Recognized separate tax entity under Indian tax law)</w:t>
            </w:r>
          </w:p>
        </w:tc>
      </w:tr>
      <w:tr>
        <w:tc>
          <w:tcPr>
            <w:tcW w:type="dxa" w:w="4154"/>
          </w:tcPr>
          <w:p>
            <w:pPr>
              <w:spacing w:after="40" w:line="288" w:lineRule="auto"/>
            </w:pPr>
            <w:r>
              <w:rPr>
                <w:rFonts w:ascii="Times New Roman" w:hAnsi="Times New Roman"/>
                <w:b/>
                <w:sz w:val="22"/>
              </w:rPr>
              <w:t>EPF/PPF</w:t>
            </w:r>
          </w:p>
        </w:tc>
        <w:tc>
          <w:tcPr>
            <w:tcW w:type="dxa" w:w="4154"/>
          </w:tcPr>
          <w:p>
            <w:pPr>
              <w:spacing w:after="40" w:line="288" w:lineRule="auto"/>
            </w:pPr>
            <w:r>
              <w:rPr>
                <w:rFonts w:ascii="Times New Roman" w:hAnsi="Times New Roman"/>
                <w:sz w:val="22"/>
              </w:rPr>
              <w:t>Employee Provident Fund / Public Provident Fund</w:t>
            </w:r>
          </w:p>
        </w:tc>
      </w:tr>
      <w:tr>
        <w:tc>
          <w:tcPr>
            <w:tcW w:type="dxa" w:w="4154"/>
          </w:tcPr>
          <w:p>
            <w:pPr>
              <w:spacing w:after="40" w:line="288" w:lineRule="auto"/>
            </w:pPr>
            <w:r>
              <w:rPr>
                <w:rFonts w:ascii="Times New Roman" w:hAnsi="Times New Roman"/>
                <w:b/>
                <w:sz w:val="22"/>
              </w:rPr>
              <w:t>FOSS</w:t>
            </w:r>
          </w:p>
        </w:tc>
        <w:tc>
          <w:tcPr>
            <w:tcW w:type="dxa" w:w="4154"/>
          </w:tcPr>
          <w:p>
            <w:pPr>
              <w:spacing w:after="40" w:line="288" w:lineRule="auto"/>
            </w:pPr>
            <w:r>
              <w:rPr>
                <w:rFonts w:ascii="Times New Roman" w:hAnsi="Times New Roman"/>
                <w:sz w:val="22"/>
              </w:rPr>
              <w:t>Free and Open-Source Software</w:t>
            </w:r>
          </w:p>
        </w:tc>
      </w:tr>
    </w:tbl>
    <w:sectPr w:rsidR="00FC693F" w:rsidRPr="0006063C" w:rsidSect="00034616">
      <w:pgSz w:w="11909" w:h="16834"/>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