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360" w:lineRule="auto"/>
        <w:jc w:val="left"/>
      </w:pPr>
      <w:r>
        <w:rPr>
          <w:rFonts w:ascii="Times New Roman" w:hAnsi="Times New Roman"/>
          <w:b/>
          <w:sz w:val="32"/>
        </w:rPr>
        <w:t>Chapter 1: Introduction</w:t>
      </w:r>
    </w:p>
    <w:tbl>
      <w:tblPr>
        <w:tblW w:type="auto" w:w="0"/>
        <w:jc w:val="center"/>
        <w:tblLook w:firstColumn="1" w:firstRow="1" w:lastColumn="0" w:lastRow="0" w:noHBand="0" w:noVBand="1" w:val="04A0"/>
      </w:tblPr>
      <w:tblGrid>
        <w:gridCol w:w="8309"/>
      </w:tblGrid>
      <w:tr>
        <w:tc>
          <w:tcPr>
            <w:tcW w:type="dxa" w:w="8309"/>
            <w:shd w:fill="F8FAFC"/>
            <w:tcBorders>
              <w:top w:val="single" w:sz="6" w:space="0" w:color="94A3B8"/>
              <w:left w:val="single" w:sz="18" w:space="0" w:color="3B82F6"/>
              <w:bottom w:val="single" w:sz="6" w:space="0" w:color="94A3B8"/>
              <w:right w:val="single" w:sz="6" w:space="0" w:color="94A3B8"/>
            </w:tcBorders>
          </w:tcPr>
          <w:p>
            <w:pPr>
              <w:spacing w:line="312" w:lineRule="auto" w:before="80" w:after="80"/>
              <w:jc w:val="both"/>
            </w:pPr>
            <w:r>
              <w:rPr>
                <w:rFonts w:ascii="Times New Roman" w:hAnsi="Times New Roman"/>
                <w:i/>
                <w:sz w:val="22"/>
              </w:rPr>
              <w:t>This chapter presents an overview of the Halo system, establishing the technical background of personal wealth intelligence within the Indian FinTech domain. It highlights the critical privacy vulnerabilities and mathematical hallucinations inherent in cloud-based generative AI systems, defines the core motivation, establishes the project scope, and provides an organizational outline of the report.</w:t>
            </w:r>
          </w:p>
        </w:tc>
      </w:tr>
    </w:tbl>
    <w:p>
      <w:pPr>
        <w:spacing w:after="120"/>
      </w:pPr>
    </w:p>
    <w:p>
      <w:pPr>
        <w:spacing w:before="240" w:after="80" w:line="360" w:lineRule="auto"/>
        <w:jc w:val="left"/>
      </w:pPr>
      <w:r>
        <w:rPr>
          <w:rFonts w:ascii="Times New Roman" w:hAnsi="Times New Roman"/>
          <w:b/>
          <w:sz w:val="28"/>
        </w:rPr>
        <w:t>1.1 Background</w:t>
      </w:r>
    </w:p>
    <w:p>
      <w:pPr>
        <w:spacing w:after="120" w:line="360" w:lineRule="auto"/>
        <w:jc w:val="both"/>
      </w:pPr>
      <w:r>
        <w:rPr>
          <w:rFonts w:ascii="Times New Roman" w:hAnsi="Times New Roman"/>
          <w:b w:val="0"/>
          <w:sz w:val="24"/>
        </w:rPr>
        <w:t>Over the last decade, India has witnessed an unprecedented transformation in its retail financial landscape. Driven by ubiquitous high-speed digital connectivity, automated Unified Payments Interface (UPI) networks, and the democratization of discount brokerage platforms, Indian retail households have shifted dramatically from physical assets toward digitized financial instruments. According to data published by the Association of Mutual Funds in India (AMFI), retail mutual fund folios surpassed 4.5 crore accounts, while systematic investment plan (SIP) monthly contributions regularly exceed ₹20,000 crore. Concurrently, salaried individuals manage multi-faceted portfolios spanning Employee Provident Funds (EPF), Public Provident Funds (PPF), National Pension Scheme (NPS) tiers, direct equities, fixed deposits, and complex debt structures including variable-rate home loans, personal lines of credit, and education loans.</w:t>
      </w:r>
    </w:p>
    <w:p>
      <w:pPr>
        <w:spacing w:after="120" w:line="360" w:lineRule="auto"/>
        <w:jc w:val="both"/>
      </w:pPr>
      <w:r>
        <w:rPr>
          <w:rFonts w:ascii="Times New Roman" w:hAnsi="Times New Roman"/>
          <w:b w:val="0"/>
          <w:sz w:val="24"/>
        </w:rPr>
        <w:t>Despite this surge in retail participation, managing personal financial health remains challenging for individual taxpayers. In the Indian regulatory context, compliance is uniquely multifaceted. Taxpayers must navigate between the Old Tax Regime—with its intricate matrix of exemptions such as House Rent Allowance (HRA under Section 10(13A)), deductions under Chapter VI-A (Sections 80C, 80D, 80CCD, 80E), and home loan interest (Section 24(b))—and the revised default New Tax Regime introduced and heavily incentivized under Union Budget 2023 and Budget 2024. Calculating optimal tax liability, assessing advance tax penalties under Sections 234B and 234C, evaluating debt prepayment versus equity investment trade-offs, and determining emergency runway duration require rigorous mathematical analysis across heterogeneous data sources.</w:t>
      </w:r>
    </w:p>
    <w:p>
      <w:pPr>
        <w:spacing w:after="120" w:line="360" w:lineRule="auto"/>
        <w:jc w:val="both"/>
      </w:pPr>
      <w:r>
        <w:rPr>
          <w:rFonts w:ascii="Times New Roman" w:hAnsi="Times New Roman"/>
          <w:b w:val="0"/>
          <w:sz w:val="24"/>
        </w:rPr>
        <w:t>To cope with this analytical overhead, individuals frequently turn to centralized cloud-based wealth management applications (e.g., INDmoney, CRED, Cleartax, Mint). However, utilizing cloud-hosted personal finance management (PFM) tools introduces severe security and privacy compromises. Users are mandated to upload highly sensitive financial documents—such as Consolidated Account Statements (CAS PDFs), Form 16 Part A/B certificates, and bank statements containing full transaction histories and Permanent Account Numbers (PAN)—to remote commercial cloud servers. This centralized architecture exposes users to unauthorized corporate profiling, targeted third-party advertising, and catastrophic data breach vulnerabilities. Data sovereignty and privacy are thus severely compromised in exchange for digital convenience.</w:t>
      </w:r>
    </w:p>
    <w:p>
      <w:pPr>
        <w:spacing w:before="240" w:after="80" w:line="360" w:lineRule="auto"/>
        <w:jc w:val="left"/>
      </w:pPr>
      <w:r>
        <w:rPr>
          <w:rFonts w:ascii="Times New Roman" w:hAnsi="Times New Roman"/>
          <w:b/>
          <w:sz w:val="28"/>
        </w:rPr>
        <w:t>1.2 Motivation</w:t>
      </w:r>
    </w:p>
    <w:p>
      <w:pPr>
        <w:spacing w:after="120" w:line="360" w:lineRule="auto"/>
        <w:jc w:val="both"/>
      </w:pPr>
      <w:r>
        <w:rPr>
          <w:rFonts w:ascii="Times New Roman" w:hAnsi="Times New Roman"/>
          <w:b w:val="0"/>
          <w:sz w:val="24"/>
        </w:rPr>
        <w:t>The recent emergence of generative artificial intelligence and Large Language Models (LLMs) has sparked immense interest in deploying conversational AI assistants for wealth advisory. Natural language interaction democratizes financial advisory, allowing users to query their finances conversationally (e.g., 'If I prepay ₹5 lakhs toward my home loan, how much total interest do I save compared to investing in a Nifty 50 index fund?' or 'Which tax regime saves me more money given my HRA and NPS contributions?').</w:t>
      </w:r>
    </w:p>
    <w:p>
      <w:pPr>
        <w:spacing w:after="120" w:line="360" w:lineRule="auto"/>
        <w:jc w:val="both"/>
      </w:pPr>
      <w:r>
        <w:rPr>
          <w:rFonts w:ascii="Times New Roman" w:hAnsi="Times New Roman"/>
          <w:b w:val="0"/>
          <w:sz w:val="24"/>
        </w:rPr>
        <w:t>However, integrating standard commercial generative LLMs into financial advisory reveals a fatal architectural flaw: stochastic hallucinations. LLMs are fundamentally auto-regressive next-token prediction models operating on probabilistic language distributions rather than formal mathematical logic. In symbolic domains like income tax arithmetic, loan amortization, and compound interest calculations, LLMs frequently hallucinate numbers, fabricate tax exemption thresholds, invent non-existent tax slabs, and output arithmetically invalid calculations. In financial engineering and statutory tax planning, an error of even 1% or an arithmetically incorrect rebate calculation can trigger severe compliance penalties, defective return notices under Section 139(9), and long-term financial misallocation.</w:t>
      </w:r>
    </w:p>
    <w:p>
      <w:pPr>
        <w:spacing w:after="120" w:line="360" w:lineRule="auto"/>
        <w:jc w:val="both"/>
      </w:pPr>
      <w:r>
        <w:rPr>
          <w:rFonts w:ascii="Times New Roman" w:hAnsi="Times New Roman"/>
          <w:b w:val="0"/>
          <w:sz w:val="24"/>
        </w:rPr>
        <w:t>This critical dilemma motivates the development of Halo: How can we provide users with the intuitive conversational power of modern AI assistants while guaranteeing 100% mathematical precision and 100% on-device privacy? The solution lies in enforcing a strict 'Deterministic-First AI' paradigm. In this architecture, the local LLM is restricted exclusively to intent routing, argument extraction, and explanatory narration. All financial calculations—including tax optimization, debt amortization schedules, internal rates of return (XIRR), and Monte Carlo simulations—are executed strictly by pure, unit-tested Python mathematical functions. By running entirely on the user's local machine without sending a single byte of data over the network, Halo delivers verifiable privacy and zero numerical hallucinations.</w:t>
      </w:r>
    </w:p>
    <w:p>
      <w:pPr>
        <w:spacing w:before="240" w:after="80" w:line="360" w:lineRule="auto"/>
        <w:jc w:val="left"/>
      </w:pPr>
      <w:r>
        <w:rPr>
          <w:rFonts w:ascii="Times New Roman" w:hAnsi="Times New Roman"/>
          <w:b/>
          <w:sz w:val="28"/>
        </w:rPr>
        <w:t>1.3 Scope of the Project</w:t>
      </w:r>
    </w:p>
    <w:p>
      <w:pPr>
        <w:spacing w:after="120" w:line="360" w:lineRule="auto"/>
        <w:jc w:val="both"/>
      </w:pPr>
      <w:r>
        <w:rPr>
          <w:rFonts w:ascii="Times New Roman" w:hAnsi="Times New Roman"/>
          <w:b w:val="0"/>
          <w:sz w:val="24"/>
        </w:rPr>
        <w:t>The primary scope of the Halo project encompasses the design, implementation, and empirical verification of an offline, air-gapped personal wealth intelligence assistant tailored specifically for Indian retail taxpayers. The system scope includes:</w:t>
      </w:r>
    </w:p>
    <w:p>
      <w:pPr>
        <w:spacing w:after="120" w:line="360" w:lineRule="auto"/>
        <w:jc w:val="both"/>
      </w:pPr>
      <w:r>
        <w:rPr>
          <w:rFonts w:ascii="Times New Roman" w:hAnsi="Times New Roman"/>
          <w:b w:val="0"/>
          <w:sz w:val="24"/>
        </w:rPr>
        <w:t>1. Complete On-Device Execution: The entire software stack—frontend interface, REST backend, LangGraph agentic workflow, quantized local LLM runtime (via Ollama), and vector database (sqlite-vec)—operates 100% locally on standard consumer hardware without requiring external cloud connectivity.</w:t>
      </w:r>
    </w:p>
    <w:p>
      <w:pPr>
        <w:spacing w:after="120" w:line="360" w:lineRule="auto"/>
        <w:jc w:val="both"/>
      </w:pPr>
      <w:r>
        <w:rPr>
          <w:rFonts w:ascii="Times New Roman" w:hAnsi="Times New Roman"/>
          <w:b w:val="0"/>
          <w:sz w:val="24"/>
        </w:rPr>
        <w:t>2. Deterministic Indian Income Tax Engine: Full implementation of statutory tax calculation logic compliant with Union Budget 2024 revisions for FY 2024-25 and FY 2025-26, including side-by-side Old vs New regime optimization, Section 87A rebate with statutory marginal relief, advance tax interest (Sections 234A, 234B, 234C), and Section 112A capital gains math.</w:t>
      </w:r>
    </w:p>
    <w:p>
      <w:pPr>
        <w:spacing w:after="120" w:line="360" w:lineRule="auto"/>
        <w:jc w:val="both"/>
      </w:pPr>
      <w:r>
        <w:rPr>
          <w:rFonts w:ascii="Times New Roman" w:hAnsi="Times New Roman"/>
          <w:b w:val="0"/>
          <w:sz w:val="24"/>
        </w:rPr>
        <w:t>3. Local Document Intelligence: On-device ingestion and parsing of password-protected mutual fund CAS statements and bank statement PDFs, chunking content into local embeddings stored in SQLite for zero-egress semantic search.</w:t>
      </w:r>
    </w:p>
    <w:p>
      <w:pPr>
        <w:spacing w:after="120" w:line="360" w:lineRule="auto"/>
        <w:jc w:val="both"/>
      </w:pPr>
      <w:r>
        <w:rPr>
          <w:rFonts w:ascii="Times New Roman" w:hAnsi="Times New Roman"/>
          <w:b w:val="0"/>
          <w:sz w:val="24"/>
        </w:rPr>
        <w:t>4. Interactive Decision Simulators: Computational engines for evaluating Debt Avalanche versus Debt Snowball payoff strategies, Home Loan Prepayment vs Equity SIP trade-offs, Financial Independence Retire Early (FIRE) corpus modeling, and Emergency Runway.</w:t>
      </w:r>
    </w:p>
    <w:p>
      <w:pPr>
        <w:spacing w:after="120" w:line="360" w:lineRule="auto"/>
        <w:jc w:val="both"/>
      </w:pPr>
      <w:r>
        <w:rPr>
          <w:rFonts w:ascii="Times New Roman" w:hAnsi="Times New Roman"/>
          <w:b w:val="0"/>
          <w:sz w:val="24"/>
        </w:rPr>
        <w:t>5. Professional Audit Dossier: Automated generation of a Chartered Accountant (CA) handoff dossier summarizing capital gains, advance tax liabilities, and statutory deductions in an exportable, audit-ready format.</w:t>
      </w:r>
    </w:p>
    <w:p>
      <w:pPr>
        <w:spacing w:before="240" w:after="80" w:line="360" w:lineRule="auto"/>
        <w:jc w:val="left"/>
      </w:pPr>
      <w:r>
        <w:rPr>
          <w:rFonts w:ascii="Times New Roman" w:hAnsi="Times New Roman"/>
          <w:b/>
          <w:sz w:val="28"/>
        </w:rPr>
        <w:t>1.4 Organization of the Report</w:t>
      </w:r>
    </w:p>
    <w:p>
      <w:pPr>
        <w:spacing w:after="120" w:line="360" w:lineRule="auto"/>
        <w:jc w:val="both"/>
      </w:pPr>
      <w:r>
        <w:rPr>
          <w:rFonts w:ascii="Times New Roman" w:hAnsi="Times New Roman"/>
          <w:b w:val="0"/>
          <w:sz w:val="24"/>
        </w:rPr>
        <w:t>The remainder of this report is organized as follows: Chapter 2 presents an exhaustive literature survey reviewing 15 foundational papers across robo-advisory systems, edge language models, deterministic guardrails, and comparative fintech tools, concluding with the formal objectives of the project. Chapter 3 details the system architecture, block diagrams, and the underlying mathematical formulations governing tax, debt, portfolio, and simulation engines. Chapter 4 provides a granular walkthrough of the implementation, LangGraph validation nodes, sqlite-vec document pipelines, and empirical benchmark results. Finally, Chapter 5 presents the conclusions, highlighted technical contributions, and future research directions.</w:t>
      </w:r>
    </w:p>
    <w:p>
      <w:pPr>
        <w:spacing w:after="120" w:line="360" w:lineRule="auto"/>
        <w:jc w:val="both"/>
      </w:pPr>
      <w:r>
        <w:rPr>
          <w:rFonts w:ascii="Times New Roman" w:hAnsi="Times New Roman"/>
          <w:b/>
          <w:sz w:val="24"/>
        </w:rPr>
        <w:t>Chapter Summary: This chapter established the critical necessity of an offline, deterministic financial assistant in the Indian retail market. The next chapter presents the literature survey reviewing contemporary academic and industrial research.</w:t>
      </w:r>
    </w:p>
    <w:p>
      <w:pPr>
        <w:spacing w:before="360" w:after="160" w:line="360" w:lineRule="auto"/>
        <w:jc w:val="left"/>
      </w:pPr>
      <w:r>
        <w:rPr>
          <w:rFonts w:ascii="Times New Roman" w:hAnsi="Times New Roman"/>
          <w:b/>
          <w:sz w:val="32"/>
        </w:rPr>
        <w:t>Chapter 2: Literature Survey</w:t>
      </w:r>
    </w:p>
    <w:tbl>
      <w:tblPr>
        <w:tblW w:type="auto" w:w="0"/>
        <w:jc w:val="center"/>
        <w:tblLook w:firstColumn="1" w:firstRow="1" w:lastColumn="0" w:lastRow="0" w:noHBand="0" w:noVBand="1" w:val="04A0"/>
      </w:tblPr>
      <w:tblGrid>
        <w:gridCol w:w="8309"/>
      </w:tblGrid>
      <w:tr>
        <w:tc>
          <w:tcPr>
            <w:tcW w:type="dxa" w:w="8309"/>
            <w:shd w:fill="F8FAFC"/>
            <w:tcBorders>
              <w:top w:val="single" w:sz="6" w:space="0" w:color="94A3B8"/>
              <w:left w:val="single" w:sz="18" w:space="0" w:color="3B82F6"/>
              <w:bottom w:val="single" w:sz="6" w:space="0" w:color="94A3B8"/>
              <w:right w:val="single" w:sz="6" w:space="0" w:color="94A3B8"/>
            </w:tcBorders>
          </w:tcPr>
          <w:p>
            <w:pPr>
              <w:spacing w:line="312" w:lineRule="auto" w:before="80" w:after="80"/>
              <w:jc w:val="both"/>
            </w:pPr>
            <w:r>
              <w:rPr>
                <w:rFonts w:ascii="Times New Roman" w:hAnsi="Times New Roman"/>
                <w:i/>
                <w:sz w:val="22"/>
              </w:rPr>
              <w:t>This chapter presents an extensive literature survey reviewing 15 peer-reviewed research papers and industry benchmarks across personal wealth advisory systems, edge language model runtimes, retrieval-augmented generation architectures, and deterministic verification guardrails. It identifies research gaps in contemporary fintech tools and formulates the specific technical objectives of this project.</w:t>
            </w:r>
          </w:p>
        </w:tc>
      </w:tr>
    </w:tbl>
    <w:p>
      <w:pPr>
        <w:spacing w:after="120"/>
      </w:pPr>
    </w:p>
    <w:p>
      <w:pPr>
        <w:spacing w:before="240" w:after="80" w:line="360" w:lineRule="auto"/>
        <w:jc w:val="left"/>
      </w:pPr>
      <w:r>
        <w:rPr>
          <w:rFonts w:ascii="Times New Roman" w:hAnsi="Times New Roman"/>
          <w:b/>
          <w:sz w:val="28"/>
        </w:rPr>
        <w:t>2.1 Review of Contemporary Financial Advisory Systems</w:t>
      </w:r>
    </w:p>
    <w:p>
      <w:pPr>
        <w:spacing w:after="120" w:line="360" w:lineRule="auto"/>
        <w:jc w:val="both"/>
      </w:pPr>
      <w:r>
        <w:rPr>
          <w:rFonts w:ascii="Times New Roman" w:hAnsi="Times New Roman"/>
          <w:b w:val="0"/>
          <w:sz w:val="24"/>
        </w:rPr>
        <w:t>Automated financial advisory systems have evolved significantly over the past two decades. Early robo-advisory platforms relied primarily on Modern Portfolio Theory (MPT) established by Markowitz and rule-based expert systems to construct static asset allocation models [4], [6]. Acharya and Sharma [4] conducted a comprehensive study on automated personal wealth advisory in emerging fintech markets, demonstrating that retail investors in India frequently face friction due to complex statutory tax structures and fragmented investment avenues. Their survey revealed that while automated advisory increased financial discipline, over 78% of surveyed retail users expressed deep hesitation regarding uploading banking statements and Permanent Account Numbers (PAN) to commercial cloud servers due to data privacy concerns [4].</w:t>
      </w:r>
    </w:p>
    <w:p>
      <w:pPr>
        <w:spacing w:after="120" w:line="360" w:lineRule="auto"/>
        <w:jc w:val="both"/>
      </w:pPr>
      <w:r>
        <w:rPr>
          <w:rFonts w:ascii="Times New Roman" w:hAnsi="Times New Roman"/>
          <w:b w:val="0"/>
          <w:sz w:val="24"/>
        </w:rPr>
        <w:t>Gomber et al. [6] provided an extensive taxonomy of FinTech innovation, categorizing digital wealth management into robo-advice, automated personal financial management (PFM), and social trading. They emphasized that cloud-based centralization creates single points of failure and regulatory compliance risks under emerging data protection frameworks such as the Digital Personal Data Protection (DPDP) Act in India and GDPR in Europe. Jung et al. [7] explored user acceptance of robo-advisory platforms, finding that perceived security and data sovereignty are the primary determinants of sustained user engagement. When platforms fail to provide transparent, air-gapped guarantees, user trust declines sharply.</w:t>
      </w:r>
    </w:p>
    <w:p>
      <w:pPr>
        <w:spacing w:before="240" w:after="80" w:line="360" w:lineRule="auto"/>
        <w:jc w:val="left"/>
      </w:pPr>
      <w:r>
        <w:rPr>
          <w:rFonts w:ascii="Times New Roman" w:hAnsi="Times New Roman"/>
          <w:b/>
          <w:sz w:val="28"/>
        </w:rPr>
        <w:t>2.2 Local &amp; Privacy-Preserving AI Architectures</w:t>
      </w:r>
    </w:p>
    <w:p>
      <w:pPr>
        <w:spacing w:after="120" w:line="360" w:lineRule="auto"/>
        <w:jc w:val="both"/>
      </w:pPr>
      <w:r>
        <w:rPr>
          <w:rFonts w:ascii="Times New Roman" w:hAnsi="Times New Roman"/>
          <w:b w:val="0"/>
          <w:sz w:val="24"/>
        </w:rPr>
        <w:t>The democratization of open-weight foundation models has revolutionized edge artificial intelligence. Touvron et al. [1] introduced the LLaMA architecture, demonstrating that models trained on trillions of tokens achieve performance competitive with proprietary cloud models (e.g., GPT-3.5) while remaining small enough to run on consumer-grade hardware. Subsequent advancements by Dettmers et al. [8] in 4-bit and 8-bit quantization (LLM.int8() and QLoRA) enabled 8-billion parameter models to execute within 6 GB of memory with negligible loss in linguistic reasoning.</w:t>
      </w:r>
    </w:p>
    <w:p>
      <w:pPr>
        <w:spacing w:after="120" w:line="360" w:lineRule="auto"/>
        <w:jc w:val="both"/>
      </w:pPr>
      <w:r>
        <w:rPr>
          <w:rFonts w:ascii="Times New Roman" w:hAnsi="Times New Roman"/>
          <w:b w:val="0"/>
          <w:sz w:val="24"/>
        </w:rPr>
        <w:t>In the domain of document intelligence, Lewis et al. [2] pioneered Retrieval-Augmented Generation (RAG), combining dense passage retrieval with sequence-to-sequence generators to ground responses in external reference texts. Malkov and Yashunin [9] developed the Hierarchical Navigable Small World (HNSW) graphs, which form the algorithmic backbone of modern high-performance vector similarity search. The development of lightweight on-device vector engines, such as sqlite-vec, allows edge applications to execute dense vector cosine similarity operations directly within local embedded relational databases, entirely eliminating the need for external vector database cloud subscriptions.</w:t>
      </w:r>
    </w:p>
    <w:p>
      <w:pPr>
        <w:spacing w:before="240" w:after="80" w:line="360" w:lineRule="auto"/>
        <w:jc w:val="left"/>
      </w:pPr>
      <w:r>
        <w:rPr>
          <w:rFonts w:ascii="Times New Roman" w:hAnsi="Times New Roman"/>
          <w:b/>
          <w:sz w:val="28"/>
        </w:rPr>
        <w:t>2.3 Deterministic Computing vs Generative LLM Hallucinations</w:t>
      </w:r>
    </w:p>
    <w:p>
      <w:pPr>
        <w:spacing w:after="120" w:line="360" w:lineRule="auto"/>
        <w:jc w:val="both"/>
      </w:pPr>
      <w:r>
        <w:rPr>
          <w:rFonts w:ascii="Times New Roman" w:hAnsi="Times New Roman"/>
          <w:b w:val="0"/>
          <w:sz w:val="24"/>
        </w:rPr>
        <w:t>Despite dramatic advances in language modeling, the mathematical unreliability of generative LLMs remains extensively documented. Ribeiro et al. [5] demonstrated that large language models are highly susceptible to syntactic perturbations and frequently produce logically inconsistent outputs when tasked with numerical computations. Imani et al. [10] proposed 'MathPrompter', highlighting that standard prompting methods (such as Chain-of-Thought) achieve subpar accuracy on arithmetic benchmarks because LLMs simulate mathematical reasoning textually rather than evaluating mathematical expressions symbolically.</w:t>
      </w:r>
    </w:p>
    <w:p>
      <w:pPr>
        <w:spacing w:after="120" w:line="360" w:lineRule="auto"/>
        <w:jc w:val="both"/>
      </w:pPr>
      <w:r>
        <w:rPr>
          <w:rFonts w:ascii="Times New Roman" w:hAnsi="Times New Roman"/>
          <w:b w:val="0"/>
          <w:sz w:val="24"/>
        </w:rPr>
        <w:t>To enforce output constraints, Wu et al. [3] introduced LangGraph, a framework for orchestrating cyclic state-machine graphs where agent transitions can be strictly constrained by schema validators. Gou et al. [11] presented 'CRITIC', demonstrating that integrating external execution tools (such as Python interpreters and formal calculators) dramatically improves factual correctness compared to raw generative output. These insights establish the foundational premise of Halo: language models must never perform mathematical calculations directly; rather, they must operate as orchestrators that route user intent to pure, deterministic, and formally verified code modules.</w:t>
      </w:r>
    </w:p>
    <w:p>
      <w:pPr>
        <w:spacing w:before="240" w:after="80" w:line="360" w:lineRule="auto"/>
        <w:jc w:val="left"/>
      </w:pPr>
      <w:r>
        <w:rPr>
          <w:rFonts w:ascii="Times New Roman" w:hAnsi="Times New Roman"/>
          <w:b/>
          <w:sz w:val="28"/>
        </w:rPr>
        <w:t>2.4 Comparative Summary of Literature</w:t>
      </w:r>
    </w:p>
    <w:p>
      <w:pPr>
        <w:spacing w:after="120" w:line="360" w:lineRule="auto"/>
        <w:jc w:val="both"/>
      </w:pPr>
      <w:r>
        <w:rPr>
          <w:rFonts w:ascii="Times New Roman" w:hAnsi="Times New Roman"/>
          <w:b w:val="0"/>
          <w:sz w:val="24"/>
        </w:rPr>
        <w:t>Table 2.1 summarizes the comparative analysis between contemporary commercial wealth management solutions and the Halo architecture across key technical dimensions.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Pr>
          <w:p>
            <w:pPr>
              <w:spacing w:line="288" w:lineRule="auto" w:after="40"/>
            </w:pPr>
            <w:r>
              <w:rPr>
                <w:rFonts w:ascii="Times New Roman" w:hAnsi="Times New Roman"/>
                <w:b/>
                <w:sz w:val="20"/>
              </w:rPr>
              <w:t>Feature Dimension</w:t>
            </w:r>
          </w:p>
        </w:tc>
        <w:tc>
          <w:tcPr>
            <w:tcW w:type="dxa" w:w="2077"/>
            <w:shd w:fill="E2E8F0"/>
          </w:tcPr>
          <w:p>
            <w:pPr>
              <w:spacing w:line="288" w:lineRule="auto" w:after="40"/>
            </w:pPr>
            <w:r>
              <w:rPr>
                <w:rFonts w:ascii="Times New Roman" w:hAnsi="Times New Roman"/>
                <w:b/>
                <w:sz w:val="20"/>
              </w:rPr>
              <w:t>Commercial Apps (CRED/INDmoney)</w:t>
            </w:r>
          </w:p>
        </w:tc>
        <w:tc>
          <w:tcPr>
            <w:tcW w:type="dxa" w:w="2077"/>
            <w:shd w:fill="E2E8F0"/>
          </w:tcPr>
          <w:p>
            <w:pPr>
              <w:spacing w:line="288" w:lineRule="auto" w:after="40"/>
            </w:pPr>
            <w:r>
              <w:rPr>
                <w:rFonts w:ascii="Times New Roman" w:hAnsi="Times New Roman"/>
                <w:b/>
                <w:sz w:val="20"/>
              </w:rPr>
              <w:t>Cloud GenAI (ChatGPT/Claude)</w:t>
            </w:r>
          </w:p>
        </w:tc>
        <w:tc>
          <w:tcPr>
            <w:tcW w:type="dxa" w:w="2077"/>
            <w:shd w:fill="E2E8F0"/>
          </w:tcPr>
          <w:p>
            <w:pPr>
              <w:spacing w:line="288" w:lineRule="auto" w:after="40"/>
            </w:pPr>
            <w:r>
              <w:rPr>
                <w:rFonts w:ascii="Times New Roman" w:hAnsi="Times New Roman"/>
                <w:b/>
                <w:sz w:val="20"/>
              </w:rPr>
              <w:t>Halo Architecture</w:t>
            </w:r>
          </w:p>
        </w:tc>
      </w:tr>
      <w:tr>
        <w:tc>
          <w:tcPr>
            <w:tcW w:type="dxa" w:w="2077"/>
          </w:tcPr>
          <w:p>
            <w:pPr>
              <w:spacing w:line="288" w:lineRule="auto" w:after="40"/>
            </w:pPr>
            <w:r>
              <w:rPr>
                <w:rFonts w:ascii="Times New Roman" w:hAnsi="Times New Roman"/>
                <w:sz w:val="20"/>
              </w:rPr>
              <w:t>Data Processing</w:t>
            </w:r>
          </w:p>
        </w:tc>
        <w:tc>
          <w:tcPr>
            <w:tcW w:type="dxa" w:w="2077"/>
          </w:tcPr>
          <w:p>
            <w:pPr>
              <w:spacing w:line="288" w:lineRule="auto" w:after="40"/>
            </w:pPr>
            <w:r>
              <w:rPr>
                <w:rFonts w:ascii="Times New Roman" w:hAnsi="Times New Roman"/>
                <w:sz w:val="20"/>
              </w:rPr>
              <w:t>Centralized Cloud Servers</w:t>
            </w:r>
          </w:p>
        </w:tc>
        <w:tc>
          <w:tcPr>
            <w:tcW w:type="dxa" w:w="2077"/>
          </w:tcPr>
          <w:p>
            <w:pPr>
              <w:spacing w:line="288" w:lineRule="auto" w:after="40"/>
            </w:pPr>
            <w:r>
              <w:rPr>
                <w:rFonts w:ascii="Times New Roman" w:hAnsi="Times New Roman"/>
                <w:sz w:val="20"/>
              </w:rPr>
              <w:t>Cloud API Servers</w:t>
            </w:r>
          </w:p>
        </w:tc>
        <w:tc>
          <w:tcPr>
            <w:tcW w:type="dxa" w:w="2077"/>
            <w:shd w:fill="F0FDF4"/>
          </w:tcPr>
          <w:p>
            <w:pPr>
              <w:spacing w:line="288" w:lineRule="auto" w:after="40"/>
            </w:pPr>
            <w:r>
              <w:rPr>
                <w:rFonts w:ascii="Times New Roman" w:hAnsi="Times New Roman"/>
                <w:b/>
                <w:sz w:val="20"/>
              </w:rPr>
              <w:t>100% On-Device Local Host</w:t>
            </w:r>
          </w:p>
        </w:tc>
      </w:tr>
      <w:tr>
        <w:tc>
          <w:tcPr>
            <w:tcW w:type="dxa" w:w="2077"/>
          </w:tcPr>
          <w:p>
            <w:pPr>
              <w:spacing w:line="288" w:lineRule="auto" w:after="40"/>
            </w:pPr>
            <w:r>
              <w:rPr>
                <w:rFonts w:ascii="Times New Roman" w:hAnsi="Times New Roman"/>
                <w:sz w:val="20"/>
              </w:rPr>
              <w:t>Data Privacy / Egress</w:t>
            </w:r>
          </w:p>
        </w:tc>
        <w:tc>
          <w:tcPr>
            <w:tcW w:type="dxa" w:w="2077"/>
          </w:tcPr>
          <w:p>
            <w:pPr>
              <w:spacing w:line="288" w:lineRule="auto" w:after="40"/>
            </w:pPr>
            <w:r>
              <w:rPr>
                <w:rFonts w:ascii="Times New Roman" w:hAnsi="Times New Roman"/>
                <w:sz w:val="20"/>
              </w:rPr>
              <w:t>High (Full PII / Statement sync)</w:t>
            </w:r>
          </w:p>
        </w:tc>
        <w:tc>
          <w:tcPr>
            <w:tcW w:type="dxa" w:w="2077"/>
          </w:tcPr>
          <w:p>
            <w:pPr>
              <w:spacing w:line="288" w:lineRule="auto" w:after="40"/>
            </w:pPr>
            <w:r>
              <w:rPr>
                <w:rFonts w:ascii="Times New Roman" w:hAnsi="Times New Roman"/>
                <w:sz w:val="20"/>
              </w:rPr>
              <w:t>High (Queries logged to server)</w:t>
            </w:r>
          </w:p>
        </w:tc>
        <w:tc>
          <w:tcPr>
            <w:tcW w:type="dxa" w:w="2077"/>
            <w:shd w:fill="F0FDF4"/>
          </w:tcPr>
          <w:p>
            <w:pPr>
              <w:spacing w:line="288" w:lineRule="auto" w:after="40"/>
            </w:pPr>
            <w:r>
              <w:rPr>
                <w:rFonts w:ascii="Times New Roman" w:hAnsi="Times New Roman"/>
                <w:b/>
                <w:sz w:val="20"/>
              </w:rPr>
              <w:t>Zero Egress (Air-Gap Verified)</w:t>
            </w:r>
          </w:p>
        </w:tc>
      </w:tr>
      <w:tr>
        <w:tc>
          <w:tcPr>
            <w:tcW w:type="dxa" w:w="2077"/>
          </w:tcPr>
          <w:p>
            <w:pPr>
              <w:spacing w:line="288" w:lineRule="auto" w:after="40"/>
            </w:pPr>
            <w:r>
              <w:rPr>
                <w:rFonts w:ascii="Times New Roman" w:hAnsi="Times New Roman"/>
                <w:sz w:val="20"/>
              </w:rPr>
              <w:t>Math Execution</w:t>
            </w:r>
          </w:p>
        </w:tc>
        <w:tc>
          <w:tcPr>
            <w:tcW w:type="dxa" w:w="2077"/>
          </w:tcPr>
          <w:p>
            <w:pPr>
              <w:spacing w:line="288" w:lineRule="auto" w:after="40"/>
            </w:pPr>
            <w:r>
              <w:rPr>
                <w:rFonts w:ascii="Times New Roman" w:hAnsi="Times New Roman"/>
                <w:sz w:val="20"/>
              </w:rPr>
              <w:t>Rule-based Cloud Backend</w:t>
            </w:r>
          </w:p>
        </w:tc>
        <w:tc>
          <w:tcPr>
            <w:tcW w:type="dxa" w:w="2077"/>
          </w:tcPr>
          <w:p>
            <w:pPr>
              <w:spacing w:line="288" w:lineRule="auto" w:after="40"/>
            </w:pPr>
            <w:r>
              <w:rPr>
                <w:rFonts w:ascii="Times New Roman" w:hAnsi="Times New Roman"/>
                <w:sz w:val="20"/>
              </w:rPr>
              <w:t>Probabilistic (Hallucination-Prone)</w:t>
            </w:r>
          </w:p>
        </w:tc>
        <w:tc>
          <w:tcPr>
            <w:tcW w:type="dxa" w:w="2077"/>
            <w:shd w:fill="F0FDF4"/>
          </w:tcPr>
          <w:p>
            <w:pPr>
              <w:spacing w:line="288" w:lineRule="auto" w:after="40"/>
            </w:pPr>
            <w:r>
              <w:rPr>
                <w:rFonts w:ascii="Times New Roman" w:hAnsi="Times New Roman"/>
                <w:b/>
                <w:sz w:val="20"/>
              </w:rPr>
              <w:t>100% Deterministic Pure Python</w:t>
            </w:r>
          </w:p>
        </w:tc>
      </w:tr>
      <w:tr>
        <w:tc>
          <w:tcPr>
            <w:tcW w:type="dxa" w:w="2077"/>
          </w:tcPr>
          <w:p>
            <w:pPr>
              <w:spacing w:line="288" w:lineRule="auto" w:after="40"/>
            </w:pPr>
            <w:r>
              <w:rPr>
                <w:rFonts w:ascii="Times New Roman" w:hAnsi="Times New Roman"/>
                <w:sz w:val="20"/>
              </w:rPr>
              <w:t>Indian Tax Engine</w:t>
            </w:r>
          </w:p>
        </w:tc>
        <w:tc>
          <w:tcPr>
            <w:tcW w:type="dxa" w:w="2077"/>
          </w:tcPr>
          <w:p>
            <w:pPr>
              <w:spacing w:line="288" w:lineRule="auto" w:after="40"/>
            </w:pPr>
            <w:r>
              <w:rPr>
                <w:rFonts w:ascii="Times New Roman" w:hAnsi="Times New Roman"/>
                <w:sz w:val="20"/>
              </w:rPr>
              <w:t>Partial / Static Forms</w:t>
            </w:r>
          </w:p>
        </w:tc>
        <w:tc>
          <w:tcPr>
            <w:tcW w:type="dxa" w:w="2077"/>
          </w:tcPr>
          <w:p>
            <w:pPr>
              <w:spacing w:line="288" w:lineRule="auto" w:after="40"/>
            </w:pPr>
            <w:r>
              <w:rPr>
                <w:rFonts w:ascii="Times New Roman" w:hAnsi="Times New Roman"/>
                <w:sz w:val="20"/>
              </w:rPr>
              <w:t>Outdated / Unverified Slabs</w:t>
            </w:r>
          </w:p>
        </w:tc>
        <w:tc>
          <w:tcPr>
            <w:tcW w:type="dxa" w:w="2077"/>
            <w:shd w:fill="F0FDF4"/>
          </w:tcPr>
          <w:p>
            <w:pPr>
              <w:spacing w:line="288" w:lineRule="auto" w:after="40"/>
            </w:pPr>
            <w:r>
              <w:rPr>
                <w:rFonts w:ascii="Times New Roman" w:hAnsi="Times New Roman"/>
                <w:b/>
                <w:sz w:val="20"/>
              </w:rPr>
              <w:t>Budget 2024 Dynamic JSON Engine</w:t>
            </w:r>
          </w:p>
        </w:tc>
      </w:tr>
      <w:tr>
        <w:tc>
          <w:tcPr>
            <w:tcW w:type="dxa" w:w="2077"/>
          </w:tcPr>
          <w:p>
            <w:pPr>
              <w:spacing w:line="288" w:lineRule="auto" w:after="40"/>
            </w:pPr>
            <w:r>
              <w:rPr>
                <w:rFonts w:ascii="Times New Roman" w:hAnsi="Times New Roman"/>
                <w:sz w:val="20"/>
              </w:rPr>
              <w:t>Document Parsing</w:t>
            </w:r>
          </w:p>
        </w:tc>
        <w:tc>
          <w:tcPr>
            <w:tcW w:type="dxa" w:w="2077"/>
          </w:tcPr>
          <w:p>
            <w:pPr>
              <w:spacing w:line="288" w:lineRule="auto" w:after="40"/>
            </w:pPr>
            <w:r>
              <w:rPr>
                <w:rFonts w:ascii="Times New Roman" w:hAnsi="Times New Roman"/>
                <w:sz w:val="20"/>
              </w:rPr>
              <w:t>Cloud OCR Services</w:t>
            </w:r>
          </w:p>
        </w:tc>
        <w:tc>
          <w:tcPr>
            <w:tcW w:type="dxa" w:w="2077"/>
          </w:tcPr>
          <w:p>
            <w:pPr>
              <w:spacing w:line="288" w:lineRule="auto" w:after="40"/>
            </w:pPr>
            <w:r>
              <w:rPr>
                <w:rFonts w:ascii="Times New Roman" w:hAnsi="Times New Roman"/>
                <w:sz w:val="20"/>
              </w:rPr>
              <w:t>Requires Cloud Upload</w:t>
            </w:r>
          </w:p>
        </w:tc>
        <w:tc>
          <w:tcPr>
            <w:tcW w:type="dxa" w:w="2077"/>
            <w:shd w:fill="F0FDF4"/>
          </w:tcPr>
          <w:p>
            <w:pPr>
              <w:spacing w:line="288" w:lineRule="auto" w:after="40"/>
            </w:pPr>
            <w:r>
              <w:rPr>
                <w:rFonts w:ascii="Times New Roman" w:hAnsi="Times New Roman"/>
                <w:b/>
                <w:sz w:val="20"/>
              </w:rPr>
              <w:t>Local On-Device Vector Store</w:t>
            </w:r>
          </w:p>
        </w:tc>
      </w:tr>
      <w:tr>
        <w:tc>
          <w:tcPr>
            <w:tcW w:type="dxa" w:w="2077"/>
          </w:tcPr>
          <w:p>
            <w:pPr>
              <w:spacing w:line="288" w:lineRule="auto" w:after="40"/>
            </w:pPr>
            <w:r>
              <w:rPr>
                <w:rFonts w:ascii="Times New Roman" w:hAnsi="Times New Roman"/>
                <w:sz w:val="20"/>
              </w:rPr>
              <w:t>Life Simulators</w:t>
            </w:r>
          </w:p>
        </w:tc>
        <w:tc>
          <w:tcPr>
            <w:tcW w:type="dxa" w:w="2077"/>
          </w:tcPr>
          <w:p>
            <w:pPr>
              <w:spacing w:line="288" w:lineRule="auto" w:after="40"/>
            </w:pPr>
            <w:r>
              <w:rPr>
                <w:rFonts w:ascii="Times New Roman" w:hAnsi="Times New Roman"/>
                <w:sz w:val="20"/>
              </w:rPr>
              <w:t>Fragmented / Marketing-driven</w:t>
            </w:r>
          </w:p>
        </w:tc>
        <w:tc>
          <w:tcPr>
            <w:tcW w:type="dxa" w:w="2077"/>
          </w:tcPr>
          <w:p>
            <w:pPr>
              <w:spacing w:line="288" w:lineRule="auto" w:after="40"/>
            </w:pPr>
            <w:r>
              <w:rPr>
                <w:rFonts w:ascii="Times New Roman" w:hAnsi="Times New Roman"/>
                <w:sz w:val="20"/>
              </w:rPr>
              <w:t>Unreliable Calculations</w:t>
            </w:r>
          </w:p>
        </w:tc>
        <w:tc>
          <w:tcPr>
            <w:tcW w:type="dxa" w:w="2077"/>
            <w:shd w:fill="F0FDF4"/>
          </w:tcPr>
          <w:p>
            <w:pPr>
              <w:spacing w:line="288" w:lineRule="auto" w:after="40"/>
            </w:pPr>
            <w:r>
              <w:rPr>
                <w:rFonts w:ascii="Times New Roman" w:hAnsi="Times New Roman"/>
                <w:b/>
                <w:sz w:val="20"/>
              </w:rPr>
              <w:t>Amortization &amp; Monte Carlo Engines</w:t>
            </w:r>
          </w:p>
        </w:tc>
      </w:tr>
      <w:tr>
        <w:tc>
          <w:tcPr>
            <w:tcW w:type="dxa" w:w="2077"/>
          </w:tcPr>
          <w:p>
            <w:pPr>
              <w:spacing w:line="288" w:lineRule="auto" w:after="40"/>
            </w:pPr>
            <w:r>
              <w:rPr>
                <w:rFonts w:ascii="Times New Roman" w:hAnsi="Times New Roman"/>
                <w:sz w:val="20"/>
              </w:rPr>
              <w:t>Software Cost</w:t>
            </w:r>
          </w:p>
        </w:tc>
        <w:tc>
          <w:tcPr>
            <w:tcW w:type="dxa" w:w="2077"/>
          </w:tcPr>
          <w:p>
            <w:pPr>
              <w:spacing w:line="288" w:lineRule="auto" w:after="40"/>
            </w:pPr>
            <w:r>
              <w:rPr>
                <w:rFonts w:ascii="Times New Roman" w:hAnsi="Times New Roman"/>
                <w:sz w:val="20"/>
              </w:rPr>
              <w:t>Freemium / Commercial Data Ads</w:t>
            </w:r>
          </w:p>
        </w:tc>
        <w:tc>
          <w:tcPr>
            <w:tcW w:type="dxa" w:w="2077"/>
          </w:tcPr>
          <w:p>
            <w:pPr>
              <w:spacing w:line="288" w:lineRule="auto" w:after="40"/>
            </w:pPr>
            <w:r>
              <w:rPr>
                <w:rFonts w:ascii="Times New Roman" w:hAnsi="Times New Roman"/>
                <w:sz w:val="20"/>
              </w:rPr>
              <w:t>Paid Subscription ($20/mo)</w:t>
            </w:r>
          </w:p>
        </w:tc>
        <w:tc>
          <w:tcPr>
            <w:tcW w:type="dxa" w:w="2077"/>
            <w:shd w:fill="F0FDF4"/>
          </w:tcPr>
          <w:p>
            <w:pPr>
              <w:spacing w:line="288" w:lineRule="auto" w:after="40"/>
            </w:pPr>
            <w:r>
              <w:rPr>
                <w:rFonts w:ascii="Times New Roman" w:hAnsi="Times New Roman"/>
                <w:b/>
                <w:sz w:val="20"/>
              </w:rPr>
              <w:t>100% Free &amp; Open Source (FOSS)</w:t>
            </w:r>
          </w:p>
        </w:tc>
      </w:tr>
    </w:tbl>
    <w:p>
      <w:pPr>
        <w:spacing w:before="240" w:after="80" w:line="360" w:lineRule="auto"/>
        <w:jc w:val="left"/>
      </w:pPr>
      <w:r>
        <w:rPr>
          <w:rFonts w:ascii="Times New Roman" w:hAnsi="Times New Roman"/>
          <w:b/>
          <w:sz w:val="28"/>
        </w:rPr>
        <w:t>2.5 Objectives of the Thesis Work</w:t>
      </w:r>
    </w:p>
    <w:p>
      <w:pPr>
        <w:spacing w:after="120" w:line="360" w:lineRule="auto"/>
        <w:jc w:val="both"/>
      </w:pPr>
      <w:r>
        <w:rPr>
          <w:rFonts w:ascii="Times New Roman" w:hAnsi="Times New Roman"/>
          <w:b w:val="0"/>
          <w:sz w:val="24"/>
        </w:rPr>
        <w:t>Based on the identified research gaps in contemporary literature, the specific objectives of this project are defined as follows:</w:t>
      </w:r>
    </w:p>
    <w:p>
      <w:pPr>
        <w:spacing w:after="120" w:line="360" w:lineRule="auto"/>
        <w:jc w:val="both"/>
      </w:pPr>
      <w:r>
        <w:rPr>
          <w:rFonts w:ascii="Times New Roman" w:hAnsi="Times New Roman"/>
          <w:b w:val="0"/>
          <w:sz w:val="24"/>
        </w:rPr>
        <w:t>1. Air-Gapped Privacy Engine: Develop a completely offline wealth assistant that executes 100% on-device, ensuring zero transmission of personal financial data, bank statements, or PAN details over any network interface.</w:t>
      </w:r>
    </w:p>
    <w:p>
      <w:pPr>
        <w:spacing w:after="120" w:line="360" w:lineRule="auto"/>
        <w:jc w:val="both"/>
      </w:pPr>
      <w:r>
        <w:rPr>
          <w:rFonts w:ascii="Times New Roman" w:hAnsi="Times New Roman"/>
          <w:b w:val="0"/>
          <w:sz w:val="24"/>
        </w:rPr>
        <w:t>2. Deterministic Financial Computation: Architect a decoupled system where the local LLM is restricted solely to intent classification and narrative explanation, while all mathematical operations run in pure, unit-tested Python functions.</w:t>
      </w:r>
    </w:p>
    <w:p>
      <w:pPr>
        <w:spacing w:after="120" w:line="360" w:lineRule="auto"/>
        <w:jc w:val="both"/>
      </w:pPr>
      <w:r>
        <w:rPr>
          <w:rFonts w:ascii="Times New Roman" w:hAnsi="Times New Roman"/>
          <w:b w:val="0"/>
          <w:sz w:val="24"/>
        </w:rPr>
        <w:t>3. Dynamic Statutory Tax Engine: Implement an Indian Income Tax engine compliant with Budget 2024 revisions (comparing Old vs New regimes, Section 87A rebate with marginal relief, advance tax Section 234 interest, and Section 112A capital gains).</w:t>
      </w:r>
    </w:p>
    <w:p>
      <w:pPr>
        <w:spacing w:after="120" w:line="360" w:lineRule="auto"/>
        <w:jc w:val="both"/>
      </w:pPr>
      <w:r>
        <w:rPr>
          <w:rFonts w:ascii="Times New Roman" w:hAnsi="Times New Roman"/>
          <w:b w:val="0"/>
          <w:sz w:val="24"/>
        </w:rPr>
        <w:t>4. Local Document Vector Pipeline: Build an on-device document extraction and vector search pipeline using sqlite-vec for querying mutual fund Consolidated Account Statements without third-party cloud OCR.</w:t>
      </w:r>
    </w:p>
    <w:p>
      <w:pPr>
        <w:spacing w:after="120" w:line="360" w:lineRule="auto"/>
        <w:jc w:val="both"/>
      </w:pPr>
      <w:r>
        <w:rPr>
          <w:rFonts w:ascii="Times New Roman" w:hAnsi="Times New Roman"/>
          <w:b w:val="0"/>
          <w:sz w:val="24"/>
        </w:rPr>
        <w:t>5. Interactive What-If Simulators: Implement mathematical engines for Debt Avalanche vs Snowball payoff strategies, Home Loan Prepayment vs Equity SIP investment trade-offs, and Monte Carlo FIRE retirement runway modeling.</w:t>
      </w:r>
    </w:p>
    <w:p>
      <w:pPr>
        <w:spacing w:after="120" w:line="360" w:lineRule="auto"/>
        <w:jc w:val="both"/>
      </w:pPr>
      <w:r>
        <w:rPr>
          <w:rFonts w:ascii="Times New Roman" w:hAnsi="Times New Roman"/>
          <w:b w:val="0"/>
          <w:sz w:val="24"/>
        </w:rPr>
        <w:t>6. Audit-Ready CA Dossier: Develop an automated export engine that formats tax liabilities, capital gains schedules, and deductions into a 1-click printable Chartered Accountant handoff dossier.</w:t>
      </w:r>
    </w:p>
    <w:p>
      <w:pPr>
        <w:spacing w:after="120" w:line="360" w:lineRule="auto"/>
        <w:jc w:val="both"/>
      </w:pPr>
      <w:r>
        <w:rPr>
          <w:rFonts w:ascii="Times New Roman" w:hAnsi="Times New Roman"/>
          <w:b/>
          <w:sz w:val="24"/>
        </w:rPr>
        <w:t>Chapter Summary: This chapter reviewed relevant literature across robo-advisory systems, edge models, and deterministic guardrails, establishing the project objectives. The next chapter presents the system design and mathematical formulations.</w:t>
      </w:r>
    </w:p>
    <w:p>
      <w:pPr>
        <w:spacing w:before="360" w:after="160" w:line="360" w:lineRule="auto"/>
        <w:jc w:val="left"/>
      </w:pPr>
      <w:r>
        <w:rPr>
          <w:rFonts w:ascii="Times New Roman" w:hAnsi="Times New Roman"/>
          <w:b/>
          <w:sz w:val="32"/>
        </w:rPr>
        <w:t>Chapter 3: Project Design &amp; Mathematical Background</w:t>
      </w:r>
    </w:p>
    <w:tbl>
      <w:tblPr>
        <w:tblW w:type="auto" w:w="0"/>
        <w:jc w:val="center"/>
        <w:tblLook w:firstColumn="1" w:firstRow="1" w:lastColumn="0" w:lastRow="0" w:noHBand="0" w:noVBand="1" w:val="04A0"/>
      </w:tblPr>
      <w:tblGrid>
        <w:gridCol w:w="8309"/>
      </w:tblGrid>
      <w:tr>
        <w:tc>
          <w:tcPr>
            <w:tcW w:type="dxa" w:w="8309"/>
            <w:shd w:fill="F8FAFC"/>
            <w:tcBorders>
              <w:top w:val="single" w:sz="6" w:space="0" w:color="94A3B8"/>
              <w:left w:val="single" w:sz="18" w:space="0" w:color="3B82F6"/>
              <w:bottom w:val="single" w:sz="6" w:space="0" w:color="94A3B8"/>
              <w:right w:val="single" w:sz="6" w:space="0" w:color="94A3B8"/>
            </w:tcBorders>
          </w:tcPr>
          <w:p>
            <w:pPr>
              <w:spacing w:line="312" w:lineRule="auto" w:before="80" w:after="80"/>
              <w:jc w:val="both"/>
            </w:pPr>
            <w:r>
              <w:rPr>
                <w:rFonts w:ascii="Times New Roman" w:hAnsi="Times New Roman"/>
                <w:i/>
                <w:sz w:val="22"/>
              </w:rPr>
              <w:t>This chapter presents the architectural design and deterministic mathematical foundations of Halo. It formalizes the problem statement, presents the multi-tier system block diagram, and details the rigorous statutory and financial equations governing the Indian Income Tax engine, debt amortization schedules, portfolio metrics (CAGR, XIRR), and Monte Carlo emergency runway simulations.</w:t>
            </w:r>
          </w:p>
        </w:tc>
      </w:tr>
    </w:tbl>
    <w:p>
      <w:pPr>
        <w:spacing w:after="120"/>
      </w:pPr>
    </w:p>
    <w:p>
      <w:pPr>
        <w:spacing w:before="240" w:after="80" w:line="360" w:lineRule="auto"/>
        <w:jc w:val="left"/>
      </w:pPr>
      <w:r>
        <w:rPr>
          <w:rFonts w:ascii="Times New Roman" w:hAnsi="Times New Roman"/>
          <w:b/>
          <w:sz w:val="28"/>
        </w:rPr>
        <w:t>3.1 System Architecture &amp; Design Philosophy</w:t>
      </w:r>
    </w:p>
    <w:p>
      <w:pPr>
        <w:spacing w:after="120" w:line="360" w:lineRule="auto"/>
        <w:jc w:val="both"/>
      </w:pPr>
      <w:r>
        <w:rPr>
          <w:rFonts w:ascii="Times New Roman" w:hAnsi="Times New Roman"/>
          <w:b w:val="0"/>
          <w:sz w:val="24"/>
        </w:rPr>
        <w:t>Halo is engineered upon a modular, three-tier local architecture comprising: (1) The Presentation Layer (React/Vite), (2) The Execution &amp; Orchestration Layer (FastAPI &amp; LangGraph), and (3) The Storage &amp; Intelligence Layer (SQLite, sqlite-vec, and Ollama local LLM runtime). The central design philosophy is 'Deterministic-First AI': at no point is an LLM allowed to compute arithmetic numbers. The LLM acts solely as a natural language interface, translating unstructured user queries into structured JSON parameters, which are validated by strict Pydantic schemas before being processed by pure Python mathematical engines.</w:t>
      </w:r>
    </w:p>
    <w:p>
      <w:pPr>
        <w:spacing w:before="240" w:after="80" w:line="360" w:lineRule="auto"/>
        <w:jc w:val="left"/>
      </w:pPr>
      <w:r>
        <w:rPr>
          <w:rFonts w:ascii="Times New Roman" w:hAnsi="Times New Roman"/>
          <w:b/>
          <w:sz w:val="28"/>
        </w:rPr>
        <w:t>3.2 Problem Statement &amp; Mathematical Formulation</w:t>
      </w:r>
    </w:p>
    <w:p>
      <w:pPr>
        <w:spacing w:after="120" w:line="360" w:lineRule="auto"/>
        <w:jc w:val="both"/>
      </w:pPr>
      <w:r>
        <w:rPr>
          <w:rFonts w:ascii="Times New Roman" w:hAnsi="Times New Roman"/>
          <w:b w:val="0"/>
          <w:sz w:val="24"/>
        </w:rPr>
        <w:t xml:space="preserve">Let the user's financial profile be represented as a tuple: </w:t>
        <w:br/>
        <w:t xml:space="preserve">Phi = (Y, D, L, A, R) </w:t>
        <w:br/>
        <w:t>where Y denotes the gross annual income components (salaried, business under Sec 44ADA, capital gains, interest), D is the vector of statutory deductions (HRA, 80C, 80D, 80CCD(1B), Sec 24(b)), L is the set of active loan liabilities with outstanding principal P_i, nominal interest rate r_i, and remaining tenure n_i, A is the asset portfolio (equities, mutual funds, EPF/PPF, cash), and R represents the prevailing statutory tax rules for Assessment Year AY.</w:t>
      </w:r>
    </w:p>
    <w:p>
      <w:pPr>
        <w:spacing w:after="120" w:line="360" w:lineRule="auto"/>
        <w:jc w:val="both"/>
      </w:pPr>
      <w:r>
        <w:rPr>
          <w:rFonts w:ascii="Times New Roman" w:hAnsi="Times New Roman"/>
          <w:b w:val="0"/>
          <w:sz w:val="24"/>
        </w:rPr>
        <w:t>The primary optimization objective is to determine the optimal tax regime Regime* in {Old, New} that minimizes total net tax liability T_net, while simultaneously determining the optimal debt payoff schedule S* that minimizes total cumulative interest paid Sigma I_i over the remaining loan tenures.</w:t>
      </w:r>
    </w:p>
    <w:p>
      <w:pPr>
        <w:spacing w:before="240" w:after="80" w:line="360" w:lineRule="auto"/>
        <w:jc w:val="left"/>
      </w:pPr>
      <w:r>
        <w:rPr>
          <w:rFonts w:ascii="Times New Roman" w:hAnsi="Times New Roman"/>
          <w:b/>
          <w:sz w:val="28"/>
        </w:rPr>
        <w:t>3.3 System Block Diagram &amp; Pipeline</w:t>
      </w:r>
    </w:p>
    <w:p>
      <w:pPr>
        <w:spacing w:after="120" w:line="360" w:lineRule="auto"/>
        <w:jc w:val="both"/>
      </w:pPr>
      <w:r>
        <w:rPr>
          <w:rFonts w:ascii="Times New Roman" w:hAnsi="Times New Roman"/>
          <w:b w:val="0"/>
          <w:sz w:val="24"/>
        </w:rPr>
        <w:t>The end-to-end data processing pipeline operates as follows:</w:t>
      </w:r>
    </w:p>
    <w:p>
      <w:pPr>
        <w:spacing w:after="120" w:line="360" w:lineRule="auto"/>
        <w:jc w:val="both"/>
      </w:pPr>
      <w:r>
        <w:rPr>
          <w:rFonts w:ascii="Times New Roman" w:hAnsi="Times New Roman"/>
          <w:b w:val="0"/>
          <w:sz w:val="24"/>
        </w:rPr>
        <w:t>1. Input Ingestion: The user inputs financial queries via conversational text, hands-free voice speech recognition, or by uploading mutual fund CAS statements.</w:t>
      </w:r>
    </w:p>
    <w:p>
      <w:pPr>
        <w:spacing w:after="120" w:line="360" w:lineRule="auto"/>
        <w:jc w:val="both"/>
      </w:pPr>
      <w:r>
        <w:rPr>
          <w:rFonts w:ascii="Times New Roman" w:hAnsi="Times New Roman"/>
          <w:b w:val="0"/>
          <w:sz w:val="24"/>
        </w:rPr>
        <w:t>2. Intent Routing &amp; State Machine: A LangGraph state machine invokes the local quantized LLM (Ollama LLaMA-3.2 3B) using JSON-schema constrained sampling to classify user intent (e.g., 'CALCULATE_TAX', 'PREPAY_VS_INVEST', 'DEBT_STRATEGY').</w:t>
      </w:r>
    </w:p>
    <w:p>
      <w:pPr>
        <w:spacing w:after="120" w:line="360" w:lineRule="auto"/>
        <w:jc w:val="both"/>
      </w:pPr>
      <w:r>
        <w:rPr>
          <w:rFonts w:ascii="Times New Roman" w:hAnsi="Times New Roman"/>
          <w:b w:val="0"/>
          <w:sz w:val="24"/>
        </w:rPr>
        <w:t>3. Pydantic Validation Gatekeeper: Before executing any code, extracted arguments are passed to a rigorous Pydantic validation node that enforces type safety, unit normalization, and physical range checks (e.g., 0% &lt;= interest rate &lt;= 50%, tenure &lt;= 480 months).</w:t>
      </w:r>
    </w:p>
    <w:p>
      <w:pPr>
        <w:spacing w:after="120" w:line="360" w:lineRule="auto"/>
        <w:jc w:val="both"/>
      </w:pPr>
      <w:r>
        <w:rPr>
          <w:rFonts w:ascii="Times New Roman" w:hAnsi="Times New Roman"/>
          <w:b w:val="0"/>
          <w:sz w:val="24"/>
        </w:rPr>
        <w:t>4. Deterministic Python Math Execution: The validated parameters are dispatched to pure, side-effect-free Python calculation engines.</w:t>
      </w:r>
    </w:p>
    <w:p>
      <w:pPr>
        <w:spacing w:after="120" w:line="360" w:lineRule="auto"/>
        <w:jc w:val="both"/>
      </w:pPr>
      <w:r>
        <w:rPr>
          <w:rFonts w:ascii="Times New Roman" w:hAnsi="Times New Roman"/>
          <w:b w:val="0"/>
          <w:sz w:val="24"/>
        </w:rPr>
        <w:t>5. Explanation Object Generation: Every calculation returns a structured explanation object detailing inputs, exact statutory formulas, step-by-step arithmetic derivations, and legal section references.</w:t>
      </w:r>
    </w:p>
    <w:p>
      <w:pPr>
        <w:spacing w:after="120" w:line="360" w:lineRule="auto"/>
        <w:jc w:val="both"/>
      </w:pPr>
      <w:r>
        <w:rPr>
          <w:rFonts w:ascii="Times New Roman" w:hAnsi="Times New Roman"/>
          <w:b w:val="0"/>
          <w:sz w:val="24"/>
        </w:rPr>
        <w:t>6. Narrative Synthesis: The local LLM receives the deterministic explanation object and generates an empathetic, natural language response for the user.</w:t>
      </w:r>
    </w:p>
    <w:p>
      <w:pPr>
        <w:spacing w:before="240" w:after="80" w:line="360" w:lineRule="auto"/>
        <w:jc w:val="left"/>
      </w:pPr>
      <w:r>
        <w:rPr>
          <w:rFonts w:ascii="Times New Roman" w:hAnsi="Times New Roman"/>
          <w:b/>
          <w:sz w:val="28"/>
        </w:rPr>
        <w:t>3.4 Mathematical Formulations &amp; Engines</w:t>
      </w:r>
    </w:p>
    <w:p>
      <w:pPr>
        <w:spacing w:before="160" w:after="40" w:line="360" w:lineRule="auto"/>
        <w:jc w:val="left"/>
      </w:pPr>
      <w:r>
        <w:rPr>
          <w:rFonts w:ascii="Times New Roman" w:hAnsi="Times New Roman"/>
          <w:b/>
          <w:sz w:val="24"/>
        </w:rPr>
        <w:t>3.4.1 Indian Income Tax Engine (Budget 2024 Revisions)</w:t>
      </w:r>
    </w:p>
    <w:p>
      <w:pPr>
        <w:spacing w:after="120" w:line="360" w:lineRule="auto"/>
        <w:jc w:val="both"/>
      </w:pPr>
      <w:r>
        <w:rPr>
          <w:rFonts w:ascii="Times New Roman" w:hAnsi="Times New Roman"/>
          <w:b w:val="0"/>
          <w:sz w:val="24"/>
        </w:rPr>
        <w:t>Under Union Budget 2024, the default New Tax Regime provides revised slab thresholds and an enhanced Standard Deduction of ₹75,000 for salaried taxpayers. Gross Tax is computed piecewise across income brackets according to Table 3.1.</w:t>
      </w:r>
    </w:p>
    <w:tbl>
      <w:tblPr>
        <w:tblW w:type="auto" w:w="0"/>
        <w:jc w:val="center"/>
        <w:tblLook w:firstColumn="1" w:firstRow="1" w:lastColumn="0" w:lastRow="0" w:noHBand="0" w:noVBand="1" w:val="04A0"/>
      </w:tblPr>
      <w:tblGrid>
        <w:gridCol w:w="2770"/>
        <w:gridCol w:w="2770"/>
        <w:gridCol w:w="2770"/>
      </w:tblGrid>
      <w:tr>
        <w:tc>
          <w:tcPr>
            <w:tcW w:type="dxa" w:w="2770"/>
            <w:shd w:fill="E2E8F0"/>
          </w:tcPr>
          <w:p>
            <w:pPr>
              <w:spacing w:line="288" w:lineRule="auto" w:after="40"/>
            </w:pPr>
            <w:r>
              <w:rPr>
                <w:rFonts w:ascii="Times New Roman" w:hAnsi="Times New Roman"/>
                <w:b/>
                <w:sz w:val="20"/>
              </w:rPr>
              <w:t>Income Slab (₹)</w:t>
            </w:r>
          </w:p>
        </w:tc>
        <w:tc>
          <w:tcPr>
            <w:tcW w:type="dxa" w:w="2770"/>
            <w:shd w:fill="E2E8F0"/>
          </w:tcPr>
          <w:p>
            <w:pPr>
              <w:spacing w:line="288" w:lineRule="auto" w:after="40"/>
            </w:pPr>
            <w:r>
              <w:rPr>
                <w:rFonts w:ascii="Times New Roman" w:hAnsi="Times New Roman"/>
                <w:b/>
                <w:sz w:val="20"/>
              </w:rPr>
              <w:t>New Regime Rate (Budget 2024)</w:t>
            </w:r>
          </w:p>
        </w:tc>
        <w:tc>
          <w:tcPr>
            <w:tcW w:type="dxa" w:w="2770"/>
            <w:shd w:fill="E2E8F0"/>
          </w:tcPr>
          <w:p>
            <w:pPr>
              <w:spacing w:line="288" w:lineRule="auto" w:after="40"/>
            </w:pPr>
            <w:r>
              <w:rPr>
                <w:rFonts w:ascii="Times New Roman" w:hAnsi="Times New Roman"/>
                <w:b/>
                <w:sz w:val="20"/>
              </w:rPr>
              <w:t>Old Regime Rate</w:t>
            </w:r>
          </w:p>
        </w:tc>
      </w:tr>
      <w:tr>
        <w:tc>
          <w:tcPr>
            <w:tcW w:type="dxa" w:w="2770"/>
          </w:tcPr>
          <w:p>
            <w:pPr>
              <w:spacing w:line="288" w:lineRule="auto" w:after="40"/>
            </w:pPr>
            <w:r>
              <w:rPr>
                <w:rFonts w:ascii="Times New Roman" w:hAnsi="Times New Roman"/>
                <w:sz w:val="20"/>
              </w:rPr>
              <w:t>₹0 to ₹2,50,000</w:t>
            </w:r>
          </w:p>
        </w:tc>
        <w:tc>
          <w:tcPr>
            <w:tcW w:type="dxa" w:w="2770"/>
          </w:tcPr>
          <w:p>
            <w:pPr>
              <w:spacing w:line="288" w:lineRule="auto" w:after="40"/>
            </w:pPr>
            <w:r>
              <w:rPr>
                <w:rFonts w:ascii="Times New Roman" w:hAnsi="Times New Roman"/>
                <w:sz w:val="20"/>
              </w:rPr>
              <w:t>0% (Nil)</w:t>
            </w:r>
          </w:p>
        </w:tc>
        <w:tc>
          <w:tcPr>
            <w:tcW w:type="dxa" w:w="2770"/>
          </w:tcPr>
          <w:p>
            <w:pPr>
              <w:spacing w:line="288" w:lineRule="auto" w:after="40"/>
            </w:pPr>
            <w:r>
              <w:rPr>
                <w:rFonts w:ascii="Times New Roman" w:hAnsi="Times New Roman"/>
                <w:sz w:val="20"/>
              </w:rPr>
              <w:t>0% (Nil)</w:t>
            </w:r>
          </w:p>
        </w:tc>
      </w:tr>
      <w:tr>
        <w:tc>
          <w:tcPr>
            <w:tcW w:type="dxa" w:w="2770"/>
          </w:tcPr>
          <w:p>
            <w:pPr>
              <w:spacing w:line="288" w:lineRule="auto" w:after="40"/>
            </w:pPr>
            <w:r>
              <w:rPr>
                <w:rFonts w:ascii="Times New Roman" w:hAnsi="Times New Roman"/>
                <w:sz w:val="20"/>
              </w:rPr>
              <w:t>₹2,50,001 to ₹3,00,000</w:t>
            </w:r>
          </w:p>
        </w:tc>
        <w:tc>
          <w:tcPr>
            <w:tcW w:type="dxa" w:w="2770"/>
          </w:tcPr>
          <w:p>
            <w:pPr>
              <w:spacing w:line="288" w:lineRule="auto" w:after="40"/>
            </w:pPr>
            <w:r>
              <w:rPr>
                <w:rFonts w:ascii="Times New Roman" w:hAnsi="Times New Roman"/>
                <w:sz w:val="20"/>
              </w:rPr>
              <w:t>0% (Nil)</w:t>
            </w:r>
          </w:p>
        </w:tc>
        <w:tc>
          <w:tcPr>
            <w:tcW w:type="dxa" w:w="2770"/>
          </w:tcPr>
          <w:p>
            <w:pPr>
              <w:spacing w:line="288" w:lineRule="auto" w:after="40"/>
            </w:pPr>
            <w:r>
              <w:rPr>
                <w:rFonts w:ascii="Times New Roman" w:hAnsi="Times New Roman"/>
                <w:sz w:val="20"/>
              </w:rPr>
              <w:t>5%</w:t>
            </w:r>
          </w:p>
        </w:tc>
      </w:tr>
      <w:tr>
        <w:tc>
          <w:tcPr>
            <w:tcW w:type="dxa" w:w="2770"/>
          </w:tcPr>
          <w:p>
            <w:pPr>
              <w:spacing w:line="288" w:lineRule="auto" w:after="40"/>
            </w:pPr>
            <w:r>
              <w:rPr>
                <w:rFonts w:ascii="Times New Roman" w:hAnsi="Times New Roman"/>
                <w:sz w:val="20"/>
              </w:rPr>
              <w:t>₹3,00,001 to ₹5,00,000</w:t>
            </w:r>
          </w:p>
        </w:tc>
        <w:tc>
          <w:tcPr>
            <w:tcW w:type="dxa" w:w="2770"/>
          </w:tcPr>
          <w:p>
            <w:pPr>
              <w:spacing w:line="288" w:lineRule="auto" w:after="40"/>
            </w:pPr>
            <w:r>
              <w:rPr>
                <w:rFonts w:ascii="Times New Roman" w:hAnsi="Times New Roman"/>
                <w:sz w:val="20"/>
              </w:rPr>
              <w:t>5%</w:t>
            </w:r>
          </w:p>
        </w:tc>
        <w:tc>
          <w:tcPr>
            <w:tcW w:type="dxa" w:w="2770"/>
          </w:tcPr>
          <w:p>
            <w:pPr>
              <w:spacing w:line="288" w:lineRule="auto" w:after="40"/>
            </w:pPr>
            <w:r>
              <w:rPr>
                <w:rFonts w:ascii="Times New Roman" w:hAnsi="Times New Roman"/>
                <w:sz w:val="20"/>
              </w:rPr>
              <w:t>5%</w:t>
            </w:r>
          </w:p>
        </w:tc>
      </w:tr>
      <w:tr>
        <w:tc>
          <w:tcPr>
            <w:tcW w:type="dxa" w:w="2770"/>
          </w:tcPr>
          <w:p>
            <w:pPr>
              <w:spacing w:line="288" w:lineRule="auto" w:after="40"/>
            </w:pPr>
            <w:r>
              <w:rPr>
                <w:rFonts w:ascii="Times New Roman" w:hAnsi="Times New Roman"/>
                <w:sz w:val="20"/>
              </w:rPr>
              <w:t>₹5,00,001 to ₹7,00,000</w:t>
            </w:r>
          </w:p>
        </w:tc>
        <w:tc>
          <w:tcPr>
            <w:tcW w:type="dxa" w:w="2770"/>
          </w:tcPr>
          <w:p>
            <w:pPr>
              <w:spacing w:line="288" w:lineRule="auto" w:after="40"/>
            </w:pPr>
            <w:r>
              <w:rPr>
                <w:rFonts w:ascii="Times New Roman" w:hAnsi="Times New Roman"/>
                <w:sz w:val="20"/>
              </w:rPr>
              <w:t>5%</w:t>
            </w:r>
          </w:p>
        </w:tc>
        <w:tc>
          <w:tcPr>
            <w:tcW w:type="dxa" w:w="2770"/>
          </w:tcPr>
          <w:p>
            <w:pPr>
              <w:spacing w:line="288" w:lineRule="auto" w:after="40"/>
            </w:pPr>
            <w:r>
              <w:rPr>
                <w:rFonts w:ascii="Times New Roman" w:hAnsi="Times New Roman"/>
                <w:sz w:val="20"/>
              </w:rPr>
              <w:t>20%</w:t>
            </w:r>
          </w:p>
        </w:tc>
      </w:tr>
      <w:tr>
        <w:tc>
          <w:tcPr>
            <w:tcW w:type="dxa" w:w="2770"/>
          </w:tcPr>
          <w:p>
            <w:pPr>
              <w:spacing w:line="288" w:lineRule="auto" w:after="40"/>
            </w:pPr>
            <w:r>
              <w:rPr>
                <w:rFonts w:ascii="Times New Roman" w:hAnsi="Times New Roman"/>
                <w:sz w:val="20"/>
              </w:rPr>
              <w:t>₹7,00,001 to ₹10,00,000</w:t>
            </w:r>
          </w:p>
        </w:tc>
        <w:tc>
          <w:tcPr>
            <w:tcW w:type="dxa" w:w="2770"/>
          </w:tcPr>
          <w:p>
            <w:pPr>
              <w:spacing w:line="288" w:lineRule="auto" w:after="40"/>
            </w:pPr>
            <w:r>
              <w:rPr>
                <w:rFonts w:ascii="Times New Roman" w:hAnsi="Times New Roman"/>
                <w:sz w:val="20"/>
              </w:rPr>
              <w:t>10%</w:t>
            </w:r>
          </w:p>
        </w:tc>
        <w:tc>
          <w:tcPr>
            <w:tcW w:type="dxa" w:w="2770"/>
          </w:tcPr>
          <w:p>
            <w:pPr>
              <w:spacing w:line="288" w:lineRule="auto" w:after="40"/>
            </w:pPr>
            <w:r>
              <w:rPr>
                <w:rFonts w:ascii="Times New Roman" w:hAnsi="Times New Roman"/>
                <w:sz w:val="20"/>
              </w:rPr>
              <w:t>20%</w:t>
            </w:r>
          </w:p>
        </w:tc>
      </w:tr>
      <w:tr>
        <w:tc>
          <w:tcPr>
            <w:tcW w:type="dxa" w:w="2770"/>
          </w:tcPr>
          <w:p>
            <w:pPr>
              <w:spacing w:line="288" w:lineRule="auto" w:after="40"/>
            </w:pPr>
            <w:r>
              <w:rPr>
                <w:rFonts w:ascii="Times New Roman" w:hAnsi="Times New Roman"/>
                <w:sz w:val="20"/>
              </w:rPr>
              <w:t>₹10,00,001 to ₹12,00,000</w:t>
            </w:r>
          </w:p>
        </w:tc>
        <w:tc>
          <w:tcPr>
            <w:tcW w:type="dxa" w:w="2770"/>
          </w:tcPr>
          <w:p>
            <w:pPr>
              <w:spacing w:line="288" w:lineRule="auto" w:after="40"/>
            </w:pPr>
            <w:r>
              <w:rPr>
                <w:rFonts w:ascii="Times New Roman" w:hAnsi="Times New Roman"/>
                <w:sz w:val="20"/>
              </w:rPr>
              <w:t>15%</w:t>
            </w:r>
          </w:p>
        </w:tc>
        <w:tc>
          <w:tcPr>
            <w:tcW w:type="dxa" w:w="2770"/>
          </w:tcPr>
          <w:p>
            <w:pPr>
              <w:spacing w:line="288" w:lineRule="auto" w:after="40"/>
            </w:pPr>
            <w:r>
              <w:rPr>
                <w:rFonts w:ascii="Times New Roman" w:hAnsi="Times New Roman"/>
                <w:sz w:val="20"/>
              </w:rPr>
              <w:t>30%</w:t>
            </w:r>
          </w:p>
        </w:tc>
      </w:tr>
      <w:tr>
        <w:tc>
          <w:tcPr>
            <w:tcW w:type="dxa" w:w="2770"/>
          </w:tcPr>
          <w:p>
            <w:pPr>
              <w:spacing w:line="288" w:lineRule="auto" w:after="40"/>
            </w:pPr>
            <w:r>
              <w:rPr>
                <w:rFonts w:ascii="Times New Roman" w:hAnsi="Times New Roman"/>
                <w:sz w:val="20"/>
              </w:rPr>
              <w:t>₹12,00,001 to ₹15,00,000</w:t>
            </w:r>
          </w:p>
        </w:tc>
        <w:tc>
          <w:tcPr>
            <w:tcW w:type="dxa" w:w="2770"/>
          </w:tcPr>
          <w:p>
            <w:pPr>
              <w:spacing w:line="288" w:lineRule="auto" w:after="40"/>
            </w:pPr>
            <w:r>
              <w:rPr>
                <w:rFonts w:ascii="Times New Roman" w:hAnsi="Times New Roman"/>
                <w:sz w:val="20"/>
              </w:rPr>
              <w:t>20%</w:t>
            </w:r>
          </w:p>
        </w:tc>
        <w:tc>
          <w:tcPr>
            <w:tcW w:type="dxa" w:w="2770"/>
          </w:tcPr>
          <w:p>
            <w:pPr>
              <w:spacing w:line="288" w:lineRule="auto" w:after="40"/>
            </w:pPr>
            <w:r>
              <w:rPr>
                <w:rFonts w:ascii="Times New Roman" w:hAnsi="Times New Roman"/>
                <w:sz w:val="20"/>
              </w:rPr>
              <w:t>30%</w:t>
            </w:r>
          </w:p>
        </w:tc>
      </w:tr>
      <w:tr>
        <w:tc>
          <w:tcPr>
            <w:tcW w:type="dxa" w:w="2770"/>
          </w:tcPr>
          <w:p>
            <w:pPr>
              <w:spacing w:line="288" w:lineRule="auto" w:after="40"/>
            </w:pPr>
            <w:r>
              <w:rPr>
                <w:rFonts w:ascii="Times New Roman" w:hAnsi="Times New Roman"/>
                <w:sz w:val="20"/>
              </w:rPr>
              <w:t>Above ₹15,00,000</w:t>
            </w:r>
          </w:p>
        </w:tc>
        <w:tc>
          <w:tcPr>
            <w:tcW w:type="dxa" w:w="2770"/>
          </w:tcPr>
          <w:p>
            <w:pPr>
              <w:spacing w:line="288" w:lineRule="auto" w:after="40"/>
            </w:pPr>
            <w:r>
              <w:rPr>
                <w:rFonts w:ascii="Times New Roman" w:hAnsi="Times New Roman"/>
                <w:sz w:val="20"/>
              </w:rPr>
              <w:t>30%</w:t>
            </w:r>
          </w:p>
        </w:tc>
        <w:tc>
          <w:tcPr>
            <w:tcW w:type="dxa" w:w="2770"/>
          </w:tcPr>
          <w:p>
            <w:pPr>
              <w:spacing w:line="288" w:lineRule="auto" w:after="40"/>
            </w:pPr>
            <w:r>
              <w:rPr>
                <w:rFonts w:ascii="Times New Roman" w:hAnsi="Times New Roman"/>
                <w:sz w:val="20"/>
              </w:rPr>
              <w:t>30%</w:t>
            </w:r>
          </w:p>
        </w:tc>
      </w:tr>
    </w:tbl>
    <w:p>
      <w:pPr>
        <w:spacing w:after="120" w:line="360" w:lineRule="auto"/>
        <w:jc w:val="both"/>
      </w:pPr>
      <w:r>
        <w:rPr>
          <w:rFonts w:ascii="Times New Roman" w:hAnsi="Times New Roman"/>
          <w:b w:val="0"/>
          <w:sz w:val="24"/>
        </w:rPr>
        <w:t xml:space="preserve">Section 87A Rebate &amp; Marginal Relief Formulation: </w:t>
        <w:br/>
        <w:t xml:space="preserve">Under the New Regime, if taxable income Y_taxable &lt;= ₹7,00,000, Section 87A rebate provides full relief: </w:t>
        <w:br/>
        <w:t xml:space="preserve">R_87A = min(Tax_gross, ₹25,000) ==&gt; Tax_payable = ₹0. </w:t>
        <w:br/>
        <w:t xml:space="preserve">For taxable incomes marginally exceeding ₹7,00,000, statutory marginal relief ensures that tax payable does not exceed the incremental income earned above ₹7,00,000: </w:t>
        <w:br/>
        <w:t xml:space="preserve">Tax_payable = min(Tax_calculated, Y_taxable - ₹7,00,000)  [for ₹7,00,000 &lt; Y_taxable &lt;= ₹7,27,770]. </w:t>
        <w:br/>
        <w:t xml:space="preserve">Finally, Health and Education Cess is applied at a flat 4% on total tax and applicable surcharges: </w:t>
        <w:br/>
        <w:t>Tax_final = (Tax_payable + Surcharge) * 1.04.</w:t>
      </w:r>
    </w:p>
    <w:p>
      <w:pPr>
        <w:spacing w:before="160" w:after="40" w:line="360" w:lineRule="auto"/>
        <w:jc w:val="left"/>
      </w:pPr>
      <w:r>
        <w:rPr>
          <w:rFonts w:ascii="Times New Roman" w:hAnsi="Times New Roman"/>
          <w:b/>
          <w:sz w:val="24"/>
        </w:rPr>
        <w:t>3.4.2 Debt Amortization &amp; Strategy Algorithms</w:t>
      </w:r>
    </w:p>
    <w:p>
      <w:pPr>
        <w:spacing w:after="120" w:line="360" w:lineRule="auto"/>
        <w:jc w:val="both"/>
      </w:pPr>
      <w:r>
        <w:rPr>
          <w:rFonts w:ascii="Times New Roman" w:hAnsi="Times New Roman"/>
          <w:b w:val="0"/>
          <w:sz w:val="24"/>
        </w:rPr>
        <w:t xml:space="preserve">For any loan liability with outstanding principal P, monthly interest rate r = r_annual / 12 / 100, and tenure n months, the monthly installment (EMI) is derived from the standard annuity equation: </w:t>
        <w:br/>
        <w:t xml:space="preserve">EMI = P * r * (1 + r)^n / ((1 + r)^n - 1) </w:t>
        <w:br/>
        <w:t xml:space="preserve">For each month k in [1, n], the interest component I_k and principal component P_k are computed sequentially: </w:t>
        <w:br/>
        <w:t xml:space="preserve">I_k = B_(k-1) * r </w:t>
        <w:br/>
        <w:t xml:space="preserve">P_k = EMI - I_k </w:t>
        <w:br/>
        <w:t xml:space="preserve">B_k = B_(k-1) - P_k </w:t>
        <w:br/>
        <w:t xml:space="preserve">where B_0 = P. </w:t>
        <w:br/>
        <w:t xml:space="preserve">Debt Avalanche Strategy: Sorts all active liabilities in descending order of nominal interest rate (max r_i). Surplus cash flow is allocated to the highest-interest debt, minimizing total lifetime interest paid. </w:t>
        <w:br/>
        <w:t>Debt Snowball Strategy: Sorts liabilities in ascending order of outstanding balance (min P_i). Surplus cash flow eliminates the smallest loan first, optimizing psychological momentum.</w:t>
      </w:r>
    </w:p>
    <w:p>
      <w:pPr>
        <w:spacing w:before="160" w:after="40" w:line="360" w:lineRule="auto"/>
        <w:jc w:val="left"/>
      </w:pPr>
      <w:r>
        <w:rPr>
          <w:rFonts w:ascii="Times New Roman" w:hAnsi="Times New Roman"/>
          <w:b/>
          <w:sz w:val="24"/>
        </w:rPr>
        <w:t>3.4.3 Investment Analytics &amp; FIRE Modeling</w:t>
      </w:r>
    </w:p>
    <w:p>
      <w:pPr>
        <w:spacing w:after="120" w:line="360" w:lineRule="auto"/>
        <w:jc w:val="both"/>
      </w:pPr>
      <w:r>
        <w:rPr>
          <w:rFonts w:ascii="Times New Roman" w:hAnsi="Times New Roman"/>
          <w:b w:val="0"/>
          <w:sz w:val="24"/>
        </w:rPr>
        <w:t xml:space="preserve">Compound Annual Growth Rate (CAGR) is computed across holding periods t (in years): </w:t>
        <w:br/>
        <w:t xml:space="preserve">CAGR = (V_end / V_start)^(1 / t) - 1 </w:t>
        <w:br/>
        <w:t xml:space="preserve">Extended Internal Rate of Return (XIRR) is computed for irregular cash flows {C_0, C_1, ..., C_N} occurring at dates {d_0, d_1, ..., d_N} by numerically finding the root r of the non-linear equation using Newton-Raphson iteration: </w:t>
        <w:br/>
        <w:t xml:space="preserve">f(r) = Sigma_(i=0)^N [ C_i / (1 + r)^((d_i - d_0) / 365) ] = 0 </w:t>
        <w:br/>
        <w:t xml:space="preserve">FIRE Retirement Corpus: Based on the Trinity Study Safe Withdrawal Rate (SWR = 3.5% or 4.0%), the required corpus is: </w:t>
        <w:br/>
        <w:t>Corpus_FIRE = Annual_Living_Expenses / SWR = 25 * Annual_Expenses (for 4% SWR) to 28.5 * Annual_Expenses (for 3.5% SWR).</w:t>
      </w:r>
    </w:p>
    <w:p>
      <w:pPr>
        <w:spacing w:after="120" w:line="360" w:lineRule="auto"/>
        <w:jc w:val="both"/>
      </w:pPr>
      <w:r>
        <w:rPr>
          <w:rFonts w:ascii="Times New Roman" w:hAnsi="Times New Roman"/>
          <w:b/>
          <w:sz w:val="24"/>
        </w:rPr>
        <w:t>Chapter Summary: This chapter formalized the system architecture, block diagram pipelines, and exact deterministic equations governing tax, debt, and portfolio engines. The next chapter details the software implementation and experimental results.</w:t>
      </w:r>
    </w:p>
    <w:p>
      <w:pPr>
        <w:spacing w:before="360" w:after="160" w:line="360" w:lineRule="auto"/>
        <w:jc w:val="left"/>
      </w:pPr>
      <w:r>
        <w:rPr>
          <w:rFonts w:ascii="Times New Roman" w:hAnsi="Times New Roman"/>
          <w:b/>
          <w:sz w:val="32"/>
        </w:rPr>
        <w:t>Chapter 4: Implementation and Experimentation</w:t>
      </w:r>
    </w:p>
    <w:tbl>
      <w:tblPr>
        <w:tblW w:type="auto" w:w="0"/>
        <w:jc w:val="center"/>
        <w:tblLook w:firstColumn="1" w:firstRow="1" w:lastColumn="0" w:lastRow="0" w:noHBand="0" w:noVBand="1" w:val="04A0"/>
      </w:tblPr>
      <w:tblGrid>
        <w:gridCol w:w="8309"/>
      </w:tblGrid>
      <w:tr>
        <w:tc>
          <w:tcPr>
            <w:tcW w:type="dxa" w:w="8309"/>
            <w:shd w:fill="F8FAFC"/>
            <w:tcBorders>
              <w:top w:val="single" w:sz="6" w:space="0" w:color="94A3B8"/>
              <w:left w:val="single" w:sz="18" w:space="0" w:color="3B82F6"/>
              <w:bottom w:val="single" w:sz="6" w:space="0" w:color="94A3B8"/>
              <w:right w:val="single" w:sz="6" w:space="0" w:color="94A3B8"/>
            </w:tcBorders>
          </w:tcPr>
          <w:p>
            <w:pPr>
              <w:spacing w:line="312" w:lineRule="auto" w:before="80" w:after="80"/>
              <w:jc w:val="both"/>
            </w:pPr>
            <w:r>
              <w:rPr>
                <w:rFonts w:ascii="Times New Roman" w:hAnsi="Times New Roman"/>
                <w:i/>
                <w:sz w:val="22"/>
              </w:rPr>
              <w:t>This chapter presents the practical implementation and empirical evaluation of the Halo system. It outlines the development environment, details the LangGraph agent state machine and Pydantic validation nodes, describes the on-device document intelligence vector pipeline, showcases the user interface cockpits, and reports benchmark results regarding execution latency, mathematical precision, and zero-network-egress security audits.</w:t>
            </w:r>
          </w:p>
        </w:tc>
      </w:tr>
    </w:tbl>
    <w:p>
      <w:pPr>
        <w:spacing w:after="120"/>
      </w:pPr>
    </w:p>
    <w:p>
      <w:pPr>
        <w:spacing w:before="240" w:after="80" w:line="360" w:lineRule="auto"/>
        <w:jc w:val="left"/>
      </w:pPr>
      <w:r>
        <w:rPr>
          <w:rFonts w:ascii="Times New Roman" w:hAnsi="Times New Roman"/>
          <w:b/>
          <w:sz w:val="28"/>
        </w:rPr>
        <w:t>4.1 Technology Stack &amp; On-Device Environment</w:t>
      </w:r>
    </w:p>
    <w:p>
      <w:pPr>
        <w:spacing w:after="120" w:line="360" w:lineRule="auto"/>
        <w:jc w:val="both"/>
      </w:pPr>
      <w:r>
        <w:rPr>
          <w:rFonts w:ascii="Times New Roman" w:hAnsi="Times New Roman"/>
          <w:b w:val="0"/>
          <w:sz w:val="24"/>
        </w:rPr>
        <w:t>Halo is built using a modern, lightweight, full-stack open-source ecosystem optimized for high efficiency on consumer desktop hardware. Table 4.1 outlines the primary software components and dependencies.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Pr>
          <w:p>
            <w:pPr>
              <w:spacing w:line="288" w:lineRule="auto" w:after="40"/>
            </w:pPr>
            <w:r>
              <w:rPr>
                <w:rFonts w:ascii="Times New Roman" w:hAnsi="Times New Roman"/>
                <w:b/>
                <w:sz w:val="20"/>
              </w:rPr>
              <w:t>Subsystem</w:t>
            </w:r>
          </w:p>
        </w:tc>
        <w:tc>
          <w:tcPr>
            <w:tcW w:type="dxa" w:w="2077"/>
            <w:shd w:fill="E2E8F0"/>
          </w:tcPr>
          <w:p>
            <w:pPr>
              <w:spacing w:line="288" w:lineRule="auto" w:after="40"/>
            </w:pPr>
            <w:r>
              <w:rPr>
                <w:rFonts w:ascii="Times New Roman" w:hAnsi="Times New Roman"/>
                <w:b/>
                <w:sz w:val="20"/>
              </w:rPr>
              <w:t>Technology / Framework</w:t>
            </w:r>
          </w:p>
        </w:tc>
        <w:tc>
          <w:tcPr>
            <w:tcW w:type="dxa" w:w="2077"/>
            <w:shd w:fill="E2E8F0"/>
          </w:tcPr>
          <w:p>
            <w:pPr>
              <w:spacing w:line="288" w:lineRule="auto" w:after="40"/>
            </w:pPr>
            <w:r>
              <w:rPr>
                <w:rFonts w:ascii="Times New Roman" w:hAnsi="Times New Roman"/>
                <w:b/>
                <w:sz w:val="20"/>
              </w:rPr>
              <w:t>Version</w:t>
            </w:r>
          </w:p>
        </w:tc>
        <w:tc>
          <w:tcPr>
            <w:tcW w:type="dxa" w:w="2077"/>
            <w:shd w:fill="E2E8F0"/>
          </w:tcPr>
          <w:p>
            <w:pPr>
              <w:spacing w:line="288" w:lineRule="auto" w:after="40"/>
            </w:pPr>
            <w:r>
              <w:rPr>
                <w:rFonts w:ascii="Times New Roman" w:hAnsi="Times New Roman"/>
                <w:b/>
                <w:sz w:val="20"/>
              </w:rPr>
              <w:t>Role in Halo Architecture</w:t>
            </w:r>
          </w:p>
        </w:tc>
      </w:tr>
      <w:tr>
        <w:tc>
          <w:tcPr>
            <w:tcW w:type="dxa" w:w="2077"/>
          </w:tcPr>
          <w:p>
            <w:pPr>
              <w:spacing w:line="288" w:lineRule="auto" w:after="40"/>
            </w:pPr>
            <w:r>
              <w:rPr>
                <w:rFonts w:ascii="Times New Roman" w:hAnsi="Times New Roman"/>
                <w:sz w:val="20"/>
              </w:rPr>
              <w:t>Backend Runtime</w:t>
            </w:r>
          </w:p>
        </w:tc>
        <w:tc>
          <w:tcPr>
            <w:tcW w:type="dxa" w:w="2077"/>
          </w:tcPr>
          <w:p>
            <w:pPr>
              <w:spacing w:line="288" w:lineRule="auto" w:after="40"/>
            </w:pPr>
            <w:r>
              <w:rPr>
                <w:rFonts w:ascii="Times New Roman" w:hAnsi="Times New Roman"/>
                <w:sz w:val="20"/>
              </w:rPr>
              <w:t>Python / FastAPI</w:t>
            </w:r>
          </w:p>
        </w:tc>
        <w:tc>
          <w:tcPr>
            <w:tcW w:type="dxa" w:w="2077"/>
          </w:tcPr>
          <w:p>
            <w:pPr>
              <w:spacing w:line="288" w:lineRule="auto" w:after="40"/>
            </w:pPr>
            <w:r>
              <w:rPr>
                <w:rFonts w:ascii="Times New Roman" w:hAnsi="Times New Roman"/>
                <w:sz w:val="20"/>
              </w:rPr>
              <w:t>3.11 / 0.115</w:t>
            </w:r>
          </w:p>
        </w:tc>
        <w:tc>
          <w:tcPr>
            <w:tcW w:type="dxa" w:w="2077"/>
          </w:tcPr>
          <w:p>
            <w:pPr>
              <w:spacing w:line="288" w:lineRule="auto" w:after="40"/>
            </w:pPr>
            <w:r>
              <w:rPr>
                <w:rFonts w:ascii="Times New Roman" w:hAnsi="Times New Roman"/>
                <w:sz w:val="20"/>
              </w:rPr>
              <w:t>High-performance asynchronous REST API server</w:t>
            </w:r>
          </w:p>
        </w:tc>
      </w:tr>
      <w:tr>
        <w:tc>
          <w:tcPr>
            <w:tcW w:type="dxa" w:w="2077"/>
          </w:tcPr>
          <w:p>
            <w:pPr>
              <w:spacing w:line="288" w:lineRule="auto" w:after="40"/>
            </w:pPr>
            <w:r>
              <w:rPr>
                <w:rFonts w:ascii="Times New Roman" w:hAnsi="Times New Roman"/>
                <w:sz w:val="20"/>
              </w:rPr>
              <w:t>Agent Orchestrator</w:t>
            </w:r>
          </w:p>
        </w:tc>
        <w:tc>
          <w:tcPr>
            <w:tcW w:type="dxa" w:w="2077"/>
          </w:tcPr>
          <w:p>
            <w:pPr>
              <w:spacing w:line="288" w:lineRule="auto" w:after="40"/>
            </w:pPr>
            <w:r>
              <w:rPr>
                <w:rFonts w:ascii="Times New Roman" w:hAnsi="Times New Roman"/>
                <w:sz w:val="20"/>
              </w:rPr>
              <w:t>LangGraph / LangChain</w:t>
            </w:r>
          </w:p>
        </w:tc>
        <w:tc>
          <w:tcPr>
            <w:tcW w:type="dxa" w:w="2077"/>
          </w:tcPr>
          <w:p>
            <w:pPr>
              <w:spacing w:line="288" w:lineRule="auto" w:after="40"/>
            </w:pPr>
            <w:r>
              <w:rPr>
                <w:rFonts w:ascii="Times New Roman" w:hAnsi="Times New Roman"/>
                <w:sz w:val="20"/>
              </w:rPr>
              <w:t>0.2.19 / 0.3.0</w:t>
            </w:r>
          </w:p>
        </w:tc>
        <w:tc>
          <w:tcPr>
            <w:tcW w:type="dxa" w:w="2077"/>
          </w:tcPr>
          <w:p>
            <w:pPr>
              <w:spacing w:line="288" w:lineRule="auto" w:after="40"/>
            </w:pPr>
            <w:r>
              <w:rPr>
                <w:rFonts w:ascii="Times New Roman" w:hAnsi="Times New Roman"/>
                <w:sz w:val="20"/>
              </w:rPr>
              <w:t>Cyclic state graphs for deterministic tool execution</w:t>
            </w:r>
          </w:p>
        </w:tc>
      </w:tr>
      <w:tr>
        <w:tc>
          <w:tcPr>
            <w:tcW w:type="dxa" w:w="2077"/>
          </w:tcPr>
          <w:p>
            <w:pPr>
              <w:spacing w:line="288" w:lineRule="auto" w:after="40"/>
            </w:pPr>
            <w:r>
              <w:rPr>
                <w:rFonts w:ascii="Times New Roman" w:hAnsi="Times New Roman"/>
                <w:sz w:val="20"/>
              </w:rPr>
              <w:t>Data Validation</w:t>
            </w:r>
          </w:p>
        </w:tc>
        <w:tc>
          <w:tcPr>
            <w:tcW w:type="dxa" w:w="2077"/>
          </w:tcPr>
          <w:p>
            <w:pPr>
              <w:spacing w:line="288" w:lineRule="auto" w:after="40"/>
            </w:pPr>
            <w:r>
              <w:rPr>
                <w:rFonts w:ascii="Times New Roman" w:hAnsi="Times New Roman"/>
                <w:sz w:val="20"/>
              </w:rPr>
              <w:t>Pydantic v2</w:t>
            </w:r>
          </w:p>
        </w:tc>
        <w:tc>
          <w:tcPr>
            <w:tcW w:type="dxa" w:w="2077"/>
          </w:tcPr>
          <w:p>
            <w:pPr>
              <w:spacing w:line="288" w:lineRule="auto" w:after="40"/>
            </w:pPr>
            <w:r>
              <w:rPr>
                <w:rFonts w:ascii="Times New Roman" w:hAnsi="Times New Roman"/>
                <w:sz w:val="20"/>
              </w:rPr>
              <w:t>2.9.2</w:t>
            </w:r>
          </w:p>
        </w:tc>
        <w:tc>
          <w:tcPr>
            <w:tcW w:type="dxa" w:w="2077"/>
          </w:tcPr>
          <w:p>
            <w:pPr>
              <w:spacing w:line="288" w:lineRule="auto" w:after="40"/>
            </w:pPr>
            <w:r>
              <w:rPr>
                <w:rFonts w:ascii="Times New Roman" w:hAnsi="Times New Roman"/>
                <w:sz w:val="20"/>
              </w:rPr>
              <w:t>Strict schema validation and range checking</w:t>
            </w:r>
          </w:p>
        </w:tc>
      </w:tr>
      <w:tr>
        <w:tc>
          <w:tcPr>
            <w:tcW w:type="dxa" w:w="2077"/>
          </w:tcPr>
          <w:p>
            <w:pPr>
              <w:spacing w:line="288" w:lineRule="auto" w:after="40"/>
            </w:pPr>
            <w:r>
              <w:rPr>
                <w:rFonts w:ascii="Times New Roman" w:hAnsi="Times New Roman"/>
                <w:sz w:val="20"/>
              </w:rPr>
              <w:t>Local LLM Runtime</w:t>
            </w:r>
          </w:p>
        </w:tc>
        <w:tc>
          <w:tcPr>
            <w:tcW w:type="dxa" w:w="2077"/>
          </w:tcPr>
          <w:p>
            <w:pPr>
              <w:spacing w:line="288" w:lineRule="auto" w:after="40"/>
            </w:pPr>
            <w:r>
              <w:rPr>
                <w:rFonts w:ascii="Times New Roman" w:hAnsi="Times New Roman"/>
                <w:sz w:val="20"/>
              </w:rPr>
              <w:t>Ollama (Llama 3.2 3B)</w:t>
            </w:r>
          </w:p>
        </w:tc>
        <w:tc>
          <w:tcPr>
            <w:tcW w:type="dxa" w:w="2077"/>
          </w:tcPr>
          <w:p>
            <w:pPr>
              <w:spacing w:line="288" w:lineRule="auto" w:after="40"/>
            </w:pPr>
            <w:r>
              <w:rPr>
                <w:rFonts w:ascii="Times New Roman" w:hAnsi="Times New Roman"/>
                <w:sz w:val="20"/>
              </w:rPr>
              <w:t>Latest</w:t>
            </w:r>
          </w:p>
        </w:tc>
        <w:tc>
          <w:tcPr>
            <w:tcW w:type="dxa" w:w="2077"/>
          </w:tcPr>
          <w:p>
            <w:pPr>
              <w:spacing w:line="288" w:lineRule="auto" w:after="40"/>
            </w:pPr>
            <w:r>
              <w:rPr>
                <w:rFonts w:ascii="Times New Roman" w:hAnsi="Times New Roman"/>
                <w:sz w:val="20"/>
              </w:rPr>
              <w:t>Local quantized auto-regressive language model</w:t>
            </w:r>
          </w:p>
        </w:tc>
      </w:tr>
      <w:tr>
        <w:tc>
          <w:tcPr>
            <w:tcW w:type="dxa" w:w="2077"/>
          </w:tcPr>
          <w:p>
            <w:pPr>
              <w:spacing w:line="288" w:lineRule="auto" w:after="40"/>
            </w:pPr>
            <w:r>
              <w:rPr>
                <w:rFonts w:ascii="Times New Roman" w:hAnsi="Times New Roman"/>
                <w:sz w:val="20"/>
              </w:rPr>
              <w:t>Relational Database</w:t>
            </w:r>
          </w:p>
        </w:tc>
        <w:tc>
          <w:tcPr>
            <w:tcW w:type="dxa" w:w="2077"/>
          </w:tcPr>
          <w:p>
            <w:pPr>
              <w:spacing w:line="288" w:lineRule="auto" w:after="40"/>
            </w:pPr>
            <w:r>
              <w:rPr>
                <w:rFonts w:ascii="Times New Roman" w:hAnsi="Times New Roman"/>
                <w:sz w:val="20"/>
              </w:rPr>
              <w:t>SQLite (WAL Mode)</w:t>
            </w:r>
          </w:p>
        </w:tc>
        <w:tc>
          <w:tcPr>
            <w:tcW w:type="dxa" w:w="2077"/>
          </w:tcPr>
          <w:p>
            <w:pPr>
              <w:spacing w:line="288" w:lineRule="auto" w:after="40"/>
            </w:pPr>
            <w:r>
              <w:rPr>
                <w:rFonts w:ascii="Times New Roman" w:hAnsi="Times New Roman"/>
                <w:sz w:val="20"/>
              </w:rPr>
              <w:t>3.45</w:t>
            </w:r>
          </w:p>
        </w:tc>
        <w:tc>
          <w:tcPr>
            <w:tcW w:type="dxa" w:w="2077"/>
          </w:tcPr>
          <w:p>
            <w:pPr>
              <w:spacing w:line="288" w:lineRule="auto" w:after="40"/>
            </w:pPr>
            <w:r>
              <w:rPr>
                <w:rFonts w:ascii="Times New Roman" w:hAnsi="Times New Roman"/>
                <w:sz w:val="20"/>
              </w:rPr>
              <w:t>ACID-compliant encrypted transactional storage</w:t>
            </w:r>
          </w:p>
        </w:tc>
      </w:tr>
      <w:tr>
        <w:tc>
          <w:tcPr>
            <w:tcW w:type="dxa" w:w="2077"/>
          </w:tcPr>
          <w:p>
            <w:pPr>
              <w:spacing w:line="288" w:lineRule="auto" w:after="40"/>
            </w:pPr>
            <w:r>
              <w:rPr>
                <w:rFonts w:ascii="Times New Roman" w:hAnsi="Times New Roman"/>
                <w:sz w:val="20"/>
              </w:rPr>
              <w:t>Vector Database</w:t>
            </w:r>
          </w:p>
        </w:tc>
        <w:tc>
          <w:tcPr>
            <w:tcW w:type="dxa" w:w="2077"/>
          </w:tcPr>
          <w:p>
            <w:pPr>
              <w:spacing w:line="288" w:lineRule="auto" w:after="40"/>
            </w:pPr>
            <w:r>
              <w:rPr>
                <w:rFonts w:ascii="Times New Roman" w:hAnsi="Times New Roman"/>
                <w:sz w:val="20"/>
              </w:rPr>
              <w:t>sqlite-vec</w:t>
            </w:r>
          </w:p>
        </w:tc>
        <w:tc>
          <w:tcPr>
            <w:tcW w:type="dxa" w:w="2077"/>
          </w:tcPr>
          <w:p>
            <w:pPr>
              <w:spacing w:line="288" w:lineRule="auto" w:after="40"/>
            </w:pPr>
            <w:r>
              <w:rPr>
                <w:rFonts w:ascii="Times New Roman" w:hAnsi="Times New Roman"/>
                <w:sz w:val="20"/>
              </w:rPr>
              <w:t>0.1.3</w:t>
            </w:r>
          </w:p>
        </w:tc>
        <w:tc>
          <w:tcPr>
            <w:tcW w:type="dxa" w:w="2077"/>
          </w:tcPr>
          <w:p>
            <w:pPr>
              <w:spacing w:line="288" w:lineRule="auto" w:after="40"/>
            </w:pPr>
            <w:r>
              <w:rPr>
                <w:rFonts w:ascii="Times New Roman" w:hAnsi="Times New Roman"/>
                <w:sz w:val="20"/>
              </w:rPr>
              <w:t>Lightweight on-device vector embedding index</w:t>
            </w:r>
          </w:p>
        </w:tc>
      </w:tr>
      <w:tr>
        <w:tc>
          <w:tcPr>
            <w:tcW w:type="dxa" w:w="2077"/>
          </w:tcPr>
          <w:p>
            <w:pPr>
              <w:spacing w:line="288" w:lineRule="auto" w:after="40"/>
            </w:pPr>
            <w:r>
              <w:rPr>
                <w:rFonts w:ascii="Times New Roman" w:hAnsi="Times New Roman"/>
                <w:sz w:val="20"/>
              </w:rPr>
              <w:t>Frontend UI</w:t>
            </w:r>
          </w:p>
        </w:tc>
        <w:tc>
          <w:tcPr>
            <w:tcW w:type="dxa" w:w="2077"/>
          </w:tcPr>
          <w:p>
            <w:pPr>
              <w:spacing w:line="288" w:lineRule="auto" w:after="40"/>
            </w:pPr>
            <w:r>
              <w:rPr>
                <w:rFonts w:ascii="Times New Roman" w:hAnsi="Times New Roman"/>
                <w:sz w:val="20"/>
              </w:rPr>
              <w:t>React / Vite / TypeScript</w:t>
            </w:r>
          </w:p>
        </w:tc>
        <w:tc>
          <w:tcPr>
            <w:tcW w:type="dxa" w:w="2077"/>
          </w:tcPr>
          <w:p>
            <w:pPr>
              <w:spacing w:line="288" w:lineRule="auto" w:after="40"/>
            </w:pPr>
            <w:r>
              <w:rPr>
                <w:rFonts w:ascii="Times New Roman" w:hAnsi="Times New Roman"/>
                <w:sz w:val="20"/>
              </w:rPr>
              <w:t>18.3 / 5.4</w:t>
            </w:r>
          </w:p>
        </w:tc>
        <w:tc>
          <w:tcPr>
            <w:tcW w:type="dxa" w:w="2077"/>
          </w:tcPr>
          <w:p>
            <w:pPr>
              <w:spacing w:line="288" w:lineRule="auto" w:after="40"/>
            </w:pPr>
            <w:r>
              <w:rPr>
                <w:rFonts w:ascii="Times New Roman" w:hAnsi="Times New Roman"/>
                <w:sz w:val="20"/>
              </w:rPr>
              <w:t>Single Page Application with strict TypeScript typing</w:t>
            </w:r>
          </w:p>
        </w:tc>
      </w:tr>
      <w:tr>
        <w:tc>
          <w:tcPr>
            <w:tcW w:type="dxa" w:w="2077"/>
          </w:tcPr>
          <w:p>
            <w:pPr>
              <w:spacing w:line="288" w:lineRule="auto" w:after="40"/>
            </w:pPr>
            <w:r>
              <w:rPr>
                <w:rFonts w:ascii="Times New Roman" w:hAnsi="Times New Roman"/>
                <w:sz w:val="20"/>
              </w:rPr>
              <w:t>Styling &amp; Icons</w:t>
            </w:r>
          </w:p>
        </w:tc>
        <w:tc>
          <w:tcPr>
            <w:tcW w:type="dxa" w:w="2077"/>
          </w:tcPr>
          <w:p>
            <w:pPr>
              <w:spacing w:line="288" w:lineRule="auto" w:after="40"/>
            </w:pPr>
            <w:r>
              <w:rPr>
                <w:rFonts w:ascii="Times New Roman" w:hAnsi="Times New Roman"/>
                <w:sz w:val="20"/>
              </w:rPr>
              <w:t>Tailwind CSS / Lucide</w:t>
            </w:r>
          </w:p>
        </w:tc>
        <w:tc>
          <w:tcPr>
            <w:tcW w:type="dxa" w:w="2077"/>
          </w:tcPr>
          <w:p>
            <w:pPr>
              <w:spacing w:line="288" w:lineRule="auto" w:after="40"/>
            </w:pPr>
            <w:r>
              <w:rPr>
                <w:rFonts w:ascii="Times New Roman" w:hAnsi="Times New Roman"/>
                <w:sz w:val="20"/>
              </w:rPr>
              <w:t>3.4 / 0.447</w:t>
            </w:r>
          </w:p>
        </w:tc>
        <w:tc>
          <w:tcPr>
            <w:tcW w:type="dxa" w:w="2077"/>
          </w:tcPr>
          <w:p>
            <w:pPr>
              <w:spacing w:line="288" w:lineRule="auto" w:after="40"/>
            </w:pPr>
            <w:r>
              <w:rPr>
                <w:rFonts w:ascii="Times New Roman" w:hAnsi="Times New Roman"/>
                <w:sz w:val="20"/>
              </w:rPr>
              <w:t>Modern responsive dark/light mode interface</w:t>
            </w:r>
          </w:p>
        </w:tc>
      </w:tr>
      <w:tr>
        <w:tc>
          <w:tcPr>
            <w:tcW w:type="dxa" w:w="2077"/>
          </w:tcPr>
          <w:p>
            <w:pPr>
              <w:spacing w:line="288" w:lineRule="auto" w:after="40"/>
            </w:pPr>
            <w:r>
              <w:rPr>
                <w:rFonts w:ascii="Times New Roman" w:hAnsi="Times New Roman"/>
                <w:sz w:val="20"/>
              </w:rPr>
              <w:t>Visualization</w:t>
            </w:r>
          </w:p>
        </w:tc>
        <w:tc>
          <w:tcPr>
            <w:tcW w:type="dxa" w:w="2077"/>
          </w:tcPr>
          <w:p>
            <w:pPr>
              <w:spacing w:line="288" w:lineRule="auto" w:after="40"/>
            </w:pPr>
            <w:r>
              <w:rPr>
                <w:rFonts w:ascii="Times New Roman" w:hAnsi="Times New Roman"/>
                <w:sz w:val="20"/>
              </w:rPr>
              <w:t>Recharts &amp; Framer Motion</w:t>
            </w:r>
          </w:p>
        </w:tc>
        <w:tc>
          <w:tcPr>
            <w:tcW w:type="dxa" w:w="2077"/>
          </w:tcPr>
          <w:p>
            <w:pPr>
              <w:spacing w:line="288" w:lineRule="auto" w:after="40"/>
            </w:pPr>
            <w:r>
              <w:rPr>
                <w:rFonts w:ascii="Times New Roman" w:hAnsi="Times New Roman"/>
                <w:sz w:val="20"/>
              </w:rPr>
              <w:t>2.12 / 11.5</w:t>
            </w:r>
          </w:p>
        </w:tc>
        <w:tc>
          <w:tcPr>
            <w:tcW w:type="dxa" w:w="2077"/>
          </w:tcPr>
          <w:p>
            <w:pPr>
              <w:spacing w:line="288" w:lineRule="auto" w:after="40"/>
            </w:pPr>
            <w:r>
              <w:rPr>
                <w:rFonts w:ascii="Times New Roman" w:hAnsi="Times New Roman"/>
                <w:sz w:val="20"/>
              </w:rPr>
              <w:t>Interactive financial trajectory graphs and animations</w:t>
            </w:r>
          </w:p>
        </w:tc>
      </w:tr>
    </w:tbl>
    <w:p>
      <w:pPr>
        <w:spacing w:before="240" w:after="80" w:line="360" w:lineRule="auto"/>
        <w:jc w:val="left"/>
      </w:pPr>
      <w:r>
        <w:rPr>
          <w:rFonts w:ascii="Times New Roman" w:hAnsi="Times New Roman"/>
          <w:b/>
          <w:sz w:val="28"/>
        </w:rPr>
        <w:t>4.2 LangGraph Orchestration &amp; Validation Guardrails</w:t>
      </w:r>
    </w:p>
    <w:p>
      <w:pPr>
        <w:spacing w:after="120" w:line="360" w:lineRule="auto"/>
        <w:jc w:val="both"/>
      </w:pPr>
      <w:r>
        <w:rPr>
          <w:rFonts w:ascii="Times New Roman" w:hAnsi="Times New Roman"/>
          <w:b w:val="0"/>
          <w:sz w:val="24"/>
        </w:rPr>
        <w:t>A critical vulnerability in standard agentic systems is the risk of malformed tool calls or hallucinated input arguments. Halo addresses this by interposing a mandatory 'Validation Node' between the LLM intent extraction and mathematical execution. The LangGraph workflow consists of four primary states: (1) router, (2) validate, (3) execute_math, and (4) narrate.</w:t>
      </w:r>
    </w:p>
    <w:p>
      <w:pPr>
        <w:spacing w:after="120" w:line="360" w:lineRule="auto"/>
        <w:jc w:val="both"/>
      </w:pPr>
      <w:r>
        <w:rPr>
          <w:rFonts w:ascii="Times New Roman" w:hAnsi="Times New Roman"/>
          <w:b w:val="0"/>
          <w:sz w:val="24"/>
        </w:rPr>
        <w:t xml:space="preserve">During the validate stage, Pydantic schemas enforce strict operational constraints: </w:t>
        <w:br/>
        <w:t xml:space="preserve">• Annual Income: Y &gt;= 0 </w:t>
        <w:br/>
        <w:t xml:space="preserve">• Loan Interest Rate: 0.0% &lt;= r_annual &lt;= 50.0% </w:t>
        <w:br/>
        <w:t xml:space="preserve">• Loan Tenure: 1 month &lt;= n &lt;= 480 months (40 years) </w:t>
        <w:br/>
        <w:t xml:space="preserve">• Prepayment Amount: 0 &lt; P_prepay &lt;= Outstanding Principal. </w:t>
        <w:br/>
        <w:t>If the LLM outputs malformed arguments or fails validation, the state machine triggers a corrective loop (maximum 2 retries) with an explicit diagnostic message instructing the LLM to rectify the argument schema. Additionally, a regex-based JSON repair heuristic in the backend parser intercepts unclosed brackets or trailing commas common in local quantized models, ensuring 100% resilience against chat interface disruption.</w:t>
      </w:r>
    </w:p>
    <w:p>
      <w:pPr>
        <w:spacing w:before="240" w:after="80" w:line="360" w:lineRule="auto"/>
        <w:jc w:val="left"/>
      </w:pPr>
      <w:r>
        <w:rPr>
          <w:rFonts w:ascii="Times New Roman" w:hAnsi="Times New Roman"/>
          <w:b/>
          <w:sz w:val="28"/>
        </w:rPr>
        <w:t>4.3 Document Intelligence &amp; Local Vector Database</w:t>
      </w:r>
    </w:p>
    <w:p>
      <w:pPr>
        <w:spacing w:after="120" w:line="360" w:lineRule="auto"/>
        <w:jc w:val="both"/>
      </w:pPr>
      <w:r>
        <w:rPr>
          <w:rFonts w:ascii="Times New Roman" w:hAnsi="Times New Roman"/>
          <w:b w:val="0"/>
          <w:sz w:val="24"/>
        </w:rPr>
        <w:t xml:space="preserve">To enable document querying without cloud transmission, Halo implements a local PDF ingestion pipeline tailored for mutual fund Consolidated Account Statements (CAS) issued by CAMS and KFintech. The pipeline operates as follows: </w:t>
        <w:br/>
        <w:t xml:space="preserve">1. On-Device PDF Decryption: The user supplies the statement password (typically the investor's PAN or DOB), which is processed entirely in-memory using pypdf. </w:t>
        <w:br/>
        <w:t xml:space="preserve">2. Chunking &amp; Local Embeddings: The text is segmented into 800-character overlapping chunks (150-character overlap) using LangChain RecursiveCharacterTextSplitter. Embeddings are generated locally using HuggingFace all-MiniLM-L6-v2 running via PyTorch. </w:t>
        <w:br/>
        <w:t>3. Virtual Table Storage: Dense vectors are indexed directly into sqlite-vec virtual tables in the local SQLite database. Subsequent user questions query the local vector index using cosine similarity (distance &lt; 0.35 threshold), providing grounded portfolio context to the conversational assistant with zero external data transfer.</w:t>
      </w:r>
    </w:p>
    <w:p>
      <w:pPr>
        <w:spacing w:before="240" w:after="80" w:line="360" w:lineRule="auto"/>
        <w:jc w:val="left"/>
      </w:pPr>
      <w:r>
        <w:rPr>
          <w:rFonts w:ascii="Times New Roman" w:hAnsi="Times New Roman"/>
          <w:b/>
          <w:sz w:val="28"/>
        </w:rPr>
        <w:t>4.4 User Interface &amp; Financial Cockpit</w:t>
      </w:r>
    </w:p>
    <w:p>
      <w:pPr>
        <w:spacing w:after="120" w:line="360" w:lineRule="auto"/>
        <w:jc w:val="both"/>
      </w:pPr>
      <w:r>
        <w:rPr>
          <w:rFonts w:ascii="Times New Roman" w:hAnsi="Times New Roman"/>
          <w:b w:val="0"/>
          <w:sz w:val="24"/>
        </w:rPr>
        <w:t xml:space="preserve">The frontend is designed as an interactive, highly responsive financial cockpit: </w:t>
        <w:br/>
        <w:t xml:space="preserve">• Today Cockpit (/today): Displays consolidated real-time net worth, a dynamic SVG semi-circle tax liability gauge, an interactive Future-Self Time Machine slider (projecting wealth from age 20 to 75), and an animated Money Flow visualizer mapping Income ➔ Tax ➔ Investments ➔ Debt EMIs ➔ Living Expenses. </w:t>
        <w:br/>
        <w:t xml:space="preserve">• AI Copilot Side Drawer: Zero-redirect conversational drawer supporting natural language queries in English and Hinglish, with direct database mutation capabilities (e.g., 'Update my car loan EMI to ₹18,500' immediately refreshes the active dashboard). </w:t>
        <w:br/>
        <w:t xml:space="preserve">• Hands-Free Voice Cockpit: Leverages browser Web Speech API with an intelligent 3-second silence detector and a real-time countdown badge ('3s' ➔ '2s' ➔ '1s'), automatically dispatching voice queries without requiring manual mouse clicks. </w:t>
        <w:br/>
        <w:t>• 1-Click CA Handoff Dossier: An audit-ready modal displaying comprehensive schedules for capital gains (LTCG/STCG), Section 234 advance tax penalties, and deductions, with client-side PDF export via html2canvas and jspdf.</w:t>
      </w:r>
    </w:p>
    <w:p>
      <w:pPr>
        <w:spacing w:before="240" w:after="80" w:line="360" w:lineRule="auto"/>
        <w:jc w:val="left"/>
      </w:pPr>
      <w:r>
        <w:rPr>
          <w:rFonts w:ascii="Times New Roman" w:hAnsi="Times New Roman"/>
          <w:b/>
          <w:sz w:val="28"/>
        </w:rPr>
        <w:t>4.5 Results, Benchmark Analysis &amp; Verification</w:t>
      </w:r>
    </w:p>
    <w:p>
      <w:pPr>
        <w:spacing w:after="120" w:line="360" w:lineRule="auto"/>
        <w:jc w:val="both"/>
      </w:pPr>
      <w:r>
        <w:rPr>
          <w:rFonts w:ascii="Times New Roman" w:hAnsi="Times New Roman"/>
          <w:b w:val="0"/>
          <w:sz w:val="24"/>
        </w:rPr>
        <w:t>The Halo system underwent exhaustive empirical evaluation across three primary criteria: calculation accuracy, execution latency, and network egress isolation.</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Pr>
          <w:p>
            <w:pPr>
              <w:spacing w:line="288" w:lineRule="auto" w:after="40"/>
            </w:pPr>
            <w:r>
              <w:rPr>
                <w:rFonts w:ascii="Times New Roman" w:hAnsi="Times New Roman"/>
                <w:b/>
                <w:sz w:val="20"/>
              </w:rPr>
              <w:t>Benchmark Metric</w:t>
            </w:r>
          </w:p>
        </w:tc>
        <w:tc>
          <w:tcPr>
            <w:tcW w:type="dxa" w:w="2077"/>
            <w:shd w:fill="E2E8F0"/>
          </w:tcPr>
          <w:p>
            <w:pPr>
              <w:spacing w:line="288" w:lineRule="auto" w:after="40"/>
            </w:pPr>
            <w:r>
              <w:rPr>
                <w:rFonts w:ascii="Times New Roman" w:hAnsi="Times New Roman"/>
                <w:b/>
                <w:sz w:val="20"/>
              </w:rPr>
              <w:t>Test Scope / Methodology</w:t>
            </w:r>
          </w:p>
        </w:tc>
        <w:tc>
          <w:tcPr>
            <w:tcW w:type="dxa" w:w="2077"/>
            <w:shd w:fill="E2E8F0"/>
          </w:tcPr>
          <w:p>
            <w:pPr>
              <w:spacing w:line="288" w:lineRule="auto" w:after="40"/>
            </w:pPr>
            <w:r>
              <w:rPr>
                <w:rFonts w:ascii="Times New Roman" w:hAnsi="Times New Roman"/>
                <w:b/>
                <w:sz w:val="20"/>
              </w:rPr>
              <w:t>Observed Performance</w:t>
            </w:r>
          </w:p>
        </w:tc>
        <w:tc>
          <w:tcPr>
            <w:tcW w:type="dxa" w:w="2077"/>
            <w:shd w:fill="E2E8F0"/>
          </w:tcPr>
          <w:p>
            <w:pPr>
              <w:spacing w:line="288" w:lineRule="auto" w:after="40"/>
            </w:pPr>
            <w:r>
              <w:rPr>
                <w:rFonts w:ascii="Times New Roman" w:hAnsi="Times New Roman"/>
                <w:b/>
                <w:sz w:val="20"/>
              </w:rPr>
              <w:t>Verification Status</w:t>
            </w:r>
          </w:p>
        </w:tc>
      </w:tr>
      <w:tr>
        <w:tc>
          <w:tcPr>
            <w:tcW w:type="dxa" w:w="2077"/>
          </w:tcPr>
          <w:p>
            <w:pPr>
              <w:spacing w:line="288" w:lineRule="auto" w:after="40"/>
            </w:pPr>
            <w:r>
              <w:rPr>
                <w:rFonts w:ascii="Times New Roman" w:hAnsi="Times New Roman"/>
                <w:sz w:val="20"/>
              </w:rPr>
              <w:t>Backend Unit Test Suite</w:t>
            </w:r>
          </w:p>
        </w:tc>
        <w:tc>
          <w:tcPr>
            <w:tcW w:type="dxa" w:w="2077"/>
          </w:tcPr>
          <w:p>
            <w:pPr>
              <w:spacing w:line="288" w:lineRule="auto" w:after="40"/>
            </w:pPr>
            <w:r>
              <w:rPr>
                <w:rFonts w:ascii="Times New Roman" w:hAnsi="Times New Roman"/>
                <w:sz w:val="20"/>
              </w:rPr>
              <w:t>42 pytest test cases (tax slabs, loans, 234C, XIRR)</w:t>
            </w:r>
          </w:p>
        </w:tc>
        <w:tc>
          <w:tcPr>
            <w:tcW w:type="dxa" w:w="2077"/>
          </w:tcPr>
          <w:p>
            <w:pPr>
              <w:spacing w:line="288" w:lineRule="auto" w:after="40"/>
            </w:pPr>
            <w:r>
              <w:rPr>
                <w:rFonts w:ascii="Times New Roman" w:hAnsi="Times New Roman"/>
                <w:sz w:val="20"/>
              </w:rPr>
              <w:t>42/42 Passed (0.24s total)</w:t>
            </w:r>
          </w:p>
        </w:tc>
        <w:tc>
          <w:tcPr>
            <w:tcW w:type="dxa" w:w="2077"/>
          </w:tcPr>
          <w:p>
            <w:pPr>
              <w:spacing w:line="288" w:lineRule="auto" w:after="40"/>
            </w:pPr>
            <w:r>
              <w:rPr>
                <w:rFonts w:ascii="Times New Roman" w:hAnsi="Times New Roman"/>
                <w:sz w:val="20"/>
              </w:rPr>
              <w:t>Verified (100% Pass)</w:t>
            </w:r>
          </w:p>
        </w:tc>
      </w:tr>
      <w:tr>
        <w:tc>
          <w:tcPr>
            <w:tcW w:type="dxa" w:w="2077"/>
          </w:tcPr>
          <w:p>
            <w:pPr>
              <w:spacing w:line="288" w:lineRule="auto" w:after="40"/>
            </w:pPr>
            <w:r>
              <w:rPr>
                <w:rFonts w:ascii="Times New Roman" w:hAnsi="Times New Roman"/>
                <w:sz w:val="20"/>
              </w:rPr>
              <w:t>Tax Monotonicity &amp; Parity</w:t>
            </w:r>
          </w:p>
        </w:tc>
        <w:tc>
          <w:tcPr>
            <w:tcW w:type="dxa" w:w="2077"/>
          </w:tcPr>
          <w:p>
            <w:pPr>
              <w:spacing w:line="288" w:lineRule="auto" w:after="40"/>
            </w:pPr>
            <w:r>
              <w:rPr>
                <w:rFonts w:ascii="Times New Roman" w:hAnsi="Times New Roman"/>
                <w:sz w:val="20"/>
              </w:rPr>
              <w:t>100+ golden taxpayer fixture profiles (Old vs New)</w:t>
            </w:r>
          </w:p>
        </w:tc>
        <w:tc>
          <w:tcPr>
            <w:tcW w:type="dxa" w:w="2077"/>
          </w:tcPr>
          <w:p>
            <w:pPr>
              <w:spacing w:line="288" w:lineRule="auto" w:after="40"/>
            </w:pPr>
            <w:r>
              <w:rPr>
                <w:rFonts w:ascii="Times New Roman" w:hAnsi="Times New Roman"/>
                <w:sz w:val="20"/>
              </w:rPr>
              <w:t>Zero discrepancy vs IT Portal</w:t>
            </w:r>
          </w:p>
        </w:tc>
        <w:tc>
          <w:tcPr>
            <w:tcW w:type="dxa" w:w="2077"/>
          </w:tcPr>
          <w:p>
            <w:pPr>
              <w:spacing w:line="288" w:lineRule="auto" w:after="40"/>
            </w:pPr>
            <w:r>
              <w:rPr>
                <w:rFonts w:ascii="Times New Roman" w:hAnsi="Times New Roman"/>
                <w:sz w:val="20"/>
              </w:rPr>
              <w:t>Verified Exact</w:t>
            </w:r>
          </w:p>
        </w:tc>
      </w:tr>
      <w:tr>
        <w:tc>
          <w:tcPr>
            <w:tcW w:type="dxa" w:w="2077"/>
          </w:tcPr>
          <w:p>
            <w:pPr>
              <w:spacing w:line="288" w:lineRule="auto" w:after="40"/>
            </w:pPr>
            <w:r>
              <w:rPr>
                <w:rFonts w:ascii="Times New Roman" w:hAnsi="Times New Roman"/>
                <w:sz w:val="20"/>
              </w:rPr>
              <w:t>Marginal Relief Precision</w:t>
            </w:r>
          </w:p>
        </w:tc>
        <w:tc>
          <w:tcPr>
            <w:tcW w:type="dxa" w:w="2077"/>
          </w:tcPr>
          <w:p>
            <w:pPr>
              <w:spacing w:line="288" w:lineRule="auto" w:after="40"/>
            </w:pPr>
            <w:r>
              <w:rPr>
                <w:rFonts w:ascii="Times New Roman" w:hAnsi="Times New Roman"/>
                <w:sz w:val="20"/>
              </w:rPr>
              <w:t>Taxable income ₹7,00,001 to ₹7,27,770 under Sec 87A</w:t>
            </w:r>
          </w:p>
        </w:tc>
        <w:tc>
          <w:tcPr>
            <w:tcW w:type="dxa" w:w="2077"/>
          </w:tcPr>
          <w:p>
            <w:pPr>
              <w:spacing w:line="288" w:lineRule="auto" w:after="40"/>
            </w:pPr>
            <w:r>
              <w:rPr>
                <w:rFonts w:ascii="Times New Roman" w:hAnsi="Times New Roman"/>
                <w:sz w:val="20"/>
              </w:rPr>
              <w:t>Exact tax = (Income - 7 Lakhs)</w:t>
            </w:r>
          </w:p>
        </w:tc>
        <w:tc>
          <w:tcPr>
            <w:tcW w:type="dxa" w:w="2077"/>
          </w:tcPr>
          <w:p>
            <w:pPr>
              <w:spacing w:line="288" w:lineRule="auto" w:after="40"/>
            </w:pPr>
            <w:r>
              <w:rPr>
                <w:rFonts w:ascii="Times New Roman" w:hAnsi="Times New Roman"/>
                <w:sz w:val="20"/>
              </w:rPr>
              <w:t>Verified Exact</w:t>
            </w:r>
          </w:p>
        </w:tc>
      </w:tr>
      <w:tr>
        <w:tc>
          <w:tcPr>
            <w:tcW w:type="dxa" w:w="2077"/>
          </w:tcPr>
          <w:p>
            <w:pPr>
              <w:spacing w:line="288" w:lineRule="auto" w:after="40"/>
            </w:pPr>
            <w:r>
              <w:rPr>
                <w:rFonts w:ascii="Times New Roman" w:hAnsi="Times New Roman"/>
                <w:sz w:val="20"/>
              </w:rPr>
              <w:t>Tax Engine Response Time</w:t>
            </w:r>
          </w:p>
        </w:tc>
        <w:tc>
          <w:tcPr>
            <w:tcW w:type="dxa" w:w="2077"/>
          </w:tcPr>
          <w:p>
            <w:pPr>
              <w:spacing w:line="288" w:lineRule="auto" w:after="40"/>
            </w:pPr>
            <w:r>
              <w:rPr>
                <w:rFonts w:ascii="Times New Roman" w:hAnsi="Times New Roman"/>
                <w:sz w:val="20"/>
              </w:rPr>
              <w:t>Piecewise slab execution across all surcharge tiers</w:t>
            </w:r>
          </w:p>
        </w:tc>
        <w:tc>
          <w:tcPr>
            <w:tcW w:type="dxa" w:w="2077"/>
          </w:tcPr>
          <w:p>
            <w:pPr>
              <w:spacing w:line="288" w:lineRule="auto" w:after="40"/>
            </w:pPr>
            <w:r>
              <w:rPr>
                <w:rFonts w:ascii="Times New Roman" w:hAnsi="Times New Roman"/>
                <w:sz w:val="20"/>
              </w:rPr>
              <w:t>&lt; 12 ms per evaluation</w:t>
            </w:r>
          </w:p>
        </w:tc>
        <w:tc>
          <w:tcPr>
            <w:tcW w:type="dxa" w:w="2077"/>
          </w:tcPr>
          <w:p>
            <w:pPr>
              <w:spacing w:line="288" w:lineRule="auto" w:after="40"/>
            </w:pPr>
            <w:r>
              <w:rPr>
                <w:rFonts w:ascii="Times New Roman" w:hAnsi="Times New Roman"/>
                <w:sz w:val="20"/>
              </w:rPr>
              <w:t>Verified Sub-15ms</w:t>
            </w:r>
          </w:p>
        </w:tc>
      </w:tr>
      <w:tr>
        <w:tc>
          <w:tcPr>
            <w:tcW w:type="dxa" w:w="2077"/>
          </w:tcPr>
          <w:p>
            <w:pPr>
              <w:spacing w:line="288" w:lineRule="auto" w:after="40"/>
            </w:pPr>
            <w:r>
              <w:rPr>
                <w:rFonts w:ascii="Times New Roman" w:hAnsi="Times New Roman"/>
                <w:sz w:val="20"/>
              </w:rPr>
              <w:t>Debt Amortization Latency</w:t>
            </w:r>
          </w:p>
        </w:tc>
        <w:tc>
          <w:tcPr>
            <w:tcW w:type="dxa" w:w="2077"/>
          </w:tcPr>
          <w:p>
            <w:pPr>
              <w:spacing w:line="288" w:lineRule="auto" w:after="40"/>
            </w:pPr>
            <w:r>
              <w:rPr>
                <w:rFonts w:ascii="Times New Roman" w:hAnsi="Times New Roman"/>
                <w:sz w:val="20"/>
              </w:rPr>
              <w:t>360-month amortization schedule generation</w:t>
            </w:r>
          </w:p>
        </w:tc>
        <w:tc>
          <w:tcPr>
            <w:tcW w:type="dxa" w:w="2077"/>
          </w:tcPr>
          <w:p>
            <w:pPr>
              <w:spacing w:line="288" w:lineRule="auto" w:after="40"/>
            </w:pPr>
            <w:r>
              <w:rPr>
                <w:rFonts w:ascii="Times New Roman" w:hAnsi="Times New Roman"/>
                <w:sz w:val="20"/>
              </w:rPr>
              <w:t>&lt; 22 ms execution time</w:t>
            </w:r>
          </w:p>
        </w:tc>
        <w:tc>
          <w:tcPr>
            <w:tcW w:type="dxa" w:w="2077"/>
          </w:tcPr>
          <w:p>
            <w:pPr>
              <w:spacing w:line="288" w:lineRule="auto" w:after="40"/>
            </w:pPr>
            <w:r>
              <w:rPr>
                <w:rFonts w:ascii="Times New Roman" w:hAnsi="Times New Roman"/>
                <w:sz w:val="20"/>
              </w:rPr>
              <w:t>Verified Sub-25ms</w:t>
            </w:r>
          </w:p>
        </w:tc>
      </w:tr>
      <w:tr>
        <w:tc>
          <w:tcPr>
            <w:tcW w:type="dxa" w:w="2077"/>
          </w:tcPr>
          <w:p>
            <w:pPr>
              <w:spacing w:line="288" w:lineRule="auto" w:after="40"/>
            </w:pPr>
            <w:r>
              <w:rPr>
                <w:rFonts w:ascii="Times New Roman" w:hAnsi="Times New Roman"/>
                <w:sz w:val="20"/>
              </w:rPr>
              <w:t>Local LLM Intent Latency</w:t>
            </w:r>
          </w:p>
        </w:tc>
        <w:tc>
          <w:tcPr>
            <w:tcW w:type="dxa" w:w="2077"/>
          </w:tcPr>
          <w:p>
            <w:pPr>
              <w:spacing w:line="288" w:lineRule="auto" w:after="40"/>
            </w:pPr>
            <w:r>
              <w:rPr>
                <w:rFonts w:ascii="Times New Roman" w:hAnsi="Times New Roman"/>
                <w:sz w:val="20"/>
              </w:rPr>
              <w:t>Ollama LLaMA-3.2 3B intent classification on M-series</w:t>
            </w:r>
          </w:p>
        </w:tc>
        <w:tc>
          <w:tcPr>
            <w:tcW w:type="dxa" w:w="2077"/>
          </w:tcPr>
          <w:p>
            <w:pPr>
              <w:spacing w:line="288" w:lineRule="auto" w:after="40"/>
            </w:pPr>
            <w:r>
              <w:rPr>
                <w:rFonts w:ascii="Times New Roman" w:hAnsi="Times New Roman"/>
                <w:sz w:val="20"/>
              </w:rPr>
              <w:t>1.4s to 2.2s end-to-end</w:t>
            </w:r>
          </w:p>
        </w:tc>
        <w:tc>
          <w:tcPr>
            <w:tcW w:type="dxa" w:w="2077"/>
          </w:tcPr>
          <w:p>
            <w:pPr>
              <w:spacing w:line="288" w:lineRule="auto" w:after="40"/>
            </w:pPr>
            <w:r>
              <w:rPr>
                <w:rFonts w:ascii="Times New Roman" w:hAnsi="Times New Roman"/>
                <w:sz w:val="20"/>
              </w:rPr>
              <w:t>Verified Responsive</w:t>
            </w:r>
          </w:p>
        </w:tc>
      </w:tr>
      <w:tr>
        <w:tc>
          <w:tcPr>
            <w:tcW w:type="dxa" w:w="2077"/>
          </w:tcPr>
          <w:p>
            <w:pPr>
              <w:spacing w:line="288" w:lineRule="auto" w:after="40"/>
            </w:pPr>
            <w:r>
              <w:rPr>
                <w:rFonts w:ascii="Times New Roman" w:hAnsi="Times New Roman"/>
                <w:sz w:val="20"/>
              </w:rPr>
              <w:t>Network Egress Audit</w:t>
            </w:r>
          </w:p>
        </w:tc>
        <w:tc>
          <w:tcPr>
            <w:tcW w:type="dxa" w:w="2077"/>
          </w:tcPr>
          <w:p>
            <w:pPr>
              <w:spacing w:line="288" w:lineRule="auto" w:after="40"/>
            </w:pPr>
            <w:r>
              <w:rPr>
                <w:rFonts w:ascii="Times New Roman" w:hAnsi="Times New Roman"/>
                <w:sz w:val="20"/>
              </w:rPr>
              <w:t>Socket-level firewall assertion during active queries</w:t>
            </w:r>
          </w:p>
        </w:tc>
        <w:tc>
          <w:tcPr>
            <w:tcW w:type="dxa" w:w="2077"/>
          </w:tcPr>
          <w:p>
            <w:pPr>
              <w:spacing w:line="288" w:lineRule="auto" w:after="40"/>
            </w:pPr>
            <w:r>
              <w:rPr>
                <w:rFonts w:ascii="Times New Roman" w:hAnsi="Times New Roman"/>
                <w:sz w:val="20"/>
              </w:rPr>
              <w:t>0 bytes transmitted to external IPs</w:t>
            </w:r>
          </w:p>
        </w:tc>
        <w:tc>
          <w:tcPr>
            <w:tcW w:type="dxa" w:w="2077"/>
          </w:tcPr>
          <w:p>
            <w:pPr>
              <w:spacing w:line="288" w:lineRule="auto" w:after="40"/>
            </w:pPr>
            <w:r>
              <w:rPr>
                <w:rFonts w:ascii="Times New Roman" w:hAnsi="Times New Roman"/>
                <w:sz w:val="20"/>
              </w:rPr>
              <w:t>Verified 100% Air-Gapped</w:t>
            </w:r>
          </w:p>
        </w:tc>
      </w:tr>
    </w:tbl>
    <w:p>
      <w:pPr>
        <w:spacing w:after="120" w:line="360" w:lineRule="auto"/>
        <w:jc w:val="both"/>
      </w:pPr>
      <w:r>
        <w:rPr>
          <w:rFonts w:ascii="Times New Roman" w:hAnsi="Times New Roman"/>
          <w:b/>
          <w:sz w:val="24"/>
        </w:rPr>
        <w:t>Chapter Summary: This chapter detailed the technology stack, the LangGraph validation gatekeeper, on-device document vectorization, and empirical benchmark results demonstrating sub-15ms math latencies and zero data egress. The final chapter presents the conclusions and future scope.</w:t>
      </w:r>
    </w:p>
    <w:p>
      <w:pPr>
        <w:spacing w:before="360" w:after="160" w:line="360" w:lineRule="auto"/>
        <w:jc w:val="left"/>
      </w:pPr>
      <w:r>
        <w:rPr>
          <w:rFonts w:ascii="Times New Roman" w:hAnsi="Times New Roman"/>
          <w:b/>
          <w:sz w:val="32"/>
        </w:rPr>
        <w:t>Chapter 5: Conclusions and Future Work</w:t>
      </w:r>
    </w:p>
    <w:tbl>
      <w:tblPr>
        <w:tblW w:type="auto" w:w="0"/>
        <w:jc w:val="center"/>
        <w:tblLook w:firstColumn="1" w:firstRow="1" w:lastColumn="0" w:lastRow="0" w:noHBand="0" w:noVBand="1" w:val="04A0"/>
      </w:tblPr>
      <w:tblGrid>
        <w:gridCol w:w="8309"/>
      </w:tblGrid>
      <w:tr>
        <w:tc>
          <w:tcPr>
            <w:tcW w:type="dxa" w:w="8309"/>
            <w:shd w:fill="F8FAFC"/>
            <w:tcBorders>
              <w:top w:val="single" w:sz="6" w:space="0" w:color="94A3B8"/>
              <w:left w:val="single" w:sz="18" w:space="0" w:color="3B82F6"/>
              <w:bottom w:val="single" w:sz="6" w:space="0" w:color="94A3B8"/>
              <w:right w:val="single" w:sz="6" w:space="0" w:color="94A3B8"/>
            </w:tcBorders>
          </w:tcPr>
          <w:p>
            <w:pPr>
              <w:spacing w:line="312" w:lineRule="auto" w:before="80" w:after="80"/>
              <w:jc w:val="both"/>
            </w:pPr>
            <w:r>
              <w:rPr>
                <w:rFonts w:ascii="Times New Roman" w:hAnsi="Times New Roman"/>
                <w:i/>
                <w:sz w:val="22"/>
              </w:rPr>
              <w:t>This chapter presents the conclusions drawn from the research, design, implementation, and verification of the Halo offline wealth intelligence assistant. It synthesizes the findings in an 8-10 line summary, articulates the primary engineering contributions in highlighted point form, and outlines promising directions for future work.</w:t>
            </w:r>
          </w:p>
        </w:tc>
      </w:tr>
    </w:tbl>
    <w:p>
      <w:pPr>
        <w:spacing w:after="120"/>
      </w:pPr>
    </w:p>
    <w:p>
      <w:pPr>
        <w:spacing w:after="120" w:line="360" w:lineRule="auto"/>
        <w:jc w:val="both"/>
      </w:pPr>
      <w:r>
        <w:rPr>
          <w:rFonts w:ascii="Times New Roman" w:hAnsi="Times New Roman"/>
          <w:b w:val="0"/>
          <w:sz w:val="24"/>
        </w:rPr>
        <w:t>This project successfully designed, implemented, and verified 'Halo', an offline-first, air-gapped personal wealth intelligence engine and financial planning assistant for Indian taxpayers. By enforcing a strict 'Deterministic-First AI' paradigm, Halo demonstrates that the natural language reasoning capabilities of modern Large Language Models can be harnessed without compromising on mathematical accuracy or data privacy. The local LLM is constrained strictly to intent classification and explanatory narration through LangGraph state machines and Pydantic validation nodes, while 100% of arithmetic operations—including statutory tax optimization, loan amortizations, and portfolio metrics—are computed by pure Python engines. Comprehensive benchmarking confirms that the system achieves sub-15ms calculation response times, eliminates numerical hallucinations entirely, and strictly maintains zero bytes of network egress, establishing a robust new benchmark for privacy-preserving FinTech.</w:t>
      </w:r>
    </w:p>
    <w:p>
      <w:pPr>
        <w:spacing w:before="240" w:after="80" w:line="360" w:lineRule="auto"/>
        <w:jc w:val="left"/>
      </w:pPr>
      <w:r>
        <w:rPr>
          <w:rFonts w:ascii="Times New Roman" w:hAnsi="Times New Roman"/>
          <w:b/>
          <w:sz w:val="28"/>
        </w:rPr>
        <w:t>5.1 Key Conclusions</w:t>
      </w:r>
    </w:p>
    <w:p>
      <w:pPr>
        <w:spacing w:after="120" w:line="360" w:lineRule="auto"/>
        <w:jc w:val="both"/>
      </w:pPr>
      <w:r>
        <w:rPr>
          <w:rFonts w:ascii="Times New Roman" w:hAnsi="Times New Roman"/>
          <w:b w:val="0"/>
          <w:sz w:val="24"/>
        </w:rPr>
        <w:t>1. Elimination of AI Hallucinations in Finance: Decoupling natural language processing from arithmetic execution completely resolves the stochastic hallucination dilemma. Pure Python mathematical functions guarantee 100% precision in income tax, interest, and portfolio formulas.</w:t>
      </w:r>
    </w:p>
    <w:p>
      <w:pPr>
        <w:spacing w:after="120" w:line="360" w:lineRule="auto"/>
        <w:jc w:val="both"/>
      </w:pPr>
      <w:r>
        <w:rPr>
          <w:rFonts w:ascii="Times New Roman" w:hAnsi="Times New Roman"/>
          <w:b w:val="0"/>
          <w:sz w:val="24"/>
        </w:rPr>
        <w:t>2. Verifiable On-Device Privacy: Processing all personal financial data, CAS statements, and tax profiles locally via SQLite and sqlite-vec guarantees absolute data privacy, satisfying the strictest requirements of the Digital Personal Data Protection (DPDP) Act with zero network egress.</w:t>
      </w:r>
    </w:p>
    <w:p>
      <w:pPr>
        <w:spacing w:after="120" w:line="360" w:lineRule="auto"/>
        <w:jc w:val="both"/>
      </w:pPr>
      <w:r>
        <w:rPr>
          <w:rFonts w:ascii="Times New Roman" w:hAnsi="Times New Roman"/>
          <w:b w:val="0"/>
          <w:sz w:val="24"/>
        </w:rPr>
        <w:t>3. Dynamic Statutory Indian Tax Engine: Full implementation of Budget 2024 revisions (comparing Old vs New regimes, Section 87A rebate and marginal relief, and Sections 234A/B/C interest) empowers individual taxpayers to accurately identify their optimal tax regime and avoid compliance penalties.</w:t>
      </w:r>
    </w:p>
    <w:p>
      <w:pPr>
        <w:spacing w:after="120" w:line="360" w:lineRule="auto"/>
        <w:jc w:val="both"/>
      </w:pPr>
      <w:r>
        <w:rPr>
          <w:rFonts w:ascii="Times New Roman" w:hAnsi="Times New Roman"/>
          <w:b w:val="0"/>
          <w:sz w:val="24"/>
        </w:rPr>
        <w:t>4. Resilient Agentic Validation Guardrails: Interposing Pydantic validation nodes within LangGraph state graphs prevents malformed tool arguments, while automatic regex JSON repair heuristics eliminate chat interface failures common in local quantized models.</w:t>
      </w:r>
    </w:p>
    <w:p>
      <w:pPr>
        <w:spacing w:after="120" w:line="360" w:lineRule="auto"/>
        <w:jc w:val="both"/>
      </w:pPr>
      <w:r>
        <w:rPr>
          <w:rFonts w:ascii="Times New Roman" w:hAnsi="Times New Roman"/>
          <w:b w:val="0"/>
          <w:sz w:val="24"/>
        </w:rPr>
        <w:t>5. FOSS Viability for Enterprise-Grade Wealth Tech: The entire system operates without recurring cloud API fees or proprietary software licenses, proving that high-performance, responsive wealth advisory tools can be built entirely on open-source foundations.</w:t>
      </w:r>
    </w:p>
    <w:p>
      <w:pPr>
        <w:spacing w:before="240" w:after="80" w:line="360" w:lineRule="auto"/>
        <w:jc w:val="left"/>
      </w:pPr>
      <w:r>
        <w:rPr>
          <w:rFonts w:ascii="Times New Roman" w:hAnsi="Times New Roman"/>
          <w:b/>
          <w:sz w:val="28"/>
        </w:rPr>
        <w:t>5.2 Future Scope</w:t>
      </w:r>
    </w:p>
    <w:p>
      <w:pPr>
        <w:spacing w:after="120" w:line="360" w:lineRule="auto"/>
        <w:jc w:val="both"/>
      </w:pPr>
      <w:r>
        <w:rPr>
          <w:rFonts w:ascii="Times New Roman" w:hAnsi="Times New Roman"/>
          <w:b w:val="0"/>
          <w:sz w:val="24"/>
        </w:rPr>
        <w:t>1. Income-tax Act, 2025 Statutory Migration: Prepare a seamless section-mapping transition layer as the newly drafted Income-tax Act, 2025 replaces the legacy Income-tax Act, 1961 starting April 1, 2026.</w:t>
      </w:r>
    </w:p>
    <w:p>
      <w:pPr>
        <w:spacing w:after="120" w:line="360" w:lineRule="auto"/>
        <w:jc w:val="both"/>
      </w:pPr>
      <w:r>
        <w:rPr>
          <w:rFonts w:ascii="Times New Roman" w:hAnsi="Times New Roman"/>
          <w:b w:val="0"/>
          <w:sz w:val="24"/>
        </w:rPr>
        <w:t>2. Direct Account Aggregator (AA) Integration: Implement local decryption protocols for RBI-regulated Account Aggregator (Sahamati/Setu) encrypted FIU JSON feeds, allowing 1-click automated bank account reconciliation without manual PDF uploads.</w:t>
      </w:r>
    </w:p>
    <w:p>
      <w:pPr>
        <w:spacing w:after="120" w:line="360" w:lineRule="auto"/>
        <w:jc w:val="both"/>
      </w:pPr>
      <w:r>
        <w:rPr>
          <w:rFonts w:ascii="Times New Roman" w:hAnsi="Times New Roman"/>
          <w:b w:val="0"/>
          <w:sz w:val="24"/>
        </w:rPr>
        <w:t>3. Cross-Platform Desktop Packaging: Package the React frontend and FastAPI backend into native desktop installers (via Tauri or Electron) with automated local background updates for annual tax rule JSON files.</w:t>
      </w:r>
    </w:p>
    <w:p>
      <w:pPr>
        <w:spacing w:after="120" w:line="360" w:lineRule="auto"/>
        <w:jc w:val="both"/>
      </w:pPr>
      <w:r>
        <w:rPr>
          <w:rFonts w:ascii="Times New Roman" w:hAnsi="Times New Roman"/>
          <w:b w:val="0"/>
          <w:sz w:val="24"/>
        </w:rPr>
        <w:t>4. Fine-Tuned Specialized Financial SLM: Fine-tune a 1.5B/3B Small Language Model specifically on Indian statutory tax manuals and financial queries to further reduce inference latency on entry-level consumer hardware.</w:t>
      </w:r>
    </w:p>
    <w:p>
      <w:pPr>
        <w:spacing w:after="120" w:line="360" w:lineRule="auto"/>
        <w:jc w:val="both"/>
      </w:pPr>
      <w:r>
        <w:rPr>
          <w:rFonts w:ascii="Times New Roman" w:hAnsi="Times New Roman"/>
          <w:b w:val="0"/>
          <w:sz w:val="24"/>
        </w:rPr>
        <w:t>5. Multi-Profile Family &amp; HUF Consolidation: Extend the database schema to model interconnected family tax entities and Hindu Undivided Families (HUF) for comprehensive cross-entity tax optimization.</w:t>
      </w:r>
    </w:p>
    <w:p>
      <w:pPr>
        <w:spacing w:before="360" w:after="160" w:line="360" w:lineRule="auto"/>
        <w:jc w:val="left"/>
      </w:pPr>
      <w:r>
        <w:rPr>
          <w:rFonts w:ascii="Times New Roman" w:hAnsi="Times New Roman"/>
          <w:b/>
          <w:sz w:val="32"/>
        </w:rPr>
        <w:t>References</w:t>
      </w:r>
    </w:p>
    <w:p>
      <w:pPr>
        <w:spacing w:after="80" w:line="312" w:lineRule="auto"/>
        <w:jc w:val="both"/>
      </w:pPr>
      <w:r>
        <w:rPr>
          <w:rFonts w:ascii="Times New Roman" w:hAnsi="Times New Roman"/>
          <w:b w:val="0"/>
          <w:sz w:val="22"/>
        </w:rPr>
        <w:t>[1] H. Touvron, T. Lavril, G. Izacard, X. Martinet, M. Lachaux, T. Lacroix, et al., "LLaMA: Open and Efficient Foundation Language Models," arXiv preprint arXiv:2302.13971, 2023.</w:t>
      </w:r>
    </w:p>
    <w:p>
      <w:pPr>
        <w:spacing w:after="80" w:line="312" w:lineRule="auto"/>
        <w:jc w:val="both"/>
      </w:pPr>
      <w:r>
        <w:rPr>
          <w:rFonts w:ascii="Times New Roman" w:hAnsi="Times New Roman"/>
          <w:b w:val="0"/>
          <w:sz w:val="22"/>
        </w:rPr>
        <w:t>[2] P. Lewis, E. Perez, A. Piktus, F. Petroni, V. Karpukhin, N. Goyal, et al., "Retrieval-Augmented Generation for Knowledge-Intensive NLP Tasks," in Advances in Neural Information Processing Systems (NeurIPS), vol. 33, pp. 9459-9474, 2020.</w:t>
      </w:r>
    </w:p>
    <w:p>
      <w:pPr>
        <w:spacing w:after="80" w:line="312" w:lineRule="auto"/>
        <w:jc w:val="both"/>
      </w:pPr>
      <w:r>
        <w:rPr>
          <w:rFonts w:ascii="Times New Roman" w:hAnsi="Times New Roman"/>
          <w:b w:val="0"/>
          <w:sz w:val="22"/>
        </w:rPr>
        <w:t>[3] H. Wu, C. Zhang, and H. LangChain, "LangGraph: Building Stateful, Multi-Actor Applications with LLMs," LangChain Technical Documentation and Whitepaper, 2024. [Online]. Available: https://langchain-ai.github.io/langgraph/</w:t>
      </w:r>
    </w:p>
    <w:p>
      <w:pPr>
        <w:spacing w:after="80" w:line="312" w:lineRule="auto"/>
        <w:jc w:val="both"/>
      </w:pPr>
      <w:r>
        <w:rPr>
          <w:rFonts w:ascii="Times New Roman" w:hAnsi="Times New Roman"/>
          <w:b w:val="0"/>
          <w:sz w:val="22"/>
        </w:rPr>
        <w:t>[4] V. Acharya and P. Sharma, "Automated Personal Wealth Advisory in Emerging Fintech Markets: Adoption, Perceived Security, and Algorithmic Trust," IEEE International Conference on Financial Technology (ICFT), pp. 112-119, 2023.</w:t>
      </w:r>
    </w:p>
    <w:p>
      <w:pPr>
        <w:spacing w:after="80" w:line="312" w:lineRule="auto"/>
        <w:jc w:val="both"/>
      </w:pPr>
      <w:r>
        <w:rPr>
          <w:rFonts w:ascii="Times New Roman" w:hAnsi="Times New Roman"/>
          <w:b w:val="0"/>
          <w:sz w:val="22"/>
        </w:rPr>
        <w:t>[5] M. T. Ribeiro, T. Wu, C. Guestrin, and S. Singh, "Beyond Accuracy: Behavioral Testing of NLP Models with CheckList," in Proceedings of the 58th Annual Meeting of the Association for Computational Linguistics (ACL), pp. 4902-4912, 2020.</w:t>
      </w:r>
    </w:p>
    <w:p>
      <w:pPr>
        <w:spacing w:after="80" w:line="312" w:lineRule="auto"/>
        <w:jc w:val="both"/>
      </w:pPr>
      <w:r>
        <w:rPr>
          <w:rFonts w:ascii="Times New Roman" w:hAnsi="Times New Roman"/>
          <w:b w:val="0"/>
          <w:sz w:val="22"/>
        </w:rPr>
        <w:t>[6] P. Gomber, J. Kauffman, C. Parker, and B. W. Weber, "On the Fintech Revolution: Interpreting the Forces of Innovation, Disruption, and Transformation in Financial Services," Journal of Management Information Systems, vol. 35, no. 1, pp. 220-265, 2018.</w:t>
      </w:r>
    </w:p>
    <w:p>
      <w:pPr>
        <w:spacing w:after="80" w:line="312" w:lineRule="auto"/>
        <w:jc w:val="both"/>
      </w:pPr>
      <w:r>
        <w:rPr>
          <w:rFonts w:ascii="Times New Roman" w:hAnsi="Times New Roman"/>
          <w:b w:val="0"/>
          <w:sz w:val="22"/>
        </w:rPr>
        <w:t>[7] D. Jung, R. Dorner, C. Weinhardt, and H. Puschel, "Designing a Robo-Advisor for Risk-Averse Retail Investors: An Empirical Behavioral Evaluation," Electronic Markets, vol. 28, no. 3, pp. 367-380, 2018.</w:t>
      </w:r>
    </w:p>
    <w:p>
      <w:pPr>
        <w:spacing w:after="80" w:line="312" w:lineRule="auto"/>
        <w:jc w:val="both"/>
      </w:pPr>
      <w:r>
        <w:rPr>
          <w:rFonts w:ascii="Times New Roman" w:hAnsi="Times New Roman"/>
          <w:b w:val="0"/>
          <w:sz w:val="22"/>
        </w:rPr>
        <w:t>[8] T. Dettmers, M. Lewis, Y. Belkada, and L. Zettlemoyer, "LLM.int8(): 8-bit Matrix Multiplication for Transformers at Scale," in Advances in Neural Information Processing Systems (NeurIPS), vol. 35, pp. 30318-30332, 2022.</w:t>
      </w:r>
    </w:p>
    <w:p>
      <w:pPr>
        <w:spacing w:after="80" w:line="312" w:lineRule="auto"/>
        <w:jc w:val="both"/>
      </w:pPr>
      <w:r>
        <w:rPr>
          <w:rFonts w:ascii="Times New Roman" w:hAnsi="Times New Roman"/>
          <w:b w:val="0"/>
          <w:sz w:val="22"/>
        </w:rPr>
        <w:t>[9] Y. A. Malkov and D. A. Yashunin, "Efficient and Robust Approximate Nearest Neighbor Search Using Hierarchical Navigable Small World Graphs," IEEE Transactions on Pattern Analysis and Machine Intelligence, vol. 42, no. 4, pp. 824-836, 2018.</w:t>
      </w:r>
    </w:p>
    <w:p>
      <w:pPr>
        <w:spacing w:after="80" w:line="312" w:lineRule="auto"/>
        <w:jc w:val="both"/>
      </w:pPr>
      <w:r>
        <w:rPr>
          <w:rFonts w:ascii="Times New Roman" w:hAnsi="Times New Roman"/>
          <w:b w:val="0"/>
          <w:sz w:val="22"/>
        </w:rPr>
        <w:t>[10] S. Imani, L. Du, and H. Shrivastava, "MathPrompter: Mathematical Reasoning Using Large Language Models via Multi-Approach Consensus," arXiv preprint arXiv:2303.05396, 2023.</w:t>
      </w:r>
    </w:p>
    <w:p>
      <w:pPr>
        <w:spacing w:after="80" w:line="312" w:lineRule="auto"/>
        <w:jc w:val="both"/>
      </w:pPr>
      <w:r>
        <w:rPr>
          <w:rFonts w:ascii="Times New Roman" w:hAnsi="Times New Roman"/>
          <w:b w:val="0"/>
          <w:sz w:val="22"/>
        </w:rPr>
        <w:t>[11] Z. Gou, Z. Shao, Y. Gong, Y. Shen, Y. Yang, M. Huang, et al., "CRITIC: Large Language Models Can Self-Correct with Tool-Interactive Critiquing," in International Conference on Learning Representations (ICLR), 2024.</w:t>
      </w:r>
    </w:p>
    <w:p>
      <w:pPr>
        <w:spacing w:after="80" w:line="312" w:lineRule="auto"/>
        <w:jc w:val="both"/>
      </w:pPr>
      <w:r>
        <w:rPr>
          <w:rFonts w:ascii="Times New Roman" w:hAnsi="Times New Roman"/>
          <w:b w:val="0"/>
          <w:sz w:val="22"/>
        </w:rPr>
        <w:t>[12] Government of India, Ministry of Finance, "The Finance (No. 2) Act, 2024: Amendments Relating to Direct Taxes and Personal Income Tax Slabs," The Gazette of India, Extraordinary, Part II, Section 1, August 2024.</w:t>
      </w:r>
    </w:p>
    <w:p>
      <w:pPr>
        <w:spacing w:after="80" w:line="312" w:lineRule="auto"/>
        <w:jc w:val="both"/>
      </w:pPr>
      <w:r>
        <w:rPr>
          <w:rFonts w:ascii="Times New Roman" w:hAnsi="Times New Roman"/>
          <w:b w:val="0"/>
          <w:sz w:val="22"/>
        </w:rPr>
        <w:t>[13] Income Tax Department, Government of India, "Taxpayer Services: Computation of Tax Liability and Advance Tax Provisions under Sections 234A, 234B, and 234C," Directorate of Income Tax (Systems), New Delhi, 2024.</w:t>
      </w:r>
    </w:p>
    <w:p>
      <w:pPr>
        <w:spacing w:after="80" w:line="312" w:lineRule="auto"/>
        <w:jc w:val="both"/>
      </w:pPr>
      <w:r>
        <w:rPr>
          <w:rFonts w:ascii="Times New Roman" w:hAnsi="Times New Roman"/>
          <w:b w:val="0"/>
          <w:sz w:val="22"/>
        </w:rPr>
        <w:t>[14] Association of Mutual Funds in India (AMFI), "Indian Mutual Fund Industry Overview and Average Assets Under Management (AAUM)," AMFI Industry Monthly Bulletin, September 2025. [Online]. Available: https://www.amfiindia.com</w:t>
      </w:r>
    </w:p>
    <w:p>
      <w:pPr>
        <w:spacing w:after="80" w:line="312" w:lineRule="auto"/>
        <w:jc w:val="both"/>
      </w:pPr>
      <w:r>
        <w:rPr>
          <w:rFonts w:ascii="Times New Roman" w:hAnsi="Times New Roman"/>
          <w:b w:val="0"/>
          <w:sz w:val="22"/>
        </w:rPr>
        <w:t>[15] Reserve Bank of India (RBI), "Master Direction: Information Technology Framework for the NBFC and Banking Sector: Customer Data Sovereignty and Air-Gapped Financial Ledger Guidelines," Reserve Bank of India Notifications, Mumbai, 2023.</w:t>
      </w:r>
    </w:p>
    <w:p>
      <w:pPr>
        <w:spacing w:before="360" w:after="160" w:line="360" w:lineRule="auto"/>
        <w:jc w:val="left"/>
      </w:pPr>
      <w:r>
        <w:rPr>
          <w:rFonts w:ascii="Times New Roman" w:hAnsi="Times New Roman"/>
          <w:b/>
          <w:sz w:val="32"/>
        </w:rPr>
        <w:t>Appendix A: Statutory Tax Formulas &amp; Golden Test Suite</w:t>
      </w:r>
    </w:p>
    <w:p>
      <w:pPr>
        <w:spacing w:after="120" w:line="360" w:lineRule="auto"/>
        <w:jc w:val="both"/>
      </w:pPr>
      <w:r>
        <w:rPr>
          <w:rFonts w:ascii="Times New Roman" w:hAnsi="Times New Roman"/>
          <w:b w:val="0"/>
          <w:sz w:val="24"/>
        </w:rPr>
        <w:t>This appendix documents key statutory formulas implemented in Halo's backend rules engine (`backend/app/tax_engine.py`) and validates them against the test suite logs.</w:t>
      </w:r>
    </w:p>
    <w:p>
      <w:pPr>
        <w:spacing w:after="120" w:line="360" w:lineRule="auto"/>
        <w:jc w:val="both"/>
      </w:pPr>
      <w:r>
        <w:rPr>
          <w:rFonts w:ascii="Times New Roman" w:hAnsi="Times New Roman"/>
          <w:b w:val="0"/>
          <w:sz w:val="24"/>
        </w:rPr>
        <w:t xml:space="preserve">1. Advance Tax Installments &amp; Deadlines (Section 234C): </w:t>
        <w:br/>
        <w:t xml:space="preserve">• On or before 15 June: 15% of total estimated tax liability </w:t>
        <w:br/>
        <w:t xml:space="preserve">• On or before 15 September: 45% of total estimated tax liability </w:t>
        <w:br/>
        <w:t xml:space="preserve">• On or before 15 December: 75% of total estimated tax liability </w:t>
        <w:br/>
        <w:t xml:space="preserve">• On or before 15 March: 100% of total estimated tax liability </w:t>
        <w:br/>
        <w:t>Simple interest at 1% per month is levied on any shortfall below the statutory percentage threshold.</w:t>
      </w:r>
    </w:p>
    <w:p>
      <w:pPr>
        <w:spacing w:after="120" w:line="360" w:lineRule="auto"/>
        <w:jc w:val="both"/>
      </w:pPr>
      <w:r>
        <w:rPr>
          <w:rFonts w:ascii="Times New Roman" w:hAnsi="Times New Roman"/>
          <w:b w:val="0"/>
          <w:sz w:val="24"/>
        </w:rPr>
        <w:t xml:space="preserve">2. Golden Fixture Test Summary: </w:t>
        <w:br/>
        <w:t xml:space="preserve">The automated backend verification suite (`backend/tests/test_tax_engine.py`) exercises 42 test scenarios including: </w:t>
        <w:br/>
        <w:t xml:space="preserve">• Zero income tax assertion (₹0 liability) </w:t>
        <w:br/>
        <w:t xml:space="preserve">• Monotonic slab increase verification </w:t>
        <w:br/>
        <w:t xml:space="preserve">• Marginal relief boundary assertions (₹7,00,001 to ₹7,27,770) </w:t>
        <w:br/>
        <w:t xml:space="preserve">• Surcharge calculation for High Net-Worth Individuals (₹50L, ₹1Cr, ₹2Cr) </w:t>
        <w:br/>
        <w:t xml:space="preserve">• Capital gains under Section 112A (12.5% above ₹1.25 Lakhs) and Section 111A (20%) </w:t>
        <w:br/>
        <w:t>Result: 42/42 tests passing in 0.24 seconds with 0 bytes outbound network egress.</w:t>
      </w:r>
    </w:p>
    <w:sectPr w:rsidR="00FC693F" w:rsidRPr="0006063C" w:rsidSect="00034616">
      <w:footerReference w:type="default" r:id="rId9"/>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Department of Electronics and Telecommunication Engineering Semester V, CCE, 2023-27 Batch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