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44"/>
        </w:rPr>
        <w:t>HALO WEALTH INTELLIGENCE</w:t>
      </w:r>
    </w:p>
    <w:p>
      <w:r>
        <w:rPr>
          <w:rFonts w:ascii="Arial" w:hAnsi="Arial"/>
          <w:b/>
          <w:color w:val="4F46E5"/>
          <w:sz w:val="22"/>
        </w:rPr>
        <w:t>Complete System Architecture, Technical Implementation, and Feature Reference Manual</w:t>
      </w:r>
    </w:p>
    <w:p>
      <w:r>
        <w:t>Version: 2.4.0 Production | Target: Republic of India | 100% On-Device Deterministic Engine</w:t>
      </w:r>
    </w:p>
    <w:p>
      <w:pPr>
        <w:pStyle w:val="Heading1"/>
      </w:pPr>
      <w:r>
        <w:t>1. Executive Summary &amp; Standing Mandates</w:t>
      </w:r>
    </w:p>
    <w:p>
      <w:r>
        <w:t>Halo is a privacy-first, air-gapped personal wealth intelligence platform. Unlike conventional cloud-based personal finance apps, Halo guarantees that zero personal data leaves the user's host machine. All arithmetic is calculated via pure, tested Python functions, while the local LLM solely extracts intent and narrates results.</w:t>
      </w:r>
    </w:p>
    <w:p>
      <w:pPr>
        <w:pStyle w:val="ListBullet"/>
      </w:pPr>
      <w:r>
        <w:rPr>
          <w:b/>
        </w:rPr>
        <w:t xml:space="preserve">Absolute Privacy: </w:t>
      </w:r>
      <w:r>
        <w:t>100% on-device. Zero network telemetry. Only public regulatory data is fetched upon explicit request.</w:t>
      </w:r>
    </w:p>
    <w:p>
      <w:pPr>
        <w:pStyle w:val="ListBullet"/>
      </w:pPr>
      <w:r>
        <w:rPr>
          <w:b/>
        </w:rPr>
        <w:t xml:space="preserve">Deterministic Math: </w:t>
      </w:r>
      <w:r>
        <w:t>All math lives in pure Python. The local LLM never performs arithmetic or computes tax liability.</w:t>
      </w:r>
    </w:p>
    <w:p>
      <w:pPr>
        <w:pStyle w:val="ListBullet"/>
      </w:pPr>
      <w:r>
        <w:rPr>
          <w:b/>
        </w:rPr>
        <w:t xml:space="preserve">Show The Math: </w:t>
      </w:r>
      <w:r>
        <w:t>Every computed figure returns an auditable explanation object containing formulas, inputs, steps, and section references.</w:t>
      </w:r>
    </w:p>
    <w:p>
      <w:pPr>
        <w:pStyle w:val="ListBullet"/>
      </w:pPr>
      <w:r>
        <w:rPr>
          <w:b/>
        </w:rPr>
        <w:t xml:space="preserve">Versioned Tax Rules: </w:t>
      </w:r>
      <w:r>
        <w:t>No tax slabs, rates, or thresholds are hardcoded. All rules are loaded from verified per-FY JSON files.</w:t>
      </w:r>
    </w:p>
    <w:p>
      <w:pPr>
        <w:pStyle w:val="ListBullet"/>
      </w:pPr>
      <w:r>
        <w:rPr>
          <w:b/>
        </w:rPr>
        <w:t xml:space="preserve">Indian Numbering Standard: </w:t>
      </w:r>
      <w:r>
        <w:t>All currency values use Lakhs/Crores grouping (₹1,25,00,000 / 1.25 Cr) with colloquial text parsing.</w:t>
      </w:r>
    </w:p>
    <w:p>
      <w:pPr>
        <w:pStyle w:val="ListBullet"/>
      </w:pPr>
      <w:r>
        <w:rPr>
          <w:b/>
        </w:rPr>
        <w:t xml:space="preserve">Software Quality: </w:t>
      </w:r>
      <w:r>
        <w:t>Every backend module is verified with automated pytest suites (51 passing unit/integration tests).</w:t>
      </w:r>
    </w:p>
    <w:p>
      <w:pPr>
        <w:pStyle w:val="ListBullet"/>
      </w:pPr>
      <w:r>
        <w:rPr>
          <w:b/>
        </w:rPr>
        <w:t xml:space="preserve">Tool-Call Safety: </w:t>
      </w:r>
      <w:r>
        <w:t>Every LLM tool call passes a LangGraph validation boundary with range and unit constraints.</w:t>
      </w:r>
    </w:p>
    <w:p>
      <w:pPr>
        <w:pStyle w:val="ListBullet"/>
      </w:pPr>
      <w:r>
        <w:rPr>
          <w:b/>
        </w:rPr>
        <w:t xml:space="preserve">Encrypted Local Storage: </w:t>
      </w:r>
      <w:r>
        <w:t>SQLite via SQLCipher-ready architecture with idempotent migrations and isolated profile IDs.</w:t>
      </w:r>
    </w:p>
    <w:p>
      <w:pPr>
        <w:pStyle w:val="ListBullet"/>
      </w:pPr>
      <w:r>
        <w:rPr>
          <w:b/>
        </w:rPr>
        <w:t xml:space="preserve">Synthetic Data Baseline: </w:t>
      </w:r>
      <w:r>
        <w:t>All test fixtures, automated mocks, and default seed databases utilize synthetic profiles.</w:t>
      </w:r>
    </w:p>
    <w:p>
      <w:pPr>
        <w:pStyle w:val="Heading1"/>
      </w:pPr>
      <w:r>
        <w:t>2. Technical Architecture &amp; Technology Stack</w:t>
      </w:r>
    </w:p>
    <w:p>
      <w:r>
        <w:t>Halo is structured into five distinct operational tiers:</w:t>
      </w:r>
    </w:p>
    <w:p>
      <w:pPr>
        <w:pStyle w:val="ListBullet"/>
      </w:pPr>
      <w:r>
        <w:rPr>
          <w:b/>
        </w:rPr>
        <w:t xml:space="preserve">Presentation Layer: </w:t>
      </w:r>
      <w:r>
        <w:t>React 19, TypeScript (Strict), Vite, TailwindCSS, Framer Motion, Recharts, Lucide Icons.</w:t>
      </w:r>
    </w:p>
    <w:p>
      <w:pPr>
        <w:pStyle w:val="ListBullet"/>
      </w:pPr>
      <w:r>
        <w:rPr>
          <w:b/>
        </w:rPr>
        <w:t xml:space="preserve">API Layer: </w:t>
      </w:r>
      <w:r>
        <w:t>FastAPI, Uvicorn, Pydantic v2, Python 3.13 standard libraries, CORS middleware.</w:t>
      </w:r>
    </w:p>
    <w:p>
      <w:pPr>
        <w:pStyle w:val="ListBullet"/>
      </w:pPr>
      <w:r>
        <w:rPr>
          <w:b/>
        </w:rPr>
        <w:t xml:space="preserve">Agentic AI Layer: </w:t>
      </w:r>
      <w:r>
        <w:t>LangGraph StateGraph, LangChain, SentenceTransformers, sqlite-vec, Ollama / Local LLM HTTP.</w:t>
      </w:r>
    </w:p>
    <w:p>
      <w:pPr>
        <w:pStyle w:val="ListBullet"/>
      </w:pPr>
      <w:r>
        <w:rPr>
          <w:b/>
        </w:rPr>
        <w:t xml:space="preserve">Financial Math Layer: </w:t>
      </w:r>
      <w:r>
        <w:t>Pure Python 3 standard library, NumPy, SciPy (XIRR/Newton-Raphson).</w:t>
      </w:r>
    </w:p>
    <w:p>
      <w:pPr>
        <w:pStyle w:val="ListBullet"/>
      </w:pPr>
      <w:r>
        <w:rPr>
          <w:b/>
        </w:rPr>
        <w:t xml:space="preserve">Persistence Layer: </w:t>
      </w:r>
      <w:r>
        <w:t>SQLite 3, sqlite-vec v0.1.9, WAL mode, foreign keys enabled.</w:t>
      </w:r>
    </w:p>
    <w:p>
      <w:pPr>
        <w:pStyle w:val="Heading1"/>
      </w:pPr>
      <w:r>
        <w:t>3. Full Features Capability Reference</w:t>
      </w:r>
    </w:p>
    <w:p>
      <w:pPr>
        <w:pStyle w:val="ListBullet"/>
      </w:pPr>
      <w:r>
        <w:rPr>
          <w:b/>
        </w:rPr>
        <w:t xml:space="preserve">Today Financial Cockpit: </w:t>
      </w:r>
      <w:r>
        <w:t>Consolidated net worth, SVG semi-circle tax liability gauge, Future-Self projection slider, Real-Time Money Flow visualizer.</w:t>
      </w:r>
    </w:p>
    <w:p>
      <w:pPr>
        <w:pStyle w:val="ListBullet"/>
      </w:pPr>
      <w:r>
        <w:rPr>
          <w:b/>
        </w:rPr>
        <w:t xml:space="preserve">AI Copilot Side Drawer: </w:t>
      </w:r>
      <w:r>
        <w:t>Hinglish natural language dialogue, smooth slide-in drawer, New Chat session reset, live SQLite mutation.</w:t>
      </w:r>
    </w:p>
    <w:p>
      <w:pPr>
        <w:pStyle w:val="ListBullet"/>
      </w:pPr>
      <w:r>
        <w:rPr>
          <w:b/>
        </w:rPr>
        <w:t xml:space="preserve">Voice Speech Cockpit: </w:t>
      </w:r>
      <w:r>
        <w:t>Web Speech API integration with 3-second silence detector, visual countdown badge, and auto-dispatch.</w:t>
      </w:r>
    </w:p>
    <w:p>
      <w:pPr>
        <w:pStyle w:val="ListBullet"/>
      </w:pPr>
      <w:r>
        <w:rPr>
          <w:b/>
        </w:rPr>
        <w:t xml:space="preserve">Automated Debt Sync: </w:t>
      </w:r>
      <w:r>
        <w:t>Zero-typing loan ingestion from CIBIL/Experian and RBI Account Aggregators via DebtIngestionModal.</w:t>
      </w:r>
    </w:p>
    <w:p>
      <w:pPr>
        <w:pStyle w:val="ListBullet"/>
      </w:pPr>
      <w:r>
        <w:rPr>
          <w:b/>
        </w:rPr>
        <w:t xml:space="preserve">Statutory Tax Engine: </w:t>
      </w:r>
      <w:r>
        <w:t>Old vs. New regime side-by-side comparison, Section 87A marginal relief, Section 234C advance tax penalties, FY toggle.</w:t>
      </w:r>
    </w:p>
    <w:p>
      <w:pPr>
        <w:pStyle w:val="ListBullet"/>
      </w:pPr>
      <w:r>
        <w:rPr>
          <w:b/>
        </w:rPr>
        <w:t xml:space="preserve">What-If Life Decision Simulators: </w:t>
      </w:r>
      <w:r>
        <w:t>Job Switch CTC dissector, Loan Prepayment vs. Equity SIP, Emergency zero-income runway, Early Retirement FIRE corpus, Medical Catastrophe stress-test.</w:t>
      </w:r>
    </w:p>
    <w:p>
      <w:pPr>
        <w:pStyle w:val="ListBullet"/>
      </w:pPr>
      <w:r>
        <w:rPr>
          <w:b/>
        </w:rPr>
        <w:t xml:space="preserve">1-Click CA Handoff Dossier: </w:t>
      </w:r>
      <w:r>
        <w:t>Instant client-side PDF export with audit-ready tables for capital gains, tax computations, and Section 80 deductions.</w:t>
      </w:r>
    </w:p>
    <w:p>
      <w:pPr>
        <w:pStyle w:val="ListBullet"/>
      </w:pPr>
      <w:r>
        <w:rPr>
          <w:b/>
        </w:rPr>
        <w:t xml:space="preserve">Document Intelligence: </w:t>
      </w:r>
      <w:r>
        <w:t>Local PDF ingestion for Form 16 and CAS statements, chunking, and 384-dimensional vector embedding search.</w:t>
      </w:r>
    </w:p>
    <w:p>
      <w:pPr>
        <w:pStyle w:val="Heading1"/>
      </w:pPr>
      <w:r>
        <w:t>4. Statutory Tax &amp; Loan Prepayment Mathematics</w:t>
      </w:r>
    </w:p>
    <w:p>
      <w:r>
        <w:t>• Income Tax Slabs (New Regime FY 24-25 / FY 25-26): Slabs from ₹0 to ₹3L (0%), ₹3L to ₹7L (5%), ₹7L to ₹10L (10%), ₹10L to ₹12L (15%), ₹12L to ₹15L (20%), and &gt;₹15L (30%).</w:t>
        <w:br/>
        <w:t>• Section 87A Rebate: 100% tax rebate if taxable income &lt;= ₹7,00,000 (after ₹75,000 Standard Deduction). Marginal relief ensures tax payable never exceeds excess income above ₹7L.</w:t>
        <w:br/>
        <w:t>• Advance Tax 234C Schedule: Q1 (15% by 15 June), Q2 (45% by 15 Sept), Q3 (75% by 15 Dec), Q4 (100% by 15 March). Shortfalls incur 1% simple interest per month.</w:t>
        <w:br/>
        <w:t>• Loan Amortization Formula: EMI = [P × r × (1 + r)^n] / [(1 + r)^n - 1]. Prepayment saves compound interest against equity mutual fund CAGR.</w:t>
      </w:r>
    </w:p>
    <w:p>
      <w:pPr>
        <w:pStyle w:val="Heading1"/>
      </w:pPr>
      <w:r>
        <w:t>5. Operational Verification Commands</w:t>
      </w:r>
    </w:p>
    <w:p>
      <w:r>
        <w:t>• Run Automated Pytest Suite: backend/.venv/bin/pytest backend/tests/ -q (51 passed)</w:t>
        <w:br/>
        <w:t>• Run TypeScript Build Check: npm run build (0 errors, dist emitted)</w:t>
        <w:br/>
        <w:t>• Start Backend Server: uvicorn backend.app.main:app --host 127.0.0.1 --port 8000</w:t>
        <w:br/>
        <w:t>• Start Frontend Dev Server: npm run dev (http://localhost:5173/)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