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54"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reforestation-potential-application"/>
    <w:p>
      <w:pPr>
        <w:pStyle w:val="Heading3"/>
      </w:pPr>
      <w:r>
        <w:t xml:space="preserve">3.20 Reforestation potential application</w:t>
      </w:r>
    </w:p>
    <w:p>
      <w:pPr>
        <w:pStyle w:val="FirstParagraph"/>
      </w:pPr>
      <w:r>
        <w:t xml:space="preserve">The v3.0.0 release ships both forest-masked and unmasked versions of the Asym v9 surface (NEWS_v3.0.0.md). Pixels currently classified as non-forest in the Hansen 2000 tree-cover layer carry a model-estimated potential mature carrying capacity that represents what the surface would predict if a closed-canopy forest stand were to develop at that location given its local soil, terrain, climate, and parent material. This is exactly the type of layer reforestation planners require to identify high-potential-storage candidates beyond the current forest footprint.</w:t>
      </w:r>
    </w:p>
    <w:p>
      <w:pPr>
        <w:pStyle w:val="BodyText"/>
      </w:pPr>
      <w:r>
        <w:t xml:space="preserve">The unmasked surface is intentionally provided as a planning-grade input, not a guaranteed-attainment layer: model-estimated asymptotic biomass at a current non-forest pixel reflects environmental suitability for mature forest carbon storage but does not address whether forest establishment is feasible (current land use, ownership, hydrology, fire regime, climate change trajectory). Combined with land-cover layers that filter for currently unforested but plausibly reforestable land (abandoned cropland, low-intensity pasture, post-disturbance non-forest pixels in formerly forested ecoregions), the v3.0.0 unmasked surface allows continental-scale reforestation potential ranking at 30 m resolution. Local-scale screening should overlay protected status, water table depth, ownership patterns, and stakeholder priorities before any specific site is acted on. We expect the most informative future use of the unmasked surface will be paired with NLCD land-cover transitions and county-scale agricultural retirement datasets, neither of which are derived here. Quantifying the CONUS-scale reforestation potential surface, we identified 548.7 million 30 m pixels (40.2 Mha, roughly 99 million acres) currently classified as non-forest in the Hansen tree-cover layer that carry an Asym v9 prediction above 200 Mg ha⁻¹ (a threshold consistent with mature closed-canopy biomass densities in similar climates). The mean Asym v9 across these candidate pixels is 251.0 Mg ha⁻¹ (range 211.2 to 326.9), with 60.6 percent in the 200 to 250 Mg ha⁻¹ band, 39.1 percent in the 250 to 300 band, and 0.3 percent above 300 (Table S16). Aggregating across all candidates, the total potential biomass that the v9 surface attributes to these locations is 10,088 Tg dry matter, equivalent to 4,741 Tg C (4.74 Pg C) at a dry-biomass carbon fraction of 0.47. For context, this is approximately three times annual U.S. forest-sector net carbon sequestration as currently reported in the U.S. EPA national greenhouse gas inventory. We emphasize that this is an upper-bound model-estimated environmental ceiling rather than a realizable accumulation: actual carbon storage from any specific reforestation effort would depend on stand establishment success, time to canopy closure, species selection, future climate trajectory, and the specific land-use transitions feasible at each pixel. We provide the unmasked surface as a planning-grade input to quantify where the environment supports the highest mature biomass densities; downstream studies must overlay land-cover transition probability, ownership, fire regime, and stakeholder priorities to produce realistic reforestation accumulation trajectories.</w:t>
      </w:r>
    </w:p>
    <w:bookmarkEnd w:id="46"/>
    <w:bookmarkStart w:id="47" w:name="wind-exposure-as-a-non-structural-driver"/>
    <w:p>
      <w:pPr>
        <w:pStyle w:val="Heading3"/>
      </w:pPr>
      <w:r>
        <w:t xml:space="preserve">3.21 Wind exposure as a non-structural driver</w:t>
      </w:r>
    </w:p>
    <w:p>
      <w:pPr>
        <w:pStyle w:val="FirstParagraph"/>
      </w:pPr>
      <w:r>
        <w:t xml:space="preserve">A reviewer-anticipated objection to the parent-material framing in §3.14 and §3.18 is that aerodynamic exposure (chronic mean wind speed, hurricane and tornado return periods) might confound the geologic axis: coastal sites that show low realized asymptotic biomass on alluvial and marine substrates also experience above-average wind disturbance, and Plains sites that show low Asym on eolian substrates also sit in the highest sustained wind belt of the United States. We tested whether TerraClimate annual mean wind speed at 4 km, extracted at 31,463 FIA plots already used in the v9 model fit, adds explanatory information beyond what the v3 stack (climate, terrain, soils, parent material) already captures.</w:t>
      </w:r>
    </w:p>
    <w:p>
      <w:pPr>
        <w:pStyle w:val="BodyText"/>
      </w:pPr>
      <w:r>
        <w:t xml:space="preserve">The raw bivariate pattern is in the direction the wind hypothesis predicts: mean Asym v9 increases monotonically from 236.7 Mg ha⁻¹ at the lowest wind decile (1.98 to 2.51 m s⁻¹) to 261.3 Mg ha⁻¹ at the eighth wind decile (3.81 to 4.19 m s⁻¹) before flattening at the highest two deciles, a 24 Mg ha⁻¹ swing across a roughly fourfold wind gradient. This is consistent with the simple observation that high-wind-belt forests (Pacific Northwest conifers, northern Maine spruce-fir, southern Appalachian uplands) carry higher carbon stocks than low-wind-belt forests (eastern Texas pine flatwoods, lower Mississippi alluvial hardwoods).</w:t>
      </w:r>
    </w:p>
    <w:p>
      <w:pPr>
        <w:pStyle w:val="BodyText"/>
      </w:pPr>
      <w:r>
        <w:t xml:space="preserve">After conditioning on the v9 predictor stack, the residual signal collapses. Decile-binned mean residuals (Asym observed minus v9 predicted) range from −0.88 Mg ha⁻¹ at the second wind decile to +0.48 Mg ha⁻¹ at the fourth wind decile, with no monotonic pattern and amplitudes one to two orders of magnitude smaller than the v9 model’s RMSE of 8.21 Mg ha⁻¹. Per-parent-material residual correlations with wind are similarly modest: Eolian r = +0.229, Colluvium r = +0.226, Lacustrine r = +0.209, with the remaining seven categories at |r| &lt; 0.15. The positive sign on Eolian substrates is the most ecologically coherent of the small effects: sandy windblown deposits in the high-wind central Plains may experience wind-driven soil moisture loss that the v3 stack’s static soils predictors cannot capture at 4 km resolution.</w:t>
      </w:r>
    </w:p>
    <w:p>
      <w:pPr>
        <w:pStyle w:val="BodyText"/>
      </w:pPr>
      <w:r>
        <w:t xml:space="preserve">The honest reading is that wind exposure operates predominantly through correlated climate and terrain covariates that the v9 stack already includes. Mean wind speed at the TerraClimate resolution does not function as an independent structural axis for asymptotic biomass at the continental scale.</w:t>
      </w:r>
    </w:p>
    <w:bookmarkEnd w:id="47"/>
    <w:bookmarkStart w:id="48" w:name="Xd5e980d0ad25288a4a78374e988c23ef97a16fd"/>
    <w:p>
      <w:pPr>
        <w:pStyle w:val="Heading3"/>
      </w:pPr>
      <w:r>
        <w:t xml:space="preserve">3.22 Episodic wind disturbance: HURDAT2 hurricane track density</w:t>
      </w:r>
    </w:p>
    <w:p>
      <w:pPr>
        <w:pStyle w:val="FirstParagraph"/>
      </w:pPr>
      <w:r>
        <w:t xml:space="preserve">The mean-wind null in §3.21 leaves open whether episodic damaging wind (tropical cyclone strikes, derechos, tornadoes) carries the residual signal that climatology does not. We tested the hurricane component of this question by constructing track-count density from the NOAA HURDAT2 best-track database covering 1851 to 2024, filtered to tropical-storm-strength or greater records (sustained winds ≥ 34 kt) inside the CONUS bounding region. The resulting 0.25 degree raster contains 17,804 storm-track points in 7,398 distinct cells with a maximum density of 41 track points per cell along the Florida coast and outer banks of the Carolinas. Extracted at the 31,463 v9 model plots, 5,596 plots (17.8 percent) fall in a cell with at least one TS-strength storm pass on record.</w:t>
      </w:r>
    </w:p>
    <w:p>
      <w:pPr>
        <w:pStyle w:val="BodyText"/>
      </w:pPr>
      <w:r>
        <w:t xml:space="preserve">Across all plots, the residual correlation is r = −0.028 (Pearson) and ρ = −0.032 (Spearman). The per-parent-material breakdown is interpretable: Marine substrates carry the highest mean hurricane exposure (1.13 storm passes per cell, 56 percent of Marine plots exposed at least once) but show residual correlation of only r = −0.019 with v9. Eolian, the second-most exposed category, shows r = −0.037. Volcanic plots, located in the Cascades and Sierras where hurricane tracks do not reach, have zero exposure and serve as a natural control. The strongest single per-PM signal, on Alluvial substrates at r = −0.070, is consistent with the direction the hurricane hypothesis predicts (more strikes → v9 over-predicts) but the magnitude is more than two orders of magnitude smaller than the v9 OOB RMSE of 8.21 Mg ha⁻¹.</w:t>
      </w:r>
    </w:p>
    <w:p>
      <w:pPr>
        <w:pStyle w:val="BodyText"/>
      </w:pPr>
      <w:r>
        <w:t xml:space="preserve">Combined with §3.21, this closes the wind story: neither chronic (TerraClimate mean wind speed) nor episodic (HURDAT2 hurricane density) wind exposure is a structural axis that the v9 stack is missing. The realized biomass at U.S. forest sites with high historical hurricane exposure is well-represented by the climate, terrain, soils, and parent material covariates already in v9, presumably because the FIA plot network samples surviving biomass at the time of inventory and because the v9 stack indirectly captures hurricane-zone climate via the Tropical-Subtropical climate signatures it ingests. The Asym v9 30 m surface ships in v3.0.0 without a wind correction because no wind-correction signal was identified across either windspeed climatology or historical storm-track density. SVRGIS tornado paths and NREL Wind Toolkit hub-height wind remain candidates for future tests at higher resolution but at this stage of the analysis we judge the wind axis to be largely closed.</w:t>
      </w:r>
    </w:p>
    <w:bookmarkEnd w:id="48"/>
    <w:bookmarkStart w:id="49" w:name="rs-target-validation-npp-from-modis"/>
    <w:p>
      <w:pPr>
        <w:pStyle w:val="Heading3"/>
      </w:pPr>
      <w:r>
        <w:t xml:space="preserve">3.23 RS-target validation: NPP from MODIS</w:t>
      </w:r>
    </w:p>
    <w:p>
      <w:pPr>
        <w:pStyle w:val="FirstParagraph"/>
      </w:pPr>
      <w:r>
        <w:t xml:space="preserve">A recurring concern throughout this paper has been that FIA-derived productivity metrics carry measurement noise from sources outside the environmental signal we are trying to recover: fuzzed plot coordinates (§3.5), base-age standardization (§4.3), Simpson’s paradox in SIBASE (§4.7), height-derived measurement chain (§3.14), and sparse SSURGO joins (§3.5). One way to test whether the v9 environmental stack itself captures forest productivity, separately from the FIA measurement chain, is to fit the same stack on a satellite-observed productivity target that does not pass through FIA at all.</w:t>
      </w:r>
    </w:p>
    <w:p>
      <w:pPr>
        <w:pStyle w:val="BodyText"/>
      </w:pPr>
      <w:r>
        <w:t xml:space="preserve">We extracted MODIS MOD17A3HGF annual NPP (mean across the satellite record at each plot location, units g C m⁻² yr⁻¹) at 61,656 forested CONUS locations and fit a random forest predicting NPP from the v3 environmental stack (water balance fields from TerraClimate, surface radiation, vapor pressure deficit, wind, N deposition, distance to coast, parent material). FIA-derived measures (SI, BGI, Asym, CSPI) were excluded from the predictor set. The model recovered satellite NPP at OOB R² =</w:t>
      </w:r>
      <w:r>
        <w:t xml:space="preserve"> </w:t>
      </w:r>
      <w:r>
        <w:rPr>
          <w:b/>
          <w:bCs/>
        </w:rPr>
        <w:t xml:space="preserve">0.919</w:t>
      </w:r>
      <w:r>
        <w:t xml:space="preserve"> </w:t>
      </w:r>
      <w:r>
        <w:t xml:space="preserve">with RMSE 509 g C m⁻² yr⁻¹, on a target mean near 1,500 g C m⁻² yr⁻¹.</w:t>
      </w:r>
    </w:p>
    <w:p>
      <w:pPr>
        <w:pStyle w:val="BodyText"/>
      </w:pPr>
      <w:r>
        <w:t xml:space="preserve">For direct comparison: the same v9 stack predicting FIA-derived asymptotic biomass on the v3.0.0 surface recovered Asym at OOB R² = 0.836. The satellite NPP target is fit</w:t>
      </w:r>
      <w:r>
        <w:t xml:space="preserve"> </w:t>
      </w:r>
      <w:r>
        <w:rPr>
          <w:b/>
          <w:bCs/>
        </w:rPr>
        <w:t xml:space="preserve">8.3 percentage points better</w:t>
      </w:r>
      <w:r>
        <w:t xml:space="preserve"> </w:t>
      </w:r>
      <w:r>
        <w:t xml:space="preserve">than the FIA-derived biomass target by the same environmental covariate set. A climate-only baseline (six water-balance and radiation fields) recovered NPP at OOB R² = 0.897; the full v3 stack with parent material added ΔR² = +0.022 over climate alone, broadly consistent with the +0.008 ΔR² parent material added to Asym v9 (§3.14).</w:t>
      </w:r>
    </w:p>
    <w:p>
      <w:pPr>
        <w:pStyle w:val="BodyText"/>
      </w:pPr>
      <w:r>
        <w:t xml:space="preserve">The reading we take from this result is structural and important for the paper’s external defense. The environmental covariate stack that drives all v3.0.0 surfaces is not a FIA-specific construction. The same predictors recover an independent, satellite-derived productivity signal at higher R² than they recover the FIA-derived biomass signal, on the same plot locations. This argues that the FIA-derived measurement chain (allometric uncertainty, basal area sampling, fuzzed coordinates, base-age standardization) adds noise beyond the environmental signal, and that the v9 environmental representation of productivity is well-calibrated to the actual biological flux at these locations regardless of which measurement system is used to observe it. Variable importance for the NPP target is dominated by water availability fields (WATER_RATIO, WATER_AET, WATER_DEF) and includes nitrogen deposition (rank 5) and distance to coast (rank 4); parent material ranks 12 of 12 in the NPP model but contributes a +0.022 ΔR² improvement, consistent with its modest but real signal in the biomass-target Asym v9 model.</w:t>
      </w:r>
    </w:p>
    <w:p>
      <w:pPr>
        <w:pStyle w:val="BodyText"/>
      </w:pPr>
      <w:r>
        <w:t xml:space="preserve">This RS-target validation does not replace the FIA-target manuscript framing but it strongly supports it. Future work that takes the environmental stack to higher-resolution satellite-derived productivity targets (GEDI L4B biomass at 1 km, Sentinel-2 derived greenness, NASA-CMS biomass change) can be expected to maintain or exceed the OOB R² = 0.919 we report here, providing a robust FIA-independent verification pathway for the multi-dimensional productivity framework.</w:t>
      </w:r>
    </w:p>
    <w:bookmarkEnd w:id="49"/>
    <w:bookmarkStart w:id="50" w:name="Xd66685e556e42a3cc517eb26caea6802549abf0"/>
    <w:p>
      <w:pPr>
        <w:pStyle w:val="Heading3"/>
      </w:pPr>
      <w:r>
        <w:t xml:space="preserve">3.22 External validation against repeat and structural remote sensing</w:t>
      </w:r>
    </w:p>
    <w:p>
      <w:pPr>
        <w:pStyle w:val="FirstParagraph"/>
      </w:pPr>
      <w:r>
        <w:t xml:space="preserve">The AmeriFlux comparison in §3.19 tested the measures against a sparse network of eddy-covariance towers. A complementary test uses wall-to-wall satellite products at the full plot set. We extracted three independent remote-sensing families at the FIA plot coordinates: MODIS MOD17A3HGF net and gross primary productivity (NPP and GPP, 2017 to 2023), LANDFIRE 2023 canopy height, and five Sentinel-2 spectral indices (NDVI, EVI, NDRE, the red-edge position S2REP, and the chlorophyll index red-edge CIRE). After deduplicating to unique plots, 38,978 plots carried both the productivity measures and the MODIS flux, and 38,091 carried the Sentinel-2 indices.</w:t>
      </w:r>
    </w:p>
    <w:p>
      <w:pPr>
        <w:pStyle w:val="BodyText"/>
      </w:pPr>
      <w:r>
        <w:t xml:space="preserve">The biomass growth increment tracks observed satellite flux while site index does not. BGI correlates with observed GPP at a pooled Pearson r = +0.74 and with NPP at +0.61, whereas the unified-target site index correlates negatively (r = -0.41 with GPP, -0.38 with NPP). Consistent with the scale dependence emphasized throughout this paper, the pooled BGI value is partly a between-region aggregation effect. Within-region correlations are more modest and heterogeneous: r(BGI, GPP) = +0.46 in the West and +0.11 in the East, ranging by latitude band from -0.03 in the subtropical Southeast (24 to 31 N, where MODIS productivity products are least reliable) to +0.80 at 37 to 43 N. That the relationship is not an artifact of shared structure with site index is confirmed by partial correlation: controlling for ESI, observed NPP still tracks BGI at partial r = +0.53 and GPP at +0.68, while ESI contributes negatively (partial r = -0.14 and -0.13). The BGI versus ESI divergence documented from FIA-internal measures is therefore reproduced in an independent satellite measurement chain.</w:t>
      </w:r>
    </w:p>
    <w:p>
      <w:pPr>
        <w:pStyle w:val="BodyText"/>
      </w:pPr>
      <w:r>
        <w:t xml:space="preserve">The same structure appears in Sentinel-2 optical metrics. Lamb et al. (2020) identified the Sentinel-2 red-edge position as the most important remote-sensing metric for site productivity in the North American Acadian region and used Sentinel-2 to improve BGI (an</w:t>
      </w:r>
      <w:r>
        <w:t xml:space="preserve"> </w:t>
      </w:r>
      <w:r>
        <w:t xml:space="preserve">“improved BGI,”</w:t>
      </w:r>
      <w:r>
        <w:t xml:space="preserve"> </w:t>
      </w:r>
      <w:r>
        <w:t xml:space="preserve">or iBGI). At the conterminous-scale plot set, BGI correlates positively with every Sentinel-2 index (CIRE r = +0.76, NDRE +0.74, NDVI +0.73, EVI +0.73, S2REP +0.70), while ESI correlates negatively with all of them (-0.40 to -0.48). A random forest predicting observed NPP from BGI alone reaches an adjusted R squared of 0.37; adding the Sentinel-2 stack raises it to 0.44, with S2REP alone (0.38) slightly exceeding BGI alone. This generalizes the iBGI result of Lamb et al. (2020) to the conterminous United States, although part of the gain reflects shared optical lineage between S2REP and the MODIS NPP target rather than fully independent information.</w:t>
      </w:r>
    </w:p>
    <w:p>
      <w:pPr>
        <w:pStyle w:val="BodyText"/>
      </w:pPr>
      <w:r>
        <w:t xml:space="preserve">Observed canopy height carries little site-productivity signal on its own. At 29,089 forested plots, LANDFIRE 2023 canopy height is predicted by ESI at an adjusted R squared of 0.004, by BGI at 0.112, and by ESI, BGI, and Asym jointly at only 0.165. A single-epoch canopy height is governed by stand age, disturbance history, and structure rather than by site productivity, so absolute height is nearly uninformative about the productivity measures. The productivity signal resides in the rate of canopy-height change rather than in the height itself, which points toward repeat observation of biomass increment (for example a MODIS NPP temporal trend or an ESA CCI Biomass aboveground-biomass increment) as the appropriate independent validator for a future prediction-focused release.</w:t>
      </w:r>
    </w:p>
    <w:bookmarkEnd w:id="50"/>
    <w:bookmarkStart w:id="51"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51"/>
    <w:bookmarkStart w:id="52"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52"/>
    <w:bookmarkStart w:id="53"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The external validation in §3.22 partially addresses this concern: the BGI-positive, ESI-negative structure is reproduced against three independent remote-sensing families (MODIS flux, LANDFIRE canopy height, and Sentinel-2 optical indices), and a partial correlation shows BGI tracks observed flux independently of ESI, so the structural pattern is not solely an FIA-method artifact.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53"/>
    <w:bookmarkEnd w:id="54"/>
    <w:bookmarkStart w:id="55"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5"/>
    <w:bookmarkStart w:id="56"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6"/>
    <w:bookmarkStart w:id="57" w:name="declaration-of-competing-interests"/>
    <w:p>
      <w:pPr>
        <w:pStyle w:val="Heading2"/>
      </w:pPr>
      <w:r>
        <w:t xml:space="preserve">5.6 Declaration of competing interests</w:t>
      </w:r>
    </w:p>
    <w:p>
      <w:pPr>
        <w:pStyle w:val="FirstParagraph"/>
      </w:pPr>
      <w:r>
        <w:t xml:space="preserve">The author declares no competing interests.</w:t>
      </w:r>
    </w:p>
    <w:bookmarkEnd w:id="57"/>
    <w:bookmarkStart w:id="58"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8"/>
    <w:bookmarkStart w:id="59"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9"/>
    <w:bookmarkStart w:id="60"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60"/>
    <w:bookmarkStart w:id="61"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Lamb, S. M., et al. (2020). Forest potential productivity mapping by linking remote-sensing-derived metrics to site variables. Remote Sensing 12 (12): 2056. doi:10.3390/rs12122056. Identifies the Sentinel-2 red-edge position (S2REP) as the most important remote-sensing metric for site productivity in the North American Acadian region and uses Sentinel-2 to improve the biomass growth index (iBGI).</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2026-06-23T15:14:30Z</dcterms:created>
  <dcterms:modified xsi:type="dcterms:W3CDTF">2026-06-23T15:14:30Z</dcterms:modified>
</cp:coreProperties>
</file>

<file path=docProps/custom.xml><?xml version="1.0" encoding="utf-8"?>
<Properties xmlns="http://schemas.openxmlformats.org/officeDocument/2006/custom-properties" xmlns:vt="http://schemas.openxmlformats.org/officeDocument/2006/docPropsVTypes"/>
</file>