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3"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Quantifying the CONUS-scale reforestation potential surface, we identified 548.7 million 30 m pixels (40.2 Mha, roughly 99 million acres) currently classified as non-forest in the Hansen tree-cover layer that carry an Asym v9 prediction above 200 Mg ha⁻¹ (a threshold consistent with mature closed-canopy biomass densities in similar climates). The mean Asym v9 across these candidate pixels is 251.0 Mg ha⁻¹ (range 211.2 to 326.9), with 60.6 percent in the 200 to 250 Mg ha⁻¹ band, 39.1 percent in the 250 to 300 band, and 0.3 percent above 300 (Table S16). Aggregating across all candidates, the total potential biomass that the v9 surface attributes to these locations is 10,088 Tg dry matter, equivalent to 4,741 Tg C (4.74 Pg C) at a dry-biomass carbon fraction of 0.47. For context, this is approximately three times annual U.S. forest-sector net carbon sequestration as currently reported in the U.S. EPA national greenhouse gas inventory. We emphasize that this is an upper-bound model-estimated environmental ceiling rather than a realizable accumulation: actual carbon storage from any specific reforestation effort would depend on stand establishment success, time to canopy closure, species selection, future climate trajectory, and the specific land-use transitions feasible at each pixel. We provide the unmasked surface as a planning-grade input to quantify where the environment supports the highest mature biomass densities; downstream studies must overlay land-cover transition probability, ownership, fire regime, and stakeholder priorities to produce realistic reforestation accumulation trajectories.</w:t>
      </w:r>
    </w:p>
    <w:bookmarkEnd w:id="46"/>
    <w:bookmarkStart w:id="47" w:name="wind-exposure-as-a-non-structural-driver"/>
    <w:p>
      <w:pPr>
        <w:pStyle w:val="Heading3"/>
      </w:pPr>
      <w:r>
        <w:t xml:space="preserve">3.21 Wind exposure as a non-structural driver</w:t>
      </w:r>
    </w:p>
    <w:p>
      <w:pPr>
        <w:pStyle w:val="FirstParagraph"/>
      </w:pPr>
      <w:r>
        <w:t xml:space="preserve">A reviewer-anticipated objection to the parent-material framing in §3.14 and §3.18 is that aerodynamic exposure (chronic mean wind speed, hurricane and tornado return periods) might confound the geologic axis: coastal sites that show low realized asymptotic biomass on alluvial and marine substrates also experience above-average wind disturbance, and Plains sites that show low Asym on eolian substrates also sit in the highest sustained wind belt of the United States. We tested whether TerraClimate annual mean wind speed at 4 km, extracted at 31,463 FIA plots already used in the v9 model fit, adds explanatory information beyond what the v3 stack (climate, terrain, soils, parent material) already captures.</w:t>
      </w:r>
    </w:p>
    <w:p>
      <w:pPr>
        <w:pStyle w:val="BodyText"/>
      </w:pPr>
      <w:r>
        <w:t xml:space="preserve">The raw bivariate pattern is in the direction the wind hypothesis predicts: mean Asym v9 increases monotonically from 236.7 Mg ha⁻¹ at the lowest wind decile (1.98 to 2.51 m s⁻¹) to 261.3 Mg ha⁻¹ at the eighth wind decile (3.81 to 4.19 m s⁻¹) before flattening at the highest two deciles, a 24 Mg ha⁻¹ swing across a roughly fourfold wind gradient. This is consistent with the simple observation that high-wind-belt forests (Pacific Northwest conifers, northern Maine spruce-fir, southern Appalachian uplands) carry higher carbon stocks than low-wind-belt forests (eastern Texas pine flatwoods, lower Mississippi alluvial hardwoods).</w:t>
      </w:r>
    </w:p>
    <w:p>
      <w:pPr>
        <w:pStyle w:val="BodyText"/>
      </w:pPr>
      <w:r>
        <w:t xml:space="preserve">After conditioning on the v9 predictor stack, the residual signal collapses. Decile-binned mean residuals (Asym observed minus v9 predicted) range from −0.88 Mg ha⁻¹ at the second wind decile to +0.48 Mg ha⁻¹ at the fourth wind decile, with no monotonic pattern and amplitudes one to two orders of magnitude smaller than the v9 model’s RMSE of 8.21 Mg ha⁻¹. Per-parent-material residual correlations with wind are similarly modest: Eolian r = +0.229, Colluvium r = +0.226, Lacustrine r = +0.209, with the remaining seven categories at |r| &lt; 0.15. The positive sign on Eolian substrates is the most ecologically coherent of the small effects: sandy windblown deposits in the high-wind central Plains may experience wind-driven soil moisture loss that the v3 stack’s static soils predictors cannot capture at 4 km resolution.</w:t>
      </w:r>
    </w:p>
    <w:p>
      <w:pPr>
        <w:pStyle w:val="BodyText"/>
      </w:pPr>
      <w:r>
        <w:t xml:space="preserve">The honest reading is that wind exposure operates predominantly through correlated climate and terrain covariates that the v9 stack already includes. Mean wind speed at the TerraClimate resolution does not function as an independent structural axis for asymptotic biomass at the continental scale.</w:t>
      </w:r>
    </w:p>
    <w:bookmarkEnd w:id="47"/>
    <w:bookmarkStart w:id="48" w:name="Xd5e980d0ad25288a4a78374e988c23ef97a16fd"/>
    <w:p>
      <w:pPr>
        <w:pStyle w:val="Heading3"/>
      </w:pPr>
      <w:r>
        <w:t xml:space="preserve">3.22 Episodic wind disturbance: HURDAT2 hurricane track density</w:t>
      </w:r>
    </w:p>
    <w:p>
      <w:pPr>
        <w:pStyle w:val="FirstParagraph"/>
      </w:pPr>
      <w:r>
        <w:t xml:space="preserve">The mean-wind null in §3.21 leaves open whether episodic damaging wind (tropical cyclone strikes, derechos, tornadoes) carries the residual signal that climatology does not. We tested the hurricane component of this question by constructing track-count density from the NOAA HURDAT2 best-track database covering 1851 to 2024, filtered to tropical-storm-strength or greater records (sustained winds ≥ 34 kt) inside the CONUS bounding region. The resulting 0.25 degree raster contains 17,804 storm-track points in 7,398 distinct cells with a maximum density of 41 track points per cell along the Florida coast and outer banks of the Carolinas. Extracted at the 31,463 v9 model plots, 5,596 plots (17.8 percent) fall in a cell with at least one TS-strength storm pass on record.</w:t>
      </w:r>
    </w:p>
    <w:p>
      <w:pPr>
        <w:pStyle w:val="BodyText"/>
      </w:pPr>
      <w:r>
        <w:t xml:space="preserve">Across all plots, the residual correlation is r = −0.028 (Pearson) and ρ = −0.032 (Spearman). The per-parent-material breakdown is interpretable: Marine substrates carry the highest mean hurricane exposure (1.13 storm passes per cell, 56 percent of Marine plots exposed at least once) but show residual correlation of only r = −0.019 with v9. Eolian, the second-most exposed category, shows r = −0.037. Volcanic plots, located in the Cascades and Sierras where hurricane tracks do not reach, have zero exposure and serve as a natural control. The strongest single per-PM signal, on Alluvial substrates at r = −0.070, is consistent with the direction the hurricane hypothesis predicts (more strikes → v9 over-predicts) but the magnitude is more than two orders of magnitude smaller than the v9 OOB RMSE of 8.21 Mg ha⁻¹.</w:t>
      </w:r>
    </w:p>
    <w:p>
      <w:pPr>
        <w:pStyle w:val="BodyText"/>
      </w:pPr>
      <w:r>
        <w:t xml:space="preserve">Combined with §3.21, this closes the wind story: neither chronic (TerraClimate mean wind speed) nor episodic (HURDAT2 hurricane density) wind exposure is a structural axis that the v9 stack is missing. The realized biomass at U.S. forest sites with high historical hurricane exposure is well-represented by the climate, terrain, soils, and parent material covariates already in v9, presumably because the FIA plot network samples surviving biomass at the time of inventory and because the v9 stack indirectly captures hurricane-zone climate via the Tropical-Subtropical climate signatures it ingests. The Asym v9 30 m surface ships in v3.0.0 without a wind correction because no wind-correction signal was identified across either windspeed climatology or historical storm-track density. SVRGIS tornado paths and NREL Wind Toolkit hub-height wind remain candidates for future tests at higher resolution but at this stage of the analysis we judge the wind axis to be largely closed.</w:t>
      </w:r>
    </w:p>
    <w:bookmarkEnd w:id="48"/>
    <w:bookmarkStart w:id="49" w:name="Xd66685e556e42a3cc517eb26caea6802549abf0"/>
    <w:p>
      <w:pPr>
        <w:pStyle w:val="Heading3"/>
      </w:pPr>
      <w:r>
        <w:t xml:space="preserve">3.22 External validation against repeat and structural remote sensing</w:t>
      </w:r>
    </w:p>
    <w:p>
      <w:pPr>
        <w:pStyle w:val="FirstParagraph"/>
      </w:pPr>
      <w:r>
        <w:t xml:space="preserve">The AmeriFlux comparison in §3.19 tested the measures against a sparse network of eddy-covariance towers. A complementary test uses wall-to-wall satellite products at the full plot set. We extracted three independent remote-sensing families at the FIA plot coordinates: MODIS MOD17A3HGF net and gross primary productivity (NPP and GPP, 2017 to 2023), LANDFIRE 2023 canopy height, and five Sentinel-2 spectral indices (NDVI, EVI, NDRE, the red-edge position S2REP, and the chlorophyll index red-edge CIRE). After deduplicating to unique plots, 38,978 plots carried both the productivity measures and the MODIS flux, and 38,091 carried the Sentinel-2 indices.</w:t>
      </w:r>
    </w:p>
    <w:p>
      <w:pPr>
        <w:pStyle w:val="BodyText"/>
      </w:pPr>
      <w:r>
        <w:t xml:space="preserve">The biomass growth increment tracks observed satellite flux while site index does not. BGI correlates with observed GPP at a pooled Pearson r = +0.74 and with NPP at +0.61, whereas the unified-target site index correlates negatively (r = -0.41 with GPP, -0.38 with NPP). Consistent with the scale dependence emphasized throughout this paper, the pooled BGI value is partly a between-region aggregation effect. Within-region correlations are more modest and heterogeneous: r(BGI, GPP) = +0.46 in the West and +0.11 in the East, ranging by latitude band from -0.03 in the subtropical Southeast (24 to 31 N, where MODIS productivity products are least reliable) to +0.80 at 37 to 43 N. That the relationship is not an artifact of shared structure with site index is confirmed by partial correlation: controlling for ESI, observed NPP still tracks BGI at partial r = +0.53 and GPP at +0.68, while ESI contributes negatively (partial r = -0.14 and -0.13). The BGI versus ESI divergence documented from FIA-internal measures is therefore reproduced in an independent satellite measurement chain.</w:t>
      </w:r>
    </w:p>
    <w:p>
      <w:pPr>
        <w:pStyle w:val="BodyText"/>
      </w:pPr>
      <w:r>
        <w:t xml:space="preserve">The same structure appears in Sentinel-2 optical metrics. Lamb et al. (2020) identified the Sentinel-2 red-edge position as the most important remote-sensing metric for site productivity in the North American Acadian region and used Sentinel-2 to improve BGI (an</w:t>
      </w:r>
      <w:r>
        <w:t xml:space="preserve"> </w:t>
      </w:r>
      <w:r>
        <w:t xml:space="preserve">“improved BGI,”</w:t>
      </w:r>
      <w:r>
        <w:t xml:space="preserve"> </w:t>
      </w:r>
      <w:r>
        <w:t xml:space="preserve">or iBGI). At the conterminous-scale plot set, BGI correlates positively with every Sentinel-2 index (CIRE r = +0.76, NDRE +0.74, NDVI +0.73, EVI +0.73, S2REP +0.70), while ESI correlates negatively with all of them (-0.40 to -0.48). A random forest predicting observed NPP from BGI alone reaches an adjusted R squared of 0.37; adding the Sentinel-2 stack raises it to 0.44, with S2REP alone (0.38) slightly exceeding BGI alone. This generalizes the iBGI result of Lamb et al. (2020) to the conterminous United States, although part of the gain reflects shared optical lineage between S2REP and the MODIS NPP target rather than fully independent information.</w:t>
      </w:r>
    </w:p>
    <w:p>
      <w:pPr>
        <w:pStyle w:val="BodyText"/>
      </w:pPr>
      <w:r>
        <w:t xml:space="preserve">Observed canopy height carries little site-productivity signal on its own. At 29,089 forested plots, LANDFIRE 2023 canopy height is predicted by ESI at an adjusted R squared of 0.004, by BGI at 0.112, and by ESI, BGI, and Asym jointly at only 0.165. A single-epoch canopy height is governed by stand age, disturbance history, and structure rather than by site productivity, so absolute height is nearly uninformative about the productivity measures. The productivity signal resides in the rate of canopy-height change rather than in the height itself, which points toward repeat observation of biomass increment (for example a MODIS NPP temporal trend or an ESA CCI Biomass aboveground-biomass increment) as the appropriate independent validator for a future prediction-focused release.</w:t>
      </w:r>
    </w:p>
    <w:bookmarkEnd w:id="49"/>
    <w:bookmarkStart w:id="50"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50"/>
    <w:bookmarkStart w:id="51"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51"/>
    <w:bookmarkStart w:id="52"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The external validation in §3.22 partially addresses this concern: the BGI-positive, ESI-negative structure is reproduced against three independent remote-sensing families (MODIS flux, LANDFIRE canopy height, and Sentinel-2 optical indices), and a partial correlation shows BGI tracks observed flux independently of ESI, so the structural pattern is not solely an FIA-method artifact.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2"/>
    <w:bookmarkEnd w:id="53"/>
    <w:bookmarkStart w:id="54"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4"/>
    <w:bookmarkStart w:id="55"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5"/>
    <w:bookmarkStart w:id="56" w:name="declaration-of-competing-interests"/>
    <w:p>
      <w:pPr>
        <w:pStyle w:val="Heading2"/>
      </w:pPr>
      <w:r>
        <w:t xml:space="preserve">5.6 Declaration of competing interests</w:t>
      </w:r>
    </w:p>
    <w:p>
      <w:pPr>
        <w:pStyle w:val="FirstParagraph"/>
      </w:pPr>
      <w:r>
        <w:t xml:space="preserve">The author declares no competing interests.</w:t>
      </w:r>
    </w:p>
    <w:bookmarkEnd w:id="56"/>
    <w:bookmarkStart w:id="57"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7"/>
    <w:bookmarkStart w:id="58"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8"/>
    <w:bookmarkStart w:id="59"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59"/>
    <w:bookmarkStart w:id="60"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Lamb, S. M., et al. (2020). Forest potential productivity mapping by linking remote-sensing-derived metrics to site variables. Remote Sensing 12 (12): 2056. doi:10.3390/rs12122056. Identifies the Sentinel-2 red-edge position (S2REP) as the most important remote-sensing metric for site productivity in the North American Acadian region and uses Sentinel-2 to improve the biomass growth index (iBGI).</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2026-06-23T14:02:46Z</dcterms:created>
  <dcterms:modified xsi:type="dcterms:W3CDTF">2026-06-23T14:02:46Z</dcterms:modified>
</cp:coreProperties>
</file>

<file path=docProps/custom.xml><?xml version="1.0" encoding="utf-8"?>
<Properties xmlns="http://schemas.openxmlformats.org/officeDocument/2006/custom-properties" xmlns:vt="http://schemas.openxmlformats.org/officeDocument/2006/docPropsVTypes"/>
</file>