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86.png" ContentType="image/png"/>
  <Override PartName="/word/media/rId89.png" ContentType="image/png"/>
  <Override PartName="/word/media/rId77.png" ContentType="image/png"/>
  <Override PartName="/word/media/rId80.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11 June 2026</w:t>
      </w:r>
    </w:p>
    <w:p>
      <w:pPr>
        <w:pStyle w:val="BodyText"/>
      </w:pPr>
      <w:r>
        <w:t xml:space="preserve">Editor-in-Chief</w:t>
      </w:r>
      <w:r>
        <w:t xml:space="preserve"> </w:t>
      </w:r>
      <w:r>
        <w:t xml:space="preserve">Forest Ecology and Management</w:t>
      </w:r>
      <w:r>
        <w:t xml:space="preserve"> </w:t>
      </w:r>
      <w:r>
        <w:t xml:space="preserve">Elsevier</w:t>
      </w:r>
    </w:p>
    <w:p>
      <w:pPr>
        <w:pStyle w:val="BodyText"/>
      </w:pPr>
      <w:r>
        <w:t xml:space="preserve">Dear Editor,</w:t>
      </w:r>
    </w:p>
    <w:p>
      <w:pPr>
        <w:pStyle w:val="BodyText"/>
      </w:pPr>
      <w:r>
        <w:t xml:space="preserve">We submit for your consideration a manuscript titled</w:t>
      </w:r>
      <w:r>
        <w:t xml:space="preserve"> </w:t>
      </w:r>
      <w:r>
        <w:t xml:space="preserve">“A 30 m Composite Site Productivity Index for the conterminous United States: integrating Environmental Site Index, Biomass Growth Increment, Asymptotic Biomass, and Net Primary Production,”</w:t>
      </w:r>
      <w:r>
        <w:t xml:space="preserve"> </w:t>
      </w:r>
      <w:r>
        <w:t xml:space="preserve">for publication in Forest Ecology and Management.</w:t>
      </w:r>
    </w:p>
    <w:p>
      <w:pPr>
        <w:pStyle w:val="BodyText"/>
      </w:pPr>
      <w:r>
        <w:t xml:space="preserve">The manuscript presents the first wall-to-wall multi-metric site productivity composite for the conterminous United States at 30 m resolution. Site index, the operational measure of site quality in U.S. forestry since the early twentieth century, captures one productivity dimension (height growth potential at a reference age) but does not directly index recent biomass accumulation, long-run carrying capacity, or annual carbon flux. We build a Composite Site Productivity Index (CSPI v2) as the z-score average of four independently fitted productivity layers, each released as a citable standalone product: Environmental Site Index v7 (height growth potential, 30 m), Biomass Growth Increment from FIA remeasurement pairs (30 m), Asymptotic Biomass from a Chapman-Richards fit (30 m), and MODIS MOD17A3HGF annual Net Primary Production (500 m).</w:t>
      </w:r>
    </w:p>
    <w:p>
      <w:pPr>
        <w:pStyle w:val="BodyText"/>
      </w:pPr>
      <w:r>
        <w:t xml:space="preserve">Three contributions are of interest to the readership. First, at 66,433 FIA plots where all four components can be computed, the pairwise Pearson correlation between site index and biomass growth increment is −0.46, the strongest in the matrix, and the other five pairs all fall below 0.30 in absolute value. The components are not surrogates for each other. The composite carries information that no single component supplies, and leave-one-component-out sensitivity preserves r ≥ 0.77 against the full composite for any 3-of-4 subset. Second, we replace the FIA condition-level site index (SICOND) target used in our previous release (Weiskittel 2026, 10.5281/zenodo.20515035) with a unified North America height-and-age compilation under species-specific equations refit to a common base age, raising the plot-blocked cross-validated R² for the Environmental Site Index from 0.602 to 0.686 and closing a per-species accuracy gap (loblolly pine and yellow-poplar move from 0.04–0.10 under SICOND to 0.33–0.52 under the unified target). Third, a sensitivity test adding Sentinel-2 indices and MOD17 GPP/NPP to the ESI predictor stack (v8) confirms that long-window climate-distillation predictors already encode most of what short-window remote-sensing proxies supply, with the plot-blocked CV R² rising only from 0.686 to 0.688.</w:t>
      </w:r>
    </w:p>
    <w:p>
      <w:pPr>
        <w:pStyle w:val="BodyText"/>
      </w:pPr>
      <w:r>
        <w:t xml:space="preserve">The composite framework has practical implications for growth and yield modeling and for site-quality stratification. For Forest Vegetation Simulator use, ESI v7 supplies the site index input the height-growth submodel requires. The composite adds value for stand selection by constraining which plots within an ESI quartile are actually accumulating biomass or maintaining annual carbon assimilation. The fuzz-sensitivity rule from our previous release (predictors at 250 m or coarser native resolution survive FIA coordinate fuzzing) carries over unchanged.</w:t>
      </w:r>
    </w:p>
    <w:p>
      <w:pPr>
        <w:pStyle w:val="BodyText"/>
      </w:pPr>
      <w:r>
        <w:t xml:space="preserve">All four component layers, the composite, supporting ESI versions (v5 at 30 m, v6 at 1 km, v7 at 30 m, hybrid blend), forest masks, and full documentation are deposited as a single Zenodo record under concept DOI 10.5281/zenodo.20515034 (v2.0.0, version DOI assigned at publication and recorded in the Data and code availability statement before the proofs stage). The previous v1.0.0 SICOND-target release remains citable at 10.5281/zenodo.20515035. Analysis pipeline at https://github.com/holoros/fvs-conus.</w:t>
      </w:r>
    </w:p>
    <w:p>
      <w:pPr>
        <w:pStyle w:val="BodyText"/>
      </w:pPr>
      <w:r>
        <w:t xml:space="preserve">The manuscript is not under consideration elsewhere, has not been previously published in whole or in part, and the corresponding author has approved this submission. We declare no competing interests. The corresponding author is Aaron R. Weiskittel (aaron.weiskittel@maine.edu).</w:t>
      </w:r>
    </w:p>
    <w:p>
      <w:pPr>
        <w:pStyle w:val="BodyText"/>
      </w:pPr>
      <w:r>
        <w:t xml:space="preserve">We suggest the following potential reviewers, none of whom have been involved in this work:</w:t>
      </w:r>
    </w:p>
    <w:p>
      <w:pPr>
        <w:pStyle w:val="Compact"/>
        <w:numPr>
          <w:ilvl w:val="0"/>
          <w:numId w:val="1001"/>
        </w:numPr>
      </w:pPr>
      <w:r>
        <w:t xml:space="preserve">Dr. John W. Coulston, USDA Forest Service Southern Research Station, Blacksburg, VA. Email: john.w.coulston@usda.gov. Expertise: FIA inventory analysis and spatial modelling.</w:t>
      </w:r>
    </w:p>
    <w:p>
      <w:pPr>
        <w:pStyle w:val="Compact"/>
        <w:numPr>
          <w:ilvl w:val="0"/>
          <w:numId w:val="1001"/>
        </w:numPr>
      </w:pPr>
      <w:r>
        <w:t xml:space="preserve">Dr. Tongli Wang, Centre for Forest Conservation Genetics, University of British Columbia, Vancouver, BC, Canada. Email: tongli.wang@ubc.ca. Expertise: ClimateNA covariates and spatial climate modelling for forests.</w:t>
      </w:r>
    </w:p>
    <w:p>
      <w:pPr>
        <w:pStyle w:val="Compact"/>
        <w:numPr>
          <w:ilvl w:val="0"/>
          <w:numId w:val="1001"/>
        </w:numPr>
      </w:pPr>
      <w:r>
        <w:t xml:space="preserve">Dr. Quinn Thomas, Department of Forest Resources and Environmental Conservation, Virginia Tech, Blacksburg, VA. Email: rqthomas@vt.edu. Expertise: forest productivity modelling, multi-metric ecosystem indicators.</w:t>
      </w:r>
    </w:p>
    <w:p>
      <w:pPr>
        <w:pStyle w:val="Compact"/>
        <w:numPr>
          <w:ilvl w:val="0"/>
          <w:numId w:val="1001"/>
        </w:numPr>
      </w:pPr>
      <w:r>
        <w:t xml:space="preserve">Dr. David L. R. Affleck, Department of Forest Management, University of Montana, Missoula, MT. Email: david.affleck@umontana.edu. Expertise: forest biometrics, growth and yield modelling.</w:t>
      </w:r>
    </w:p>
    <w:p>
      <w:pPr>
        <w:pStyle w:val="FirstParagraph"/>
      </w:pPr>
      <w:r>
        <w:t xml:space="preserve">Please opt out any reviewer with a competing commitment.</w:t>
      </w:r>
    </w:p>
    <w:p>
      <w:pPr>
        <w:pStyle w:val="BodyText"/>
      </w:pPr>
      <w:r>
        <w:t xml:space="preserve">Thank you for considering our work. We look forward to your decision.</w:t>
      </w:r>
    </w:p>
    <w:p>
      <w:pPr>
        <w:pStyle w:val="BodyText"/>
      </w:pPr>
      <w:r>
        <w:t xml:space="preserve">Sincerely,</w:t>
      </w:r>
    </w:p>
    <w:p>
      <w:pPr>
        <w:pStyle w:val="BodyText"/>
      </w:pPr>
      <w:r>
        <w:t xml:space="preserve">Aaron R. Weiskittel</w:t>
      </w:r>
      <w:r>
        <w:t xml:space="preserve"> </w:t>
      </w:r>
      <w:r>
        <w:t xml:space="preserve">University of Maine, Center for Research on Sustainable Forests</w:t>
      </w:r>
      <w:r>
        <w:t xml:space="preserve"> </w:t>
      </w:r>
      <w:r>
        <w:t xml:space="preserve">Orono, ME, USA</w:t>
      </w:r>
      <w:r>
        <w:t xml:space="preserve"> </w:t>
      </w:r>
      <w:r>
        <w:t xml:space="preserve">aaron.weiskittel@maine.edu</w:t>
      </w:r>
      <w:r>
        <w:t xml:space="preserve"> </w:t>
      </w:r>
      <w:r>
        <w:t xml:space="preserve">ORCID: 0000-0003-2534-4478</w:t>
      </w:r>
    </w:p>
    <w:bookmarkStart w:id="17" w:name="title-page"/>
    <w:p>
      <w:pPr>
        <w:pStyle w:val="Heading1"/>
      </w:pPr>
      <w:r>
        <w:t xml:space="preserve">Title page</w:t>
      </w:r>
    </w:p>
    <w:bookmarkStart w:id="9" w:name="title"/>
    <w:p>
      <w:pPr>
        <w:pStyle w:val="Heading2"/>
      </w:pPr>
      <w:r>
        <w:t xml:space="preserve">Title</w:t>
      </w:r>
    </w:p>
    <w:p>
      <w:pPr>
        <w:pStyle w:val="FirstParagraph"/>
      </w:pPr>
      <w:r>
        <w:t xml:space="preserve">A 30 m Composite Site Productivity Index for the conterminous United States: integrating Environmental Site Index, Biomass Growth Increment, Asymptotic Biomass, and Net Primary Production</w:t>
      </w:r>
    </w:p>
    <w:bookmarkEnd w:id="9"/>
    <w:bookmarkStart w:id="10" w:name="author"/>
    <w:p>
      <w:pPr>
        <w:pStyle w:val="Heading2"/>
      </w:pPr>
      <w:r>
        <w:t xml:space="preserve">Author</w:t>
      </w:r>
    </w:p>
    <w:p>
      <w:pPr>
        <w:pStyle w:val="FirstParagraph"/>
      </w:pPr>
      <w:r>
        <w:t xml:space="preserve">Aaron R. Weiskittel¹</w:t>
      </w:r>
    </w:p>
    <w:p>
      <w:pPr>
        <w:pStyle w:val="BodyText"/>
      </w:pPr>
      <w:r>
        <w:t xml:space="preserve">¹ University of Maine, Center for Research on Sustainable Forests, 5755 Nutting Hall, Orono, ME 04469, USA. ORCID: 0000-0003-2534-4478. Email: aaron.weiskittel@maine.edu.</w:t>
      </w:r>
    </w:p>
    <w:bookmarkEnd w:id="10"/>
    <w:bookmarkStart w:id="11" w:name="corresponding-author"/>
    <w:p>
      <w:pPr>
        <w:pStyle w:val="Heading2"/>
      </w:pPr>
      <w:r>
        <w:t xml:space="preserve">Corresponding author</w:t>
      </w:r>
    </w:p>
    <w:p>
      <w:pPr>
        <w:pStyle w:val="FirstParagraph"/>
      </w:pPr>
      <w:r>
        <w:t xml:space="preserve">Aaron R. Weiskittel</w:t>
      </w:r>
      <w:r>
        <w:br/>
      </w:r>
      <w:r>
        <w:t xml:space="preserve">aaron.weiskittel@maine.edu</w:t>
      </w:r>
      <w:r>
        <w:br/>
      </w:r>
      <w:r>
        <w:t xml:space="preserve">+1 (207) 581-2841</w:t>
      </w:r>
      <w:r>
        <w:br/>
      </w:r>
      <w:r>
        <w:t xml:space="preserve">University of Maine, Center for Research on Sustainable Forests</w:t>
      </w:r>
      <w:r>
        <w:br/>
      </w:r>
      <w:r>
        <w:t xml:space="preserve">5755 Nutting Hall</w:t>
      </w:r>
      <w:r>
        <w:br/>
      </w:r>
      <w:r>
        <w:t xml:space="preserve">Orono, ME 04469, USA</w:t>
      </w:r>
    </w:p>
    <w:bookmarkEnd w:id="11"/>
    <w:bookmarkStart w:id="12" w:name="keywords"/>
    <w:p>
      <w:pPr>
        <w:pStyle w:val="Heading2"/>
      </w:pPr>
      <w:r>
        <w:t xml:space="preserve">Keywords</w:t>
      </w:r>
    </w:p>
    <w:p>
      <w:pPr>
        <w:pStyle w:val="FirstParagraph"/>
      </w:pPr>
      <w:r>
        <w:t xml:space="preserve">site index; site productivity; composite productivity index; Forest Inventory and Analysis; unified site index compilation; Environmental Site Index; biomass growth increment; net primary production; random forest; SoilGrids; ClimateNA; MODIS MOD17A3HGF; Forest Vegetation Simulator; conterminous United States</w:t>
      </w:r>
    </w:p>
    <w:bookmarkEnd w:id="12"/>
    <w:bookmarkStart w:id="13" w:name="manuscript-metrics-approximate"/>
    <w:p>
      <w:pPr>
        <w:pStyle w:val="Heading2"/>
      </w:pPr>
      <w:r>
        <w:t xml:space="preserve">Manuscript metrics (approximate)</w:t>
      </w:r>
    </w:p>
    <w:p>
      <w:pPr>
        <w:pStyle w:val="Compact"/>
        <w:numPr>
          <w:ilvl w:val="0"/>
          <w:numId w:val="1002"/>
        </w:numPr>
      </w:pPr>
      <w:r>
        <w:t xml:space="preserve">Word count (main text): ~7,200</w:t>
      </w:r>
    </w:p>
    <w:p>
      <w:pPr>
        <w:pStyle w:val="Compact"/>
        <w:numPr>
          <w:ilvl w:val="0"/>
          <w:numId w:val="1002"/>
        </w:numPr>
      </w:pPr>
      <w:r>
        <w:t xml:space="preserve">Tables: 8 (in main text); ~5 supplementary</w:t>
      </w:r>
    </w:p>
    <w:p>
      <w:pPr>
        <w:pStyle w:val="Compact"/>
        <w:numPr>
          <w:ilvl w:val="0"/>
          <w:numId w:val="1002"/>
        </w:numPr>
      </w:pPr>
      <w:r>
        <w:t xml:space="preserve">Figures: 11 (F1–F11); ~5 supplementary</w:t>
      </w:r>
    </w:p>
    <w:p>
      <w:pPr>
        <w:pStyle w:val="Compact"/>
        <w:numPr>
          <w:ilvl w:val="0"/>
          <w:numId w:val="1002"/>
        </w:numPr>
      </w:pPr>
      <w:r>
        <w:t xml:space="preserve">References: 11 verified peer-reviewed + 1 in-prep methods note</w:t>
      </w:r>
    </w:p>
    <w:bookmarkEnd w:id="13"/>
    <w:bookmarkStart w:id="14" w:name="funding"/>
    <w:p>
      <w:pPr>
        <w:pStyle w:val="Heading2"/>
      </w:pPr>
      <w:r>
        <w:t xml:space="preserve">Funding</w:t>
      </w:r>
    </w:p>
    <w:p>
      <w:pPr>
        <w:pStyle w:val="FirstParagraph"/>
      </w:pPr>
      <w:r>
        <w:t xml:space="preserve">This work was supported by the USDA National Institute of Food and Agriculture, McIntire-Stennis Forestry Research Program (Maine Agricultural and Forest Experiment Station). The author acknowledges supplemental support from the University of Maine Center for Research on Sustainable Forests. Computation was performed under Ohio Supercomputer Center allocation PUOM0008. [PLACEHOLDER: confirm specific NIFA McIntire-Stennis project number and any USDA NIFA AFRI or NSF EPSCoR award numbers that should be acknowledged.]</w:t>
      </w:r>
    </w:p>
    <w:bookmarkEnd w:id="14"/>
    <w:bookmarkStart w:id="15" w:name="declaration-of-competing-interests"/>
    <w:p>
      <w:pPr>
        <w:pStyle w:val="Heading2"/>
      </w:pPr>
      <w:r>
        <w:t xml:space="preserve">Declaration of competing interests</w:t>
      </w:r>
    </w:p>
    <w:p>
      <w:pPr>
        <w:pStyle w:val="FirstParagraph"/>
      </w:pPr>
      <w:r>
        <w:t xml:space="preserve">The author declares no competing interests.</w:t>
      </w:r>
    </w:p>
    <w:bookmarkEnd w:id="15"/>
    <w:bookmarkStart w:id="16" w:name="declaration-of-generative-ai-use"/>
    <w:p>
      <w:pPr>
        <w:pStyle w:val="Heading2"/>
      </w:pPr>
      <w:r>
        <w:t xml:space="preserve">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16"/>
    <w:bookmarkEnd w:id="17"/>
    <w:bookmarkStart w:id="18" w:name="highlights"/>
    <w:p>
      <w:pPr>
        <w:pStyle w:val="Heading1"/>
      </w:pPr>
      <w:r>
        <w:t xml:space="preserve">Highlights</w:t>
      </w:r>
    </w:p>
    <w:p>
      <w:pPr>
        <w:pStyle w:val="Compact"/>
        <w:numPr>
          <w:ilvl w:val="0"/>
          <w:numId w:val="1003"/>
        </w:numPr>
      </w:pPr>
      <w:r>
        <w:t xml:space="preserve">Forest site productivity is empirically multi-dimensional: four operational measures (ESI, BGI, Asym, NPP) carry overlapping but non-substitutable information at 66,433 FIA plots (OOB R² 0.70 to 0.89 in cross-prediction).</w:t>
      </w:r>
    </w:p>
    <w:p>
      <w:pPr>
        <w:pStyle w:val="Compact"/>
        <w:numPr>
          <w:ilvl w:val="0"/>
          <w:numId w:val="1003"/>
        </w:numPr>
      </w:pPr>
      <w:r>
        <w:t xml:space="preserve">FIA’s own seven-class site productivity rating (SITECLCD) tracks biomass growth, not site index. Site index is essentially flat across the seven classes (mean 30.6 to 29.6 m); biomass growth drops by a factor of 2.3 (OOB R² 0.808 from BGI alone vs 0.751 from ESI alone).</w:t>
      </w:r>
    </w:p>
    <w:p>
      <w:pPr>
        <w:pStyle w:val="Compact"/>
        <w:numPr>
          <w:ilvl w:val="0"/>
          <w:numId w:val="1003"/>
        </w:numPr>
      </w:pPr>
      <w:r>
        <w:t xml:space="preserve">The pooled raw SICOND-ESI correlation of −0.08 is a base-age Simpson paradox. After Chapman-Richards anamorphic projection to base 50, SICOND correlates with both ESI and BGI at moderate magnitudes (r = +0.48 and +0.45). The</w:t>
      </w:r>
      <w:r>
        <w:t xml:space="preserve"> </w:t>
      </w:r>
      <w:r>
        <w:t xml:space="preserve">“single metric carries biomass-growth structure”</w:t>
      </w:r>
      <w:r>
        <w:t xml:space="preserve"> </w:t>
      </w:r>
      <w:r>
        <w:t xml:space="preserve">claim still holds via SITECLCD (BGI alone R² = 0.808 vs ESI alone 0.751) but not via the raw SICOND-ESI orthogonality.</w:t>
      </w:r>
    </w:p>
    <w:p>
      <w:pPr>
        <w:pStyle w:val="Compact"/>
        <w:numPr>
          <w:ilvl w:val="0"/>
          <w:numId w:val="1003"/>
        </w:numPr>
      </w:pPr>
      <w:r>
        <w:t xml:space="preserve">The ESI–BGI relationship is unstable: correlation flips sign at 120 years (−0.57 in middle-age stands, +0.33 in old growth); species-level range from 0.028 (yellow-poplar) to 0.492 (Douglas-fir); per-state range from 0.01 (NC) to 0.53 (ID).</w:t>
      </w:r>
    </w:p>
    <w:p>
      <w:pPr>
        <w:pStyle w:val="Compact"/>
        <w:numPr>
          <w:ilvl w:val="0"/>
          <w:numId w:val="1003"/>
        </w:numPr>
      </w:pPr>
      <w:r>
        <w:t xml:space="preserve">A three-component composite (ESI + BGI + Asym, equal-weight z-score average) recovers the FIA SITECLCD ranking that single measures miss. CSPI v2 ships at 30 m alongside the four component layers as standalone citable products.</w:t>
      </w:r>
    </w:p>
    <w:bookmarkEnd w:id="18"/>
    <w:bookmarkStart w:id="58"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v0.10b, 14 June 2026. Reframed from v0.9 with the FIADB context analyses and corrected for the SICOND base-age Simpson’s paradox identified in §3.5 Table 2a. Composite is now ESI + BGI + Asym (3 measures) with weighting; NPP and FIA SICOND are external comparators. The strongest empirical finding is that FIA’s site class (SITECLCD) correlates with biomass growth and the multi-dimensional composite, not with site index alone (random forest predicting SITECLCD: BGI alone OOB R² = 0.808 vs ESI alone 0.751). The pooled raw SICOND × ESI correlation of −0.08 is a base-age Simpson’s paradox: after standardizing SICOND to base 50 via Chapman-Richards anamorphic projection, SICOND correlates with both ESI and BGI at r ≈ 0.45 to 0.48. v2 DOI 10.5281/zenodo.20663652. Concept DOI 10.5281/zenodo.20515034.</w:t>
      </w:r>
    </w:p>
    <w:p>
      <w:pPr>
        <w:pStyle w:val="BodyText"/>
      </w:pPr>
      <w:r>
        <w:t xml:space="preserve">Author: Aaron R. Weiskittel, University of Maine, Center for Research on Sustainable Forests. ORCID 0000-0003-2534-4478. Corresponding email: aaron.weiskittel@maine.edu.</w:t>
      </w:r>
    </w:p>
    <w:bookmarkStart w:id="19" w:name="abstract"/>
    <w:p>
      <w:pPr>
        <w:pStyle w:val="Heading2"/>
      </w:pPr>
      <w:r>
        <w:t xml:space="preserve">Abstract</w:t>
      </w:r>
    </w:p>
    <w:p>
      <w:pPr>
        <w:pStyle w:val="FirstParagraph"/>
      </w:pPr>
      <w:r>
        <w:t xml:space="preserve">Forest site productivity is operationally measured in the United States by site index, the expected height of dominant trees at a reference age. We test empirically whether this single-metric view captures what productivity studies need. At 66,433 FIA Phase 2 plots where all four productivity measures are jointly available (site index, biomass growth increment, asymptotic biomass, and net primary production), and at 114,587 plots after joining FIA COND-level context (SITECLCD, STDAGE, DSTRBCD1, TRTCD1, FORTYPCD), we find that no single measure can substitute for any other: the most recoverable measure (asymptotic biomass) reaches OOB R² = 0.89 when predicted from the other three via random forest; site index itself reaches only R² = 0.70. The site-index-to-others relationship is much weaker under linear models that mirror the traditional growth-and-yield treatment (R² = 0.24).</w:t>
      </w:r>
    </w:p>
    <w:p>
      <w:pPr>
        <w:pStyle w:val="BodyText"/>
      </w:pPr>
      <w:r>
        <w:t xml:space="preserve">The structure depends strongly on stand age, forest type, and ecological regime. The ESI–BGI correlation is −0.57 in middle-age stands (60–80 yr) but +0.33 in old-growth stands (120+ yr), and ranges from −0.02 in loblolly pine to +0.53 in Douglas-fir stands. The Asym–NPP correlation flips sign between eastern hardwood (r = −0.60) and western conifer (r = +0.57) regimes.</w:t>
      </w:r>
    </w:p>
    <w:p>
      <w:pPr>
        <w:pStyle w:val="BodyText"/>
      </w:pPr>
      <w:r>
        <w:t xml:space="preserve">The strongest empirical case for the multi-dimensional view comes from FIA’s own productivity classification (SITECLCD): site index (ESI) mean is 30.6 m at the most productive class and 29.6 m at the least productive class, essentially flat. Biomass growth increment, in contrast, drops from 2.11 to 0.92 Mg ha⁻¹ yr⁻¹ across the same classes, and a three-component composite (ESI + BGI + Asym) drops from 40.0 to 30.2 on a 0–100 scale. A random forest predicting SITECLCD from BGI alone reaches OOB R² = 0.808; from ESI alone, only 0.751. FIA-computed site index (SICOND) does correlate strongly with biomass growth (r = +0.74 in the pooled raw data), but this correlation is partly an artifact of pooling across FIA’s per-region SIBASE strata. After base-age standardization to 50 yr via anamorphic Chapman-Richards projection, SICOND correlates with both biomass growth and our unified-target ESI at moderate magnitudes (r = +0.45 and +0.48 respectively); within the SIBASE = 80 and 100 strata, SICOND tracks ESI much more strongly than BGI (r = +0.80 to +0.83 with ESI). The single-metric view’s structural limits are robust to this correction.</w:t>
      </w:r>
    </w:p>
    <w:p>
      <w:pPr>
        <w:pStyle w:val="BodyText"/>
      </w:pPr>
      <w:r>
        <w:t xml:space="preserve">We release a three-component Composite Site Productivity Index (CSPI v2) at 30 m as one operationalization of the multi-dimensional view, with NPP and SICOND as external validation comparators. The four component layers and the composite are deposited under Zenodo concept DOI 10.5281/zenodo.20515034 (version 2.0.0 at 10.5281/zenodo.20663652).</w:t>
      </w:r>
    </w:p>
    <w:bookmarkEnd w:id="19"/>
    <w:bookmarkStart w:id="2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4"/>
        </w:numPr>
      </w:pPr>
      <w:r>
        <w:rPr>
          <w:b/>
          <w:bCs/>
        </w:rPr>
        <w:t xml:space="preserve">Cross-substitutability</w:t>
      </w:r>
      <w:r>
        <w:t xml:space="preserve">: how recoverable is each measure from the others?</w:t>
      </w:r>
    </w:p>
    <w:p>
      <w:pPr>
        <w:pStyle w:val="Compact"/>
        <w:numPr>
          <w:ilvl w:val="0"/>
          <w:numId w:val="1004"/>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4"/>
        </w:numPr>
      </w:pPr>
      <w:r>
        <w:rPr>
          <w:b/>
          <w:bCs/>
        </w:rPr>
        <w:t xml:space="preserve">Stand-age dependence</w:t>
      </w:r>
      <w:r>
        <w:t xml:space="preserve">: does the relationship among measures depend on stand age?</w:t>
      </w:r>
    </w:p>
    <w:p>
      <w:pPr>
        <w:pStyle w:val="Compact"/>
        <w:numPr>
          <w:ilvl w:val="0"/>
          <w:numId w:val="1004"/>
        </w:numPr>
      </w:pPr>
      <w:r>
        <w:rPr>
          <w:b/>
          <w:bCs/>
        </w:rPr>
        <w:t xml:space="preserve">Forest type and regime</w:t>
      </w:r>
      <w:r>
        <w:t xml:space="preserve">: do eastern hardwood and western conifer regimes show the same productivity-measure structure?</w:t>
      </w:r>
    </w:p>
    <w:p>
      <w:pPr>
        <w:pStyle w:val="Compact"/>
        <w:numPr>
          <w:ilvl w:val="0"/>
          <w:numId w:val="1004"/>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20"/>
    <w:bookmarkStart w:id="26" w:name="methods"/>
    <w:p>
      <w:pPr>
        <w:pStyle w:val="Heading2"/>
      </w:pPr>
      <w:r>
        <w:t xml:space="preserve">2. Methods</w:t>
      </w:r>
    </w:p>
    <w:bookmarkStart w:id="2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21"/>
    <w:bookmarkStart w:id="2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5"/>
        </w:numPr>
      </w:pPr>
      <w:r>
        <w:rPr>
          <w:b/>
          <w:bCs/>
        </w:rPr>
        <w:t xml:space="preserve">Equal weight (default)</w:t>
      </w:r>
      <w:r>
        <w:t xml:space="preserve">: w = (1/3, 1/3, 1/3)</w:t>
      </w:r>
    </w:p>
    <w:p>
      <w:pPr>
        <w:pStyle w:val="Compact"/>
        <w:numPr>
          <w:ilvl w:val="0"/>
          <w:numId w:val="1005"/>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5"/>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22"/>
    <w:bookmarkStart w:id="2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23"/>
    <w:bookmarkStart w:id="2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24"/>
    <w:bookmarkStart w:id="2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25"/>
    <w:bookmarkEnd w:id="26"/>
    <w:bookmarkStart w:id="40" w:name="results"/>
    <w:p>
      <w:pPr>
        <w:pStyle w:val="Heading2"/>
      </w:pPr>
      <w:r>
        <w:t xml:space="preserve">3. Results</w:t>
      </w:r>
    </w:p>
    <w:bookmarkStart w:id="27"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27"/>
    <w:bookmarkStart w:id="28"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28"/>
    <w:bookmarkStart w:id="29"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9"/>
    <w:bookmarkStart w:id="30"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30"/>
    <w:bookmarkStart w:id="31"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31"/>
    <w:bookmarkStart w:id="32"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32"/>
    <w:bookmarkStart w:id="33" w:name="Xc78763e962ad189c14494c5c988089c753ececb"/>
    <w:p>
      <w:pPr>
        <w:pStyle w:val="Heading3"/>
      </w:pPr>
      <w:r>
        <w:t xml:space="preserve">3.7 The ESI–BGI correlation flips sign at old stands</w:t>
      </w:r>
    </w:p>
    <w:p>
      <w:pPr>
        <w:pStyle w:val="FirstParagraph"/>
      </w:pPr>
      <w:r>
        <w:t xml:space="preserve">Table 4 shows the pairwise correlations among the three internal measures, binned by stand age (FIA STDAGE).</w:t>
      </w:r>
    </w:p>
    <w:p>
      <w:pPr>
        <w:pStyle w:val="BodyText"/>
      </w:pPr>
      <w:r>
        <w:rPr>
          <w:b/>
          <w:bCs/>
        </w:rPr>
        <w:t xml:space="preserve">Table 4.</w:t>
      </w:r>
      <w:r>
        <w:t xml:space="preserve"> </w:t>
      </w:r>
      <w:r>
        <w:t xml:space="preserve">Pairwise correlations by stand age bin.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Stand age</w:t>
            </w:r>
          </w:p>
        </w:tc>
        <w:tc>
          <w:tcPr/>
          <w:p>
            <w:pPr>
              <w:pStyle w:val="Compact"/>
            </w:pPr>
            <w:r>
              <w:t xml:space="preserve">n</w:t>
            </w:r>
          </w:p>
        </w:tc>
        <w:tc>
          <w:tcPr/>
          <w:p>
            <w:pPr>
              <w:pStyle w:val="Compact"/>
            </w:pPr>
            <w:r>
              <w:t xml:space="preserve">ESI–BGI</w:t>
            </w:r>
          </w:p>
        </w:tc>
        <w:tc>
          <w:tcPr/>
          <w:p>
            <w:pPr>
              <w:pStyle w:val="Compact"/>
            </w:pPr>
            <w:r>
              <w:t xml:space="preserve">ESI–Asym</w:t>
            </w:r>
          </w:p>
        </w:tc>
        <w:tc>
          <w:tcPr/>
          <w:p>
            <w:pPr>
              <w:pStyle w:val="Compact"/>
            </w:pPr>
            <w:r>
              <w:t xml:space="preserve">BGI–Asym</w:t>
            </w:r>
          </w:p>
        </w:tc>
        <w:tc>
          <w:tcPr/>
          <w:p>
            <w:pPr>
              <w:pStyle w:val="Compact"/>
            </w:pPr>
            <w:r>
              <w:t xml:space="preserve">Mean CSPI (3-comp)</w:t>
            </w:r>
          </w:p>
        </w:tc>
      </w:tr>
      <w:tr>
        <w:tc>
          <w:tcPr/>
          <w:p>
            <w:pPr>
              <w:pStyle w:val="Compact"/>
            </w:pPr>
            <w:r>
              <w:t xml:space="preserve">0–20 yr</w:t>
            </w:r>
          </w:p>
        </w:tc>
        <w:tc>
          <w:tcPr/>
          <w:p>
            <w:pPr>
              <w:pStyle w:val="Compact"/>
            </w:pPr>
            <w:r>
              <w:t xml:space="preserve">16,056</w:t>
            </w:r>
          </w:p>
        </w:tc>
        <w:tc>
          <w:tcPr/>
          <w:p>
            <w:pPr>
              <w:pStyle w:val="Compact"/>
            </w:pPr>
            <w:r>
              <w:t xml:space="preserve">−0.538</w:t>
            </w:r>
          </w:p>
        </w:tc>
        <w:tc>
          <w:tcPr/>
          <w:p>
            <w:pPr>
              <w:pStyle w:val="Compact"/>
            </w:pPr>
            <w:r>
              <w:t xml:space="preserve">0.125</w:t>
            </w:r>
          </w:p>
        </w:tc>
        <w:tc>
          <w:tcPr/>
          <w:p>
            <w:pPr>
              <w:pStyle w:val="Compact"/>
            </w:pPr>
            <w:r>
              <w:t xml:space="preserve">−0.287</w:t>
            </w:r>
          </w:p>
        </w:tc>
        <w:tc>
          <w:tcPr/>
          <w:p>
            <w:pPr>
              <w:pStyle w:val="Compact"/>
            </w:pPr>
            <w:r>
              <w:t xml:space="preserve">37.0</w:t>
            </w:r>
          </w:p>
        </w:tc>
      </w:tr>
      <w:tr>
        <w:tc>
          <w:tcPr/>
          <w:p>
            <w:pPr>
              <w:pStyle w:val="Compact"/>
            </w:pPr>
            <w:r>
              <w:t xml:space="preserve">20–40 yr</w:t>
            </w:r>
          </w:p>
        </w:tc>
        <w:tc>
          <w:tcPr/>
          <w:p>
            <w:pPr>
              <w:pStyle w:val="Compact"/>
            </w:pPr>
            <w:r>
              <w:t xml:space="preserve">9,172</w:t>
            </w:r>
          </w:p>
        </w:tc>
        <w:tc>
          <w:tcPr/>
          <w:p>
            <w:pPr>
              <w:pStyle w:val="Compact"/>
            </w:pPr>
            <w:r>
              <w:t xml:space="preserve">−0.284</w:t>
            </w:r>
          </w:p>
        </w:tc>
        <w:tc>
          <w:tcPr/>
          <w:p>
            <w:pPr>
              <w:pStyle w:val="Compact"/>
            </w:pPr>
            <w:r>
              <w:t xml:space="preserve">0.045</w:t>
            </w:r>
          </w:p>
        </w:tc>
        <w:tc>
          <w:tcPr/>
          <w:p>
            <w:pPr>
              <w:pStyle w:val="Compact"/>
            </w:pPr>
            <w:r>
              <w:t xml:space="preserve">−0.330</w:t>
            </w:r>
          </w:p>
        </w:tc>
        <w:tc>
          <w:tcPr/>
          <w:p>
            <w:pPr>
              <w:pStyle w:val="Compact"/>
            </w:pPr>
            <w:r>
              <w:t xml:space="preserve">35.7</w:t>
            </w:r>
          </w:p>
        </w:tc>
      </w:tr>
      <w:tr>
        <w:tc>
          <w:tcPr/>
          <w:p>
            <w:pPr>
              <w:pStyle w:val="Compact"/>
            </w:pPr>
            <w:r>
              <w:t xml:space="preserve">40–60 yr</w:t>
            </w:r>
          </w:p>
        </w:tc>
        <w:tc>
          <w:tcPr/>
          <w:p>
            <w:pPr>
              <w:pStyle w:val="Compact"/>
            </w:pPr>
            <w:r>
              <w:t xml:space="preserve">6,812</w:t>
            </w:r>
          </w:p>
        </w:tc>
        <w:tc>
          <w:tcPr/>
          <w:p>
            <w:pPr>
              <w:pStyle w:val="Compact"/>
            </w:pPr>
            <w:r>
              <w:t xml:space="preserve">−0.509</w:t>
            </w:r>
          </w:p>
        </w:tc>
        <w:tc>
          <w:tcPr/>
          <w:p>
            <w:pPr>
              <w:pStyle w:val="Compact"/>
            </w:pPr>
            <w:r>
              <w:t xml:space="preserve">0.024</w:t>
            </w:r>
          </w:p>
        </w:tc>
        <w:tc>
          <w:tcPr/>
          <w:p>
            <w:pPr>
              <w:pStyle w:val="Compact"/>
            </w:pPr>
            <w:r>
              <w:t xml:space="preserve">−0.220</w:t>
            </w:r>
          </w:p>
        </w:tc>
        <w:tc>
          <w:tcPr/>
          <w:p>
            <w:pPr>
              <w:pStyle w:val="Compact"/>
            </w:pPr>
            <w:r>
              <w:t xml:space="preserve">37.2</w:t>
            </w:r>
          </w:p>
        </w:tc>
      </w:tr>
      <w:tr>
        <w:tc>
          <w:tcPr/>
          <w:p>
            <w:pPr>
              <w:pStyle w:val="Compact"/>
            </w:pPr>
            <w:r>
              <w:t xml:space="preserve">60–80 yr</w:t>
            </w:r>
          </w:p>
        </w:tc>
        <w:tc>
          <w:tcPr/>
          <w:p>
            <w:pPr>
              <w:pStyle w:val="Compact"/>
            </w:pPr>
            <w:r>
              <w:t xml:space="preserve">6,388</w:t>
            </w:r>
          </w:p>
        </w:tc>
        <w:tc>
          <w:tcPr/>
          <w:p>
            <w:pPr>
              <w:pStyle w:val="Compact"/>
            </w:pPr>
            <w:r>
              <w:t xml:space="preserve">−0.569</w:t>
            </w:r>
          </w:p>
        </w:tc>
        <w:tc>
          <w:tcPr/>
          <w:p>
            <w:pPr>
              <w:pStyle w:val="Compact"/>
            </w:pPr>
            <w:r>
              <w:t xml:space="preserve">0.013</w:t>
            </w:r>
          </w:p>
        </w:tc>
        <w:tc>
          <w:tcPr/>
          <w:p>
            <w:pPr>
              <w:pStyle w:val="Compact"/>
            </w:pPr>
            <w:r>
              <w:t xml:space="preserve">−0.132</w:t>
            </w:r>
          </w:p>
        </w:tc>
        <w:tc>
          <w:tcPr/>
          <w:p>
            <w:pPr>
              <w:pStyle w:val="Compact"/>
            </w:pPr>
            <w:r>
              <w:t xml:space="preserve">37.9</w:t>
            </w:r>
          </w:p>
        </w:tc>
      </w:tr>
      <w:tr>
        <w:tc>
          <w:tcPr/>
          <w:p>
            <w:pPr>
              <w:pStyle w:val="Compact"/>
            </w:pPr>
            <w:r>
              <w:t xml:space="preserve">80–120 yr</w:t>
            </w:r>
          </w:p>
        </w:tc>
        <w:tc>
          <w:tcPr/>
          <w:p>
            <w:pPr>
              <w:pStyle w:val="Compact"/>
            </w:pPr>
            <w:r>
              <w:t xml:space="preserve">13,764</w:t>
            </w:r>
          </w:p>
        </w:tc>
        <w:tc>
          <w:tcPr/>
          <w:p>
            <w:pPr>
              <w:pStyle w:val="Compact"/>
            </w:pPr>
            <w:r>
              <w:t xml:space="preserve">−0.411</w:t>
            </w:r>
          </w:p>
        </w:tc>
        <w:tc>
          <w:tcPr/>
          <w:p>
            <w:pPr>
              <w:pStyle w:val="Compact"/>
            </w:pPr>
            <w:r>
              <w:t xml:space="preserve">−0.123</w:t>
            </w:r>
          </w:p>
        </w:tc>
        <w:tc>
          <w:tcPr/>
          <w:p>
            <w:pPr>
              <w:pStyle w:val="Compact"/>
            </w:pPr>
            <w:r>
              <w:t xml:space="preserve">−0.039</w:t>
            </w:r>
          </w:p>
        </w:tc>
        <w:tc>
          <w:tcPr/>
          <w:p>
            <w:pPr>
              <w:pStyle w:val="Compact"/>
            </w:pPr>
            <w:r>
              <w:t xml:space="preserve">36.4</w:t>
            </w:r>
          </w:p>
        </w:tc>
      </w:tr>
      <w:tr>
        <w:tc>
          <w:tcPr/>
          <w:p>
            <w:pPr>
              <w:pStyle w:val="Compact"/>
            </w:pPr>
            <w:r>
              <w:rPr>
                <w:b/>
                <w:bCs/>
              </w:rPr>
              <w:t xml:space="preserve">120+ yr</w:t>
            </w:r>
          </w:p>
        </w:tc>
        <w:tc>
          <w:tcPr/>
          <w:p>
            <w:pPr>
              <w:pStyle w:val="Compact"/>
            </w:pPr>
            <w:r>
              <w:rPr>
                <w:b/>
                <w:bCs/>
              </w:rPr>
              <w:t xml:space="preserve">10,906</w:t>
            </w:r>
          </w:p>
        </w:tc>
        <w:tc>
          <w:tcPr/>
          <w:p>
            <w:pPr>
              <w:pStyle w:val="Compact"/>
            </w:pPr>
            <w:r>
              <w:rPr>
                <w:b/>
                <w:bCs/>
              </w:rPr>
              <w:t xml:space="preserve">+0.328</w:t>
            </w:r>
          </w:p>
        </w:tc>
        <w:tc>
          <w:tcPr/>
          <w:p>
            <w:pPr>
              <w:pStyle w:val="Compact"/>
            </w:pPr>
            <w:r>
              <w:t xml:space="preserve">−0.103</w:t>
            </w:r>
          </w:p>
        </w:tc>
        <w:tc>
          <w:tcPr/>
          <w:p>
            <w:pPr>
              <w:pStyle w:val="Compact"/>
            </w:pPr>
            <w:r>
              <w:t xml:space="preserve">+0.179</w:t>
            </w:r>
          </w:p>
        </w:tc>
        <w:tc>
          <w:tcPr/>
          <w:p>
            <w:pPr>
              <w:pStyle w:val="Compact"/>
            </w:pPr>
            <w:r>
              <w:t xml:space="preserve">33.0</w:t>
            </w:r>
          </w:p>
        </w:tc>
      </w:tr>
    </w:tbl>
    <w:p>
      <w:pPr>
        <w:pStyle w:val="BodyText"/>
      </w:pPr>
      <w:r>
        <w:t xml:space="preserve">The ESI–BGI correlation is strongly negative in stands younger than 120 years (range −0.28 to −0.57) and flips to strongly positive (+0.33) in old-growth stands. The interpretation: in young and middle-age stands, plots with tall trees for their age (high ESI) are not the plots actively accumulating biomass fastest (high BGI); these are mature plots that have already done their fast-growth phase. In old-growth stands, plots with the tallest dominant trees are also the plots that maintained high biomass-growth rates — the productive sites that stayed productive into old age. The sign flip is a phenomenological signature of the transition from age-driven to site-driven productivity rankings.</w:t>
      </w:r>
    </w:p>
    <w:p>
      <w:pPr>
        <w:pStyle w:val="BodyText"/>
      </w:pPr>
      <w:r>
        <w:t xml:space="preserve">This sign-flip is critical for the multi-dimensional argument: a productivity surface trained on a single stand-age class will not generalize to other stand-age classes. Studies that use site index across a wide stand-age range are absorbing this sign-flip into the regression residuals without seeing it.</w:t>
      </w:r>
    </w:p>
    <w:bookmarkEnd w:id="33"/>
    <w:bookmarkStart w:id="34"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34"/>
    <w:bookmarkStart w:id="35"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prediction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equal-weight composite is therefore retained as the operational default for the v2.0.0 release; multi-level ecoregion-weighted composite families are a candidate for the v3.0.0 release where the +0.015 R² combined gain is application-meaningful. Hierarchical shrinkage of the Level III weights toward Level I/II parent means stabilizes the small-region weights at minor expense in pooled predictive accuracy.</w:t>
      </w:r>
    </w:p>
    <w:bookmarkEnd w:id="35"/>
    <w:bookmarkStart w:id="36"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36"/>
    <w:bookmarkStart w:id="37"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37"/>
    <w:bookmarkStart w:id="38"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8"/>
    <w:bookmarkStart w:id="39"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9"/>
    <w:bookmarkEnd w:id="40"/>
    <w:bookmarkStart w:id="50" w:name="discussion"/>
    <w:p>
      <w:pPr>
        <w:pStyle w:val="Heading2"/>
      </w:pPr>
      <w:r>
        <w:t xml:space="preserve">4. Discussion</w:t>
      </w:r>
    </w:p>
    <w:bookmarkStart w:id="41"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41"/>
    <w:bookmarkStart w:id="42"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42"/>
    <w:bookmarkStart w:id="43"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43"/>
    <w:bookmarkStart w:id="44" w:name="stand-age-sign-flip"/>
    <w:p>
      <w:pPr>
        <w:pStyle w:val="Heading3"/>
      </w:pPr>
      <w:r>
        <w:t xml:space="preserve">4.4 Stand-age sign flip</w:t>
      </w:r>
    </w:p>
    <w:p>
      <w:pPr>
        <w:pStyle w:val="FirstParagraph"/>
      </w:pPr>
      <w:r>
        <w:t xml:space="preserve">The ESI–BGI sign flip at 120 years (Table 4) is a second layer of the multi-dimensional argument. In stands younger than the sign-flip threshold, the productive sites are not the fastest-growing right now because they have already reached a height-growth plateau. In old-growth stands, the productive sites are the fastest-growing because they sustained productivity into old age. The implications:</w:t>
      </w:r>
    </w:p>
    <w:p>
      <w:pPr>
        <w:pStyle w:val="BodyText"/>
      </w:pPr>
      <w:r>
        <w:t xml:space="preserve">A productivity surface trained only on young stands will mis-rank old-growth plots, and vice versa.</w:t>
      </w:r>
    </w:p>
    <w:p>
      <w:pPr>
        <w:pStyle w:val="BodyText"/>
      </w:pPr>
      <w:r>
        <w:t xml:space="preserve">A single productivity surface trained pooled across all stand ages will absorb the sign-flip into a flat mean, and the resulting surface will be wrong in opposite directions in young vs old stands.</w:t>
      </w:r>
    </w:p>
    <w:p>
      <w:pPr>
        <w:pStyle w:val="BodyText"/>
      </w:pPr>
      <w:r>
        <w:t xml:space="preserve">The multi-dimensional reading, in contrast, names what is happening: site index captures one productivity dimension (long-window height potential), biomass growth captures another (recent annual increment), and the relationship between them is age-dependent. The composite reading handles this correctly.</w:t>
      </w:r>
    </w:p>
    <w:bookmarkEnd w:id="44"/>
    <w:bookmarkStart w:id="45"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45"/>
    <w:bookmarkStart w:id="46"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46"/>
    <w:bookmarkStart w:id="47"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47"/>
    <w:bookmarkStart w:id="48"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ESI to BGI stand-age sign flip (§3.7, Table 4): correlation = −0.57 at 60 to 80 yr stands, +0.33 at 120+ yr stands. The sign flip is a property of the relationship between two productivity measures (height growth potential and biomass increment) and does not involve SICOND.</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48"/>
    <w:bookmarkStart w:id="49"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49"/>
    <w:bookmarkEnd w:id="50"/>
    <w:bookmarkStart w:id="51" w:name="conclusions"/>
    <w:p>
      <w:pPr>
        <w:pStyle w:val="Heading2"/>
      </w:pPr>
      <w:r>
        <w:t xml:space="preserve">5. Conclusions</w:t>
      </w:r>
    </w:p>
    <w:p>
      <w:pPr>
        <w:pStyle w:val="FirstParagraph"/>
      </w:pPr>
      <w:r>
        <w:t xml:space="preserve">Forest site productivity is empirically multi-dimensional. Four productivity measures at the CONUS scale (site index, biomass growth increment, asymptotic biomass, net primary production) carry overlapping but not redundant information. No measure is fully recoverable from the others (cross-prediction OOB R² ranges 0.70–0.89). The traditional linear treatment of site index as a single covariate captures only one-quarter of the multi-dimensional information available.</w:t>
      </w:r>
    </w:p>
    <w:p>
      <w:pPr>
        <w:pStyle w:val="BodyText"/>
      </w:pPr>
      <w:r>
        <w:t xml:space="preserve">FIA’s own site productivity classification (SITECLCD) aligns with biomass growth and with a 3-component composite (ESI + BGI + Asym), not with site index alone. The FIA-computed site index (SICOND) appears in raw pooled data to correlate strongly with biomass growth (r = +0.74) and essentially not at all with our unified-target ESI (r = −0.08), but this is a base-age Simpson’s paradox: after standardizing SICOND to a common base age of 50 yr via anamorphic Chapman-Richards projection, SICOND correlates with both BGI and ESI at moderate magnitudes (r = +0.45 and +0.48 respectively), and a methodologically clean GADA-refit site index correlates with ESI v7 at r = +0.66 and with BGI at r = +0.43, confirming that the orthogonality reading was an artifact rather than a structural finding. The traditional FIA SICOND carries mixed information about both productivity dimensions at moderate magnitude.</w:t>
      </w:r>
    </w:p>
    <w:p>
      <w:pPr>
        <w:pStyle w:val="BodyText"/>
      </w:pPr>
      <w:r>
        <w:t xml:space="preserve">The relationships among the four measures depend strongly on stand age (the ESI–BGI correlation flips sign at 120 years), on species (range −0.02 to +0.53 across major species), on forest type group, and on the eastern hardwood vs western conifer regime. Single-metric productivity studies absorb this structural variability into the response variable without seeing it.</w:t>
      </w:r>
    </w:p>
    <w:p>
      <w:pPr>
        <w:pStyle w:val="BodyText"/>
      </w:pPr>
      <w:r>
        <w:t xml:space="preserve">We release a 3-component Composite Site Productivity Index (CSPI v2; ESI + BGI + Asym, equal weight z-score average) at 30 m as one operationalization of the multi-dimensional view, alongside the four component layers and FIA SICOND as standalone citable products so that downstream users can decompose the composite or use the measure that fits their application. The deposit is at Zenodo concept DOI 10.5281/zenodo.20515034, version 2.0.0 at 10.5281/zenodo.20663652. The v2.0.0 release ships the lightweight 1 km surface and supporting documentation; the 30 m surfaces will follow in v2.1.0 after Zenodo quota approval.</w:t>
      </w:r>
    </w:p>
    <w:bookmarkEnd w:id="51"/>
    <w:bookmarkStart w:id="52"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2"/>
    <w:bookmarkStart w:id="53" w:name="declaration-of-competing-interests-1"/>
    <w:p>
      <w:pPr>
        <w:pStyle w:val="Heading2"/>
      </w:pPr>
      <w:r>
        <w:t xml:space="preserve">5.6 Declaration of competing interests</w:t>
      </w:r>
    </w:p>
    <w:p>
      <w:pPr>
        <w:pStyle w:val="FirstParagraph"/>
      </w:pPr>
      <w:r>
        <w:t xml:space="preserve">The author declares no competing interests.</w:t>
      </w:r>
    </w:p>
    <w:bookmarkEnd w:id="53"/>
    <w:bookmarkStart w:id="54" w:name="declaration-of-generative-ai-use-1"/>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4"/>
    <w:bookmarkStart w:id="55" w:name="acknowledgments"/>
    <w:p>
      <w:pPr>
        <w:pStyle w:val="Heading2"/>
      </w:pPr>
      <w:r>
        <w:t xml:space="preserve">6. Acknowledgments</w:t>
      </w:r>
    </w:p>
    <w:p>
      <w:pPr>
        <w:pStyle w:val="FirstParagraph"/>
      </w:pPr>
      <w:r>
        <w:t xml:space="preserve">This work was supported by the USDA National Institute of Food and Agriculture, McIntire-Stennis Forestry Research Program (Maine Agricultural and Forest Experiment Station), with supplemental support from the University of Maine Center for Research on Sustainable Forests. [PLACEHOLDER: confirm specific NIFA McIntire-Stennis project number.] The unified North America site index compilation that supplies the response variable is being developed under a separate methods note in preparation. Computation was performed on the Ohio Supercomputer Center Cardinal cluster under allocation PUOM0008.</w:t>
      </w:r>
    </w:p>
    <w:bookmarkEnd w:id="55"/>
    <w:bookmarkStart w:id="56" w:name="data-and-code-availability"/>
    <w:p>
      <w:pPr>
        <w:pStyle w:val="Heading2"/>
      </w:pPr>
      <w:r>
        <w:t xml:space="preserve">7. Data and code availability</w:t>
      </w:r>
    </w:p>
    <w:p>
      <w:pPr>
        <w:pStyle w:val="FirstParagraph"/>
      </w:pPr>
      <w:r>
        <w:t xml:space="preserve">CSPI v2.0.0 is at 10.5281/zenodo.20663652 (concept 10.5281/zenodo.20515034), CC-BY-4.0. The release contains the recommended 1 km ESI v6 surface, MOD17A3HGF NPP at 500 m, and documentation; the full 30 m surfaces follow in v2.1.0. The SICOND-target v3 and v4 surfaces from v1.0.0 (10.5281/zenodo.20515035) remain available. Pipeline at https://github.com/holoros/fvs-conus.</w:t>
      </w:r>
    </w:p>
    <w:bookmarkEnd w:id="56"/>
    <w:bookmarkStart w:id="57"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[REVIEWER VERIFY DOI] Westfall, J. A., Coulston, J. W., Gray, A. N., Shaw, J. D., Radtke, P. J., Walker, D. M., Weiskittel, A. R., MacFarlane, D. W., Affleck, D. L. R., Zhao, D. (2023). National Scale Volume and Biomass Estimators (NSVB) for tree species in the United States. USDA Forest Service Forest Inventory and Analysis Program. Released 30 September 2023, replaces the Component Ratio Method for FIA tree-level biomass estimation.</w:t>
      </w:r>
    </w:p>
    <w:p>
      <w:pPr>
        <w:pStyle w:val="BodyText"/>
      </w:pPr>
      <w:r>
        <w:t xml:space="preserve">[REVIEWER VERIFY full citation] (2024). Modeling regional forest site productivity accounting spatial structure in climatic and edaphic variables. Forest Ecology and Management (in press). The closest analog in the recent literature to our multi-scale productivity argument; uses random forest with climate and soil covariates and demonstrates that regional spatial structure matters for site productivity estimation.</w:t>
      </w:r>
    </w:p>
    <w:p>
      <w:pPr>
        <w:pStyle w:val="BodyText"/>
      </w:pPr>
      <w:r>
        <w:t xml:space="preserve">[REVIEWER VERIFY full citation] Smith, J. E., et al. (2024). Site productivity and forest carbon stocks in the United States: analysis and implications for forest offset project planning.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57"/>
    <w:bookmarkEnd w:id="58"/>
    <w:bookmarkStart w:id="92" w:name="figures"/>
    <w:p>
      <w:pPr>
        <w:pStyle w:val="Heading1"/>
      </w:pPr>
      <w:r>
        <w:t xml:space="preserve">Figures</w:t>
      </w:r>
    </w:p>
    <w:p>
      <w:pPr>
        <w:pStyle w:val="CaptionedFigure"/>
      </w:pPr>
      <w:r>
        <w:drawing>
          <wp:inline>
            <wp:extent cx="3972593" cy="3611727"/>
            <wp:effectExtent b="0" l="0" r="0" t="0"/>
            <wp:docPr descr="Figure 1. Correlation heatmap of the four CSPI components." title="" id="60" name="Picture"/>
            <a:graphic>
              <a:graphicData uri="http://schemas.openxmlformats.org/drawingml/2006/picture">
                <pic:pic>
                  <pic:nvPicPr>
                    <pic:cNvPr descr="figures_v04/F1_cor_heatmap.png" id="61" name="Picture"/>
                    <pic:cNvPicPr>
                      <a:picLocks noChangeArrowheads="1" noChangeAspect="1"/>
                    </pic:cNvPicPr>
                  </pic:nvPicPr>
                  <pic:blipFill>
                    <a:blip r:embed="rId59"/>
                    <a:stretch>
                      <a:fillRect/>
                    </a:stretch>
                  </pic:blipFill>
                  <pic:spPr bwMode="auto">
                    <a:xfrm>
                      <a:off x="0" y="0"/>
                      <a:ext cx="3972593" cy="3611727"/>
                    </a:xfrm>
                    <a:prstGeom prst="rect">
                      <a:avLst/>
                    </a:prstGeom>
                    <a:noFill/>
                    <a:ln w="9525">
                      <a:noFill/>
                      <a:headEnd/>
                      <a:tailEnd/>
                    </a:ln>
                  </pic:spPr>
                </pic:pic>
              </a:graphicData>
            </a:graphic>
          </wp:inline>
        </w:drawing>
      </w:r>
    </w:p>
    <w:p>
      <w:pPr>
        <w:pStyle w:val="ImageCaption"/>
      </w:pPr>
      <w:r>
        <w:t xml:space="preserve">Figure 1. Correlation heatmap of the four CSPI components.</w:t>
      </w:r>
    </w:p>
    <w:p>
      <w:pPr>
        <w:pStyle w:val="CaptionedFigure"/>
      </w:pPr>
      <w:r>
        <w:drawing>
          <wp:inline>
            <wp:extent cx="5334000" cy="2756548"/>
            <wp:effectExtent b="0" l="0" r="0" t="0"/>
            <wp:docPr descr="Figure 2. Standardized component distributions." title="" id="63" name="Picture"/>
            <a:graphic>
              <a:graphicData uri="http://schemas.openxmlformats.org/drawingml/2006/picture">
                <pic:pic>
                  <pic:nvPicPr>
                    <pic:cNvPr descr="figures_v04/F2_component_ridges.png" id="64" name="Picture"/>
                    <pic:cNvPicPr>
                      <a:picLocks noChangeArrowheads="1" noChangeAspect="1"/>
                    </pic:cNvPicPr>
                  </pic:nvPicPr>
                  <pic:blipFill>
                    <a:blip r:embed="rId62"/>
                    <a:stretch>
                      <a:fillRect/>
                    </a:stretch>
                  </pic:blipFill>
                  <pic:spPr bwMode="auto">
                    <a:xfrm>
                      <a:off x="0" y="0"/>
                      <a:ext cx="5334000" cy="2756548"/>
                    </a:xfrm>
                    <a:prstGeom prst="rect">
                      <a:avLst/>
                    </a:prstGeom>
                    <a:noFill/>
                    <a:ln w="9525">
                      <a:noFill/>
                      <a:headEnd/>
                      <a:tailEnd/>
                    </a:ln>
                  </pic:spPr>
                </pic:pic>
              </a:graphicData>
            </a:graphic>
          </wp:inline>
        </w:drawing>
      </w:r>
    </w:p>
    <w:p>
      <w:pPr>
        <w:pStyle w:val="ImageCaption"/>
      </w:pPr>
      <w:r>
        <w:t xml:space="preserve">Figure 2. Standardized component distributions.</w:t>
      </w:r>
    </w:p>
    <w:p>
      <w:pPr>
        <w:pStyle w:val="CaptionedFigure"/>
      </w:pPr>
      <w:r>
        <w:drawing>
          <wp:inline>
            <wp:extent cx="5334000" cy="3371710"/>
            <wp:effectExtent b="0" l="0" r="0" t="0"/>
            <wp:docPr descr="Figure 3. Composite by latitude band." title="" id="66" name="Picture"/>
            <a:graphic>
              <a:graphicData uri="http://schemas.openxmlformats.org/drawingml/2006/picture">
                <pic:pic>
                  <pic:nvPicPr>
                    <pic:cNvPr descr="figures_v04/F3_composite_by_latband.png" id="67" name="Picture"/>
                    <pic:cNvPicPr>
                      <a:picLocks noChangeArrowheads="1" noChangeAspect="1"/>
                    </pic:cNvPicPr>
                  </pic:nvPicPr>
                  <pic:blipFill>
                    <a:blip r:embed="rId65"/>
                    <a:stretch>
                      <a:fillRect/>
                    </a:stretch>
                  </pic:blipFill>
                  <pic:spPr bwMode="auto">
                    <a:xfrm>
                      <a:off x="0" y="0"/>
                      <a:ext cx="5334000" cy="3371710"/>
                    </a:xfrm>
                    <a:prstGeom prst="rect">
                      <a:avLst/>
                    </a:prstGeom>
                    <a:noFill/>
                    <a:ln w="9525">
                      <a:noFill/>
                      <a:headEnd/>
                      <a:tailEnd/>
                    </a:ln>
                  </pic:spPr>
                </pic:pic>
              </a:graphicData>
            </a:graphic>
          </wp:inline>
        </w:drawing>
      </w:r>
    </w:p>
    <w:p>
      <w:pPr>
        <w:pStyle w:val="ImageCaption"/>
      </w:pPr>
      <w:r>
        <w:t xml:space="preserve">Figure 3. Composite by latitude band.</w:t>
      </w:r>
    </w:p>
    <w:p>
      <w:pPr>
        <w:pStyle w:val="CaptionedFigure"/>
      </w:pPr>
      <w:r>
        <w:drawing>
          <wp:inline>
            <wp:extent cx="5334000" cy="3065427"/>
            <wp:effectExtent b="0" l="0" r="0" t="0"/>
            <wp:docPr descr="Figure S6. CV R² across ESI versions (moved from main to supplementary per Reviewer 1 / self-review distillation pass)." title="" id="69" name="Picture"/>
            <a:graphic>
              <a:graphicData uri="http://schemas.openxmlformats.org/drawingml/2006/picture">
                <pic:pic>
                  <pic:nvPicPr>
                    <pic:cNvPr descr="figures_v04/F4_cv_bar_versions.png" id="70" name="Picture"/>
                    <pic:cNvPicPr>
                      <a:picLocks noChangeArrowheads="1" noChangeAspect="1"/>
                    </pic:cNvPicPr>
                  </pic:nvPicPr>
                  <pic:blipFill>
                    <a:blip r:embed="rId68"/>
                    <a:stretch>
                      <a:fillRect/>
                    </a:stretch>
                  </pic:blipFill>
                  <pic:spPr bwMode="auto">
                    <a:xfrm>
                      <a:off x="0" y="0"/>
                      <a:ext cx="5334000" cy="3065427"/>
                    </a:xfrm>
                    <a:prstGeom prst="rect">
                      <a:avLst/>
                    </a:prstGeom>
                    <a:noFill/>
                    <a:ln w="9525">
                      <a:noFill/>
                      <a:headEnd/>
                      <a:tailEnd/>
                    </a:ln>
                  </pic:spPr>
                </pic:pic>
              </a:graphicData>
            </a:graphic>
          </wp:inline>
        </w:drawing>
      </w:r>
    </w:p>
    <w:p>
      <w:pPr>
        <w:pStyle w:val="ImageCaption"/>
      </w:pPr>
      <w:r>
        <w:t xml:space="preserve">Figure S6. CV R² across ESI versions (moved from main to supplementary per Reviewer 1 / self-review distillation pass).</w:t>
      </w:r>
    </w:p>
    <w:p>
      <w:pPr>
        <w:pStyle w:val="CaptionedFigure"/>
      </w:pPr>
      <w:r>
        <w:drawing>
          <wp:inline>
            <wp:extent cx="5334000" cy="3371710"/>
            <wp:effectExtent b="0" l="0" r="0" t="0"/>
            <wp:docPr descr="Figure S7. Variable importance v7 vs v8 (moved from main to supplementary per distillation pass)." title="" id="72" name="Picture"/>
            <a:graphic>
              <a:graphicData uri="http://schemas.openxmlformats.org/drawingml/2006/picture">
                <pic:pic>
                  <pic:nvPicPr>
                    <pic:cNvPr descr="figures_v04/F5_variable_importance.png" id="73" name="Picture"/>
                    <pic:cNvPicPr>
                      <a:picLocks noChangeArrowheads="1" noChangeAspect="1"/>
                    </pic:cNvPicPr>
                  </pic:nvPicPr>
                  <pic:blipFill>
                    <a:blip r:embed="rId71"/>
                    <a:stretch>
                      <a:fillRect/>
                    </a:stretch>
                  </pic:blipFill>
                  <pic:spPr bwMode="auto">
                    <a:xfrm>
                      <a:off x="0" y="0"/>
                      <a:ext cx="5334000" cy="3371710"/>
                    </a:xfrm>
                    <a:prstGeom prst="rect">
                      <a:avLst/>
                    </a:prstGeom>
                    <a:noFill/>
                    <a:ln w="9525">
                      <a:noFill/>
                      <a:headEnd/>
                      <a:tailEnd/>
                    </a:ln>
                  </pic:spPr>
                </pic:pic>
              </a:graphicData>
            </a:graphic>
          </wp:inline>
        </w:drawing>
      </w:r>
    </w:p>
    <w:p>
      <w:pPr>
        <w:pStyle w:val="ImageCaption"/>
      </w:pPr>
      <w:r>
        <w:t xml:space="preserve">Figure S7. Variable importance v7 vs v8 (moved from main to supplementary per distillation pass).</w:t>
      </w:r>
    </w:p>
    <w:p>
      <w:pPr>
        <w:pStyle w:val="CaptionedFigure"/>
      </w:pPr>
      <w:r>
        <w:drawing>
          <wp:inline>
            <wp:extent cx="5334000" cy="4290560"/>
            <wp:effectExtent b="0" l="0" r="0" t="0"/>
            <wp:docPr descr="Figure 6. Components vs composite scatter." title="" id="75" name="Picture"/>
            <a:graphic>
              <a:graphicData uri="http://schemas.openxmlformats.org/drawingml/2006/picture">
                <pic:pic>
                  <pic:nvPicPr>
                    <pic:cNvPr descr="figures_v04/F6_component_vs_composite.png" id="76" name="Picture"/>
                    <pic:cNvPicPr>
                      <a:picLocks noChangeArrowheads="1" noChangeAspect="1"/>
                    </pic:cNvPicPr>
                  </pic:nvPicPr>
                  <pic:blipFill>
                    <a:blip r:embed="rId74"/>
                    <a:stretch>
                      <a:fillRect/>
                    </a:stretch>
                  </pic:blipFill>
                  <pic:spPr bwMode="auto">
                    <a:xfrm>
                      <a:off x="0" y="0"/>
                      <a:ext cx="5334000" cy="4290560"/>
                    </a:xfrm>
                    <a:prstGeom prst="rect">
                      <a:avLst/>
                    </a:prstGeom>
                    <a:noFill/>
                    <a:ln w="9525">
                      <a:noFill/>
                      <a:headEnd/>
                      <a:tailEnd/>
                    </a:ln>
                  </pic:spPr>
                </pic:pic>
              </a:graphicData>
            </a:graphic>
          </wp:inline>
        </w:drawing>
      </w:r>
    </w:p>
    <w:p>
      <w:pPr>
        <w:pStyle w:val="ImageCaption"/>
      </w:pPr>
      <w:r>
        <w:t xml:space="preserve">Figure 6. Components vs composite scatter.</w:t>
      </w:r>
    </w:p>
    <w:p>
      <w:pPr>
        <w:pStyle w:val="CaptionedFigure"/>
      </w:pPr>
      <w:r>
        <w:drawing>
          <wp:inline>
            <wp:extent cx="5334000" cy="3200399"/>
            <wp:effectExtent b="0" l="0" r="0" t="0"/>
            <wp:docPr descr="Figure 7. Wall-to-wall CSPI v2 3-component composite (ESI v7 + BGI + Asym) at 30 m, displayed at 1 km. z-score equal-weight average over CONUS, rescaled to 0-100. Pacific Northwest coastal forest band highest; southwestern interior margin lowest; southeastern coastal plain and central hardwood region intermediate." title="" id="78" name="Picture"/>
            <a:graphic>
              <a:graphicData uri="http://schemas.openxmlformats.org/drawingml/2006/picture">
                <pic:pic>
                  <pic:nvPicPr>
                    <pic:cNvPr descr="figures_v10/F7_cspi_v21_3c_map.png" id="79" name="Picture"/>
                    <pic:cNvPicPr>
                      <a:picLocks noChangeArrowheads="1" noChangeAspect="1"/>
                    </pic:cNvPicPr>
                  </pic:nvPicPr>
                  <pic:blipFill>
                    <a:blip r:embed="rId77"/>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7. Wall-to-wall CSPI v2 3-component composite (ESI v7 + BGI + Asym) at 30 m, displayed at 1 km. z-score equal-weight average over CONUS, rescaled to 0-100. Pacific Northwest coastal forest band highest; southwestern interior margin lowest; southeastern coastal plain and central hardwood region intermediate.</w:t>
      </w:r>
    </w:p>
    <w:p>
      <w:pPr>
        <w:pStyle w:val="CaptionedFigure"/>
      </w:pPr>
      <w:r>
        <w:drawing>
          <wp:inline>
            <wp:extent cx="5334000" cy="3065427"/>
            <wp:effectExtent b="0" l="0" r="0" t="0"/>
            <wp:docPr descr="Figure 8. Mean productivity measure by FIA SITECLCD class. Site index is essentially flat across the seven classes while biomass growth tracks the classification monotonically; the 3-component composite tracks the classification." title="" id="81" name="Picture"/>
            <a:graphic>
              <a:graphicData uri="http://schemas.openxmlformats.org/drawingml/2006/picture">
                <pic:pic>
                  <pic:nvPicPr>
                    <pic:cNvPr descr="figures_v10/F8_siteclcd_by_measure.png" id="82" name="Picture"/>
                    <pic:cNvPicPr>
                      <a:picLocks noChangeArrowheads="1" noChangeAspect="1"/>
                    </pic:cNvPicPr>
                  </pic:nvPicPr>
                  <pic:blipFill>
                    <a:blip r:embed="rId80"/>
                    <a:stretch>
                      <a:fillRect/>
                    </a:stretch>
                  </pic:blipFill>
                  <pic:spPr bwMode="auto">
                    <a:xfrm>
                      <a:off x="0" y="0"/>
                      <a:ext cx="5334000" cy="3065427"/>
                    </a:xfrm>
                    <a:prstGeom prst="rect">
                      <a:avLst/>
                    </a:prstGeom>
                    <a:noFill/>
                    <a:ln w="9525">
                      <a:noFill/>
                      <a:headEnd/>
                      <a:tailEnd/>
                    </a:ln>
                  </pic:spPr>
                </pic:pic>
              </a:graphicData>
            </a:graphic>
          </wp:inline>
        </w:drawing>
      </w:r>
    </w:p>
    <w:p>
      <w:pPr>
        <w:pStyle w:val="ImageCaption"/>
      </w:pPr>
      <w:r>
        <w:t xml:space="preserve">Figure 8. Mean productivity measure by FIA SITECLCD class. Site index is essentially flat across the seven classes while biomass growth tracks the classification monotonically; the 3-component composite tracks the classification.</w:t>
      </w:r>
    </w:p>
    <w:p>
      <w:pPr>
        <w:pStyle w:val="CaptionedFigure"/>
      </w:pPr>
      <w:r>
        <w:drawing>
          <wp:inline>
            <wp:extent cx="5334000" cy="3065427"/>
            <wp:effectExtent b="0" l="0" r="0" t="0"/>
            <wp:docPr descr="Figure 9. ESI-BGI correlation by stand age bin. The correlation is negative in young to middle-age stands and flips to positive in old growth, demonstrating that a productivity surface trained pooled across stand ages is wrong in opposite directions in young versus old stands." title="" id="84" name="Picture"/>
            <a:graphic>
              <a:graphicData uri="http://schemas.openxmlformats.org/drawingml/2006/picture">
                <pic:pic>
                  <pic:nvPicPr>
                    <pic:cNvPr descr="figures_v10/F9_stand_age_correlation.png" id="85" name="Picture"/>
                    <pic:cNvPicPr>
                      <a:picLocks noChangeArrowheads="1" noChangeAspect="1"/>
                    </pic:cNvPicPr>
                  </pic:nvPicPr>
                  <pic:blipFill>
                    <a:blip r:embed="rId83"/>
                    <a:stretch>
                      <a:fillRect/>
                    </a:stretch>
                  </pic:blipFill>
                  <pic:spPr bwMode="auto">
                    <a:xfrm>
                      <a:off x="0" y="0"/>
                      <a:ext cx="5334000" cy="3065427"/>
                    </a:xfrm>
                    <a:prstGeom prst="rect">
                      <a:avLst/>
                    </a:prstGeom>
                    <a:noFill/>
                    <a:ln w="9525">
                      <a:noFill/>
                      <a:headEnd/>
                      <a:tailEnd/>
                    </a:ln>
                  </pic:spPr>
                </pic:pic>
              </a:graphicData>
            </a:graphic>
          </wp:inline>
        </w:drawing>
      </w:r>
    </w:p>
    <w:p>
      <w:pPr>
        <w:pStyle w:val="ImageCaption"/>
      </w:pPr>
      <w:r>
        <w:t xml:space="preserve">Figure 9. ESI-BGI correlation by stand age bin. The correlation is negative in young to middle-age stands and flips to positive in old growth, demonstrating that a productivity surface trained pooled across stand ages is wrong in opposite directions in young versus old stands.</w:t>
      </w:r>
    </w:p>
    <w:p>
      <w:pPr>
        <w:pStyle w:val="CaptionedFigure"/>
      </w:pPr>
      <w:r>
        <w:drawing>
          <wp:inline>
            <wp:extent cx="5334000" cy="3677994"/>
            <wp:effectExtent b="0" l="0" r="0" t="0"/>
            <wp:docPr descr="Figure 10. ESI-BGI correlation by major species, ordered. The pooled correlation of -0.45 masks per-species variation from r = 0.028 (yellow-poplar) to r = 0.492 (Douglas-fir); a single national productivity ranking implicitly assumes one relationship across all species, but the data show the relationship differs by half an r unit." title="" id="87" name="Picture"/>
            <a:graphic>
              <a:graphicData uri="http://schemas.openxmlformats.org/drawingml/2006/picture">
                <pic:pic>
                  <pic:nvPicPr>
                    <pic:cNvPr descr="figures_v10/F10_per_species_ESI_BGI.png" id="88" name="Picture"/>
                    <pic:cNvPicPr>
                      <a:picLocks noChangeArrowheads="1" noChangeAspect="1"/>
                    </pic:cNvPicPr>
                  </pic:nvPicPr>
                  <pic:blipFill>
                    <a:blip r:embed="rId86"/>
                    <a:stretch>
                      <a:fillRect/>
                    </a:stretch>
                  </pic:blipFill>
                  <pic:spPr bwMode="auto">
                    <a:xfrm>
                      <a:off x="0" y="0"/>
                      <a:ext cx="5334000" cy="3677994"/>
                    </a:xfrm>
                    <a:prstGeom prst="rect">
                      <a:avLst/>
                    </a:prstGeom>
                    <a:noFill/>
                    <a:ln w="9525">
                      <a:noFill/>
                      <a:headEnd/>
                      <a:tailEnd/>
                    </a:ln>
                  </pic:spPr>
                </pic:pic>
              </a:graphicData>
            </a:graphic>
          </wp:inline>
        </w:drawing>
      </w:r>
    </w:p>
    <w:p>
      <w:pPr>
        <w:pStyle w:val="ImageCaption"/>
      </w:pPr>
      <w:r>
        <w:t xml:space="preserve">Figure 10. ESI-BGI correlation by major species, ordered. The pooled correlation of -0.45 masks per-species variation from r = 0.028 (yellow-poplar) to r = 0.492 (Douglas-fir); a single national productivity ranking implicitly assumes one relationship across all species, but the data show the relationship differs by half an r unit.</w:t>
      </w:r>
    </w:p>
    <w:p>
      <w:pPr>
        <w:pStyle w:val="CaptionedFigure"/>
      </w:pPr>
      <w:r>
        <w:drawing>
          <wp:inline>
            <wp:extent cx="5334000" cy="3200400"/>
            <wp:effectExtent b="0" l="0" r="0" t="0"/>
            <wp:docPr descr="Figure 11. Decision tree for choosing among ESI, BGI, Asym, NPP, and the CSPI v2 composite by application context. Each leaf box names the use case, the natural caveat, and a numerical anchor; the bottom panel summarizes three common failure modes of single-metric productivity studies (the SITECLCD ranking, the stand-age sign flip at 120 years, and species heterogeneity in the ESI-BGI correlation)." title="" id="90" name="Picture"/>
            <a:graphic>
              <a:graphicData uri="http://schemas.openxmlformats.org/drawingml/2006/picture">
                <pic:pic>
                  <pic:nvPicPr>
                    <pic:cNvPr descr="figures_v10/F11_decision_tree.png" id="91" name="Picture"/>
                    <pic:cNvPicPr>
                      <a:picLocks noChangeArrowheads="1" noChangeAspect="1"/>
                    </pic:cNvPicPr>
                  </pic:nvPicPr>
                  <pic:blipFill>
                    <a:blip r:embed="rId89"/>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11. Decision tree for choosing among ESI, BGI, Asym, NPP, and the CSPI v2 composite by application context. Each leaf box names the use case, the natural caveat, and a numerical anchor; the bottom panel summarizes three common failure modes of single-metric productivity studies (the SITECLCD ranking, the stand-age sign flip at 120 years, and species heterogeneity in the ESI-BGI correlation).</w:t>
      </w:r>
    </w:p>
    <w:bookmarkEnd w:id="92"/>
    <w:bookmarkStart w:id="106" w:name="supplementary-materials"/>
    <w:p>
      <w:pPr>
        <w:pStyle w:val="Heading1"/>
      </w:pPr>
      <w:r>
        <w:t xml:space="preserve">Supplementary Materials</w:t>
      </w:r>
    </w:p>
    <w:bookmarkStart w:id="93" w:name="X439046e068d6b3e882fe7309c4bf02434e8575f"/>
    <w:p>
      <w:pPr>
        <w:pStyle w:val="Heading2"/>
      </w:pPr>
      <w:r>
        <w:t xml:space="preserve">Composite Site Productivity Index (CSPI) v2.0.0 for the conterminous United States</w:t>
      </w:r>
    </w:p>
    <w:p>
      <w:pPr>
        <w:pStyle w:val="FirstParagraph"/>
      </w:pPr>
      <w:r>
        <w:t xml:space="preserve">Aaron R. Weiskittel</w:t>
      </w:r>
      <w:r>
        <w:br/>
      </w:r>
      <w:r>
        <w:t xml:space="preserve">University of Maine, Center for Research on Sustainable Forests</w:t>
      </w:r>
      <w:r>
        <w:br/>
      </w:r>
      <w:r>
        <w:t xml:space="preserve">ORCID: 0000-0003-2534-4478</w:t>
      </w:r>
    </w:p>
    <w:p>
      <w:r>
        <w:pict>
          <v:rect style="width:0;height:1.5pt" o:hralign="center" o:hrstd="t" o:hr="t"/>
        </w:pict>
      </w:r>
    </w:p>
    <w:bookmarkEnd w:id="93"/>
    <w:bookmarkStart w:id="94" w:name="table-s1.-predictor-covariates"/>
    <w:p>
      <w:pPr>
        <w:pStyle w:val="Heading2"/>
      </w:pPr>
      <w:r>
        <w:t xml:space="preserve">Table S1. Predictor covariates</w:t>
      </w:r>
    </w:p>
    <w:p>
      <w:pPr>
        <w:pStyle w:val="FirstParagraph"/>
      </w:pPr>
      <w:r>
        <w:t xml:space="preserve">The 25-covariate stack reported in the manuscript Section 2.2. Native resolution, source, and processing pipeline for each predictor.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Native res.</w:t>
            </w:r>
          </w:p>
        </w:tc>
        <w:tc>
          <w:tcPr/>
          <w:p>
            <w:pPr>
              <w:pStyle w:val="Compact"/>
            </w:pPr>
            <w:r>
              <w:t xml:space="preserve">Source</w:t>
            </w:r>
          </w:p>
        </w:tc>
        <w:tc>
          <w:tcPr/>
          <w:p>
            <w:pPr>
              <w:pStyle w:val="Compact"/>
            </w:pPr>
            <w:r>
              <w:t xml:space="preserve">Pipeline</w:t>
            </w:r>
          </w:p>
        </w:tc>
        <w:tc>
          <w:tcPr/>
          <w:p>
            <w:pPr>
              <w:pStyle w:val="Compact"/>
            </w:pPr>
            <w:r>
              <w:t xml:space="preserve">Units</w:t>
            </w:r>
          </w:p>
        </w:tc>
      </w:tr>
      <w:tr>
        <w:tc>
          <w:tcPr/>
          <w:p>
            <w:pPr>
              <w:pStyle w:val="Compact"/>
            </w:pPr>
            <w:r>
              <w:t xml:space="preserve">sand_0_5</w:t>
            </w:r>
          </w:p>
        </w:tc>
        <w:tc>
          <w:tcPr/>
          <w:p>
            <w:pPr>
              <w:pStyle w:val="Compact"/>
            </w:pPr>
            <w:r>
              <w:t xml:space="preserve">Sand fraction, 0–5 cm</w:t>
            </w:r>
          </w:p>
        </w:tc>
        <w:tc>
          <w:tcPr/>
          <w:p>
            <w:pPr>
              <w:pStyle w:val="Compact"/>
            </w:pPr>
            <w:r>
              <w:t xml:space="preserve">250 m</w:t>
            </w:r>
          </w:p>
        </w:tc>
        <w:tc>
          <w:tcPr/>
          <w:p>
            <w:pPr>
              <w:pStyle w:val="Compact"/>
            </w:pPr>
            <w:r>
              <w:t xml:space="preserve">SoilGrids 2.0</w:t>
            </w:r>
          </w:p>
        </w:tc>
        <w:tc>
          <w:tcPr/>
          <w:p>
            <w:pPr>
              <w:pStyle w:val="Compact"/>
            </w:pPr>
            <w:r>
              <w:t xml:space="preserve">Reprojected to EPSG:4326 30 m via gdalwarp bilinear</w:t>
            </w:r>
          </w:p>
        </w:tc>
        <w:tc>
          <w:tcPr/>
          <w:p>
            <w:pPr>
              <w:pStyle w:val="Compact"/>
            </w:pPr>
            <w:r>
              <w:t xml:space="preserve">%</w:t>
            </w:r>
          </w:p>
        </w:tc>
      </w:tr>
      <w:tr>
        <w:tc>
          <w:tcPr/>
          <w:p>
            <w:pPr>
              <w:pStyle w:val="Compact"/>
            </w:pPr>
            <w:r>
              <w:t xml:space="preserve">soc_0_5</w:t>
            </w:r>
          </w:p>
        </w:tc>
        <w:tc>
          <w:tcPr/>
          <w:p>
            <w:pPr>
              <w:pStyle w:val="Compact"/>
            </w:pPr>
            <w:r>
              <w:t xml:space="preserve">Soil organic carbon,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g kg⁻¹ × 10</w:t>
            </w:r>
          </w:p>
        </w:tc>
      </w:tr>
      <w:tr>
        <w:tc>
          <w:tcPr/>
          <w:p>
            <w:pPr>
              <w:pStyle w:val="Compact"/>
            </w:pPr>
            <w:r>
              <w:t xml:space="preserve">bdod_0_5</w:t>
            </w:r>
          </w:p>
        </w:tc>
        <w:tc>
          <w:tcPr/>
          <w:p>
            <w:pPr>
              <w:pStyle w:val="Compact"/>
            </w:pPr>
            <w:r>
              <w:t xml:space="preserve">Bulk density,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kg dm⁻³ × 100</w:t>
            </w:r>
          </w:p>
        </w:tc>
      </w:tr>
      <w:tr>
        <w:tc>
          <w:tcPr/>
          <w:p>
            <w:pPr>
              <w:pStyle w:val="Compact"/>
            </w:pPr>
            <w:r>
              <w:t xml:space="preserve">cec_0_5</w:t>
            </w:r>
          </w:p>
        </w:tc>
        <w:tc>
          <w:tcPr/>
          <w:p>
            <w:pPr>
              <w:pStyle w:val="Compact"/>
            </w:pPr>
            <w:r>
              <w:t xml:space="preserve">Cation exchange capacity,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mmol(c) kg⁻¹ × 10</w:t>
            </w:r>
          </w:p>
        </w:tc>
      </w:tr>
      <w:tr>
        <w:tc>
          <w:tcPr/>
          <w:p>
            <w:pPr>
              <w:pStyle w:val="Compact"/>
            </w:pPr>
            <w:r>
              <w:t xml:space="preserve">nitrogen_0_5</w:t>
            </w:r>
          </w:p>
        </w:tc>
        <w:tc>
          <w:tcPr/>
          <w:p>
            <w:pPr>
              <w:pStyle w:val="Compact"/>
            </w:pPr>
            <w:r>
              <w:t xml:space="preserve">Total nitrogen,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cg kg⁻¹</w:t>
            </w:r>
          </w:p>
        </w:tc>
      </w:tr>
      <w:tr>
        <w:tc>
          <w:tcPr/>
          <w:p>
            <w:pPr>
              <w:pStyle w:val="Compact"/>
            </w:pPr>
            <w:r>
              <w:t xml:space="preserve">phh2o_0_5</w:t>
            </w:r>
          </w:p>
        </w:tc>
        <w:tc>
          <w:tcPr/>
          <w:p>
            <w:pPr>
              <w:pStyle w:val="Compact"/>
            </w:pPr>
            <w:r>
              <w:t xml:space="preserve">pH in water,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 10</w:t>
            </w:r>
          </w:p>
        </w:tc>
      </w:tr>
      <w:tr>
        <w:tc>
          <w:tcPr/>
          <w:p>
            <w:pPr>
              <w:pStyle w:val="Compact"/>
            </w:pPr>
            <w:r>
              <w:t xml:space="preserve">elev</w:t>
            </w:r>
          </w:p>
        </w:tc>
        <w:tc>
          <w:tcPr/>
          <w:p>
            <w:pPr>
              <w:pStyle w:val="Compact"/>
            </w:pPr>
            <w:r>
              <w:t xml:space="preserve">Elevation</w:t>
            </w:r>
          </w:p>
        </w:tc>
        <w:tc>
          <w:tcPr/>
          <w:p>
            <w:pPr>
              <w:pStyle w:val="Compact"/>
            </w:pPr>
            <w:r>
              <w:t xml:space="preserve">30 m</w:t>
            </w:r>
          </w:p>
        </w:tc>
        <w:tc>
          <w:tcPr/>
          <w:p>
            <w:pPr>
              <w:pStyle w:val="Compact"/>
            </w:pPr>
            <w:r>
              <w:t xml:space="preserve">OpenTopography SRTMGL1 (Earthdata mirror)</w:t>
            </w:r>
          </w:p>
        </w:tc>
        <w:tc>
          <w:tcPr/>
          <w:p>
            <w:pPr>
              <w:pStyle w:val="Compact"/>
            </w:pPr>
            <w:r>
              <w:t xml:space="preserve">Reprojected to EPSG:4326 30 m via gdalwarp bilinear</w:t>
            </w:r>
          </w:p>
        </w:tc>
        <w:tc>
          <w:tcPr/>
          <w:p>
            <w:pPr>
              <w:pStyle w:val="Compact"/>
            </w:pPr>
            <w:r>
              <w:t xml:space="preserve">m</w:t>
            </w:r>
          </w:p>
        </w:tc>
      </w:tr>
      <w:tr>
        <w:tc>
          <w:tcPr/>
          <w:p>
            <w:pPr>
              <w:pStyle w:val="Compact"/>
            </w:pPr>
            <w:r>
              <w:t xml:space="preserve">slope</w:t>
            </w:r>
          </w:p>
        </w:tc>
        <w:tc>
          <w:tcPr/>
          <w:p>
            <w:pPr>
              <w:pStyle w:val="Compact"/>
            </w:pPr>
            <w:r>
              <w:t xml:space="preserve">Slope</w:t>
            </w:r>
          </w:p>
        </w:tc>
        <w:tc>
          <w:tcPr/>
          <w:p>
            <w:pPr>
              <w:pStyle w:val="Compact"/>
            </w:pPr>
            <w:r>
              <w:t xml:space="preserve">30 m</w:t>
            </w:r>
          </w:p>
        </w:tc>
        <w:tc>
          <w:tcPr/>
          <w:p>
            <w:pPr>
              <w:pStyle w:val="Compact"/>
            </w:pPr>
            <w:r>
              <w:t xml:space="preserve">Derived from elev (gdaldem slope)</w:t>
            </w:r>
          </w:p>
        </w:tc>
        <w:tc>
          <w:tcPr/>
          <w:p>
            <w:pPr>
              <w:pStyle w:val="Compact"/>
            </w:pPr>
            <w:r>
              <w:t xml:space="preserve">Same</w:t>
            </w:r>
          </w:p>
        </w:tc>
        <w:tc>
          <w:tcPr/>
          <w:p>
            <w:pPr>
              <w:pStyle w:val="Compact"/>
            </w:pPr>
            <w:r>
              <w:t xml:space="preserve">degrees</w:t>
            </w:r>
          </w:p>
        </w:tc>
      </w:tr>
      <w:tr>
        <w:tc>
          <w:tcPr/>
          <w:p>
            <w:pPr>
              <w:pStyle w:val="Compact"/>
            </w:pPr>
            <w:r>
              <w:t xml:space="preserve">aspect</w:t>
            </w:r>
          </w:p>
        </w:tc>
        <w:tc>
          <w:tcPr/>
          <w:p>
            <w:pPr>
              <w:pStyle w:val="Compact"/>
            </w:pPr>
            <w:r>
              <w:t xml:space="preserve">Aspect</w:t>
            </w:r>
          </w:p>
        </w:tc>
        <w:tc>
          <w:tcPr/>
          <w:p>
            <w:pPr>
              <w:pStyle w:val="Compact"/>
            </w:pPr>
            <w:r>
              <w:t xml:space="preserve">30 m</w:t>
            </w:r>
          </w:p>
        </w:tc>
        <w:tc>
          <w:tcPr/>
          <w:p>
            <w:pPr>
              <w:pStyle w:val="Compact"/>
            </w:pPr>
            <w:r>
              <w:t xml:space="preserve">Derived from elev (gdaldem aspect)</w:t>
            </w:r>
          </w:p>
        </w:tc>
        <w:tc>
          <w:tcPr/>
          <w:p>
            <w:pPr>
              <w:pStyle w:val="Compact"/>
            </w:pPr>
            <w:r>
              <w:t xml:space="preserve">Same</w:t>
            </w:r>
          </w:p>
        </w:tc>
        <w:tc>
          <w:tcPr/>
          <w:p>
            <w:pPr>
              <w:pStyle w:val="Compact"/>
            </w:pPr>
            <w:r>
              <w:t xml:space="preserve">degrees</w:t>
            </w:r>
          </w:p>
        </w:tc>
      </w:tr>
      <w:tr>
        <w:tc>
          <w:tcPr/>
          <w:p>
            <w:pPr>
              <w:pStyle w:val="Compact"/>
            </w:pPr>
            <w:r>
              <w:t xml:space="preserve">h_tc2000</w:t>
            </w:r>
          </w:p>
        </w:tc>
        <w:tc>
          <w:tcPr/>
          <w:p>
            <w:pPr>
              <w:pStyle w:val="Compact"/>
            </w:pPr>
            <w:r>
              <w:t xml:space="preserve">Tree cover, 2000</w:t>
            </w:r>
          </w:p>
        </w:tc>
        <w:tc>
          <w:tcPr/>
          <w:p>
            <w:pPr>
              <w:pStyle w:val="Compact"/>
            </w:pPr>
            <w:r>
              <w:t xml:space="preserve">30 m</w:t>
            </w:r>
          </w:p>
        </w:tc>
        <w:tc>
          <w:tcPr/>
          <w:p>
            <w:pPr>
              <w:pStyle w:val="Compact"/>
            </w:pPr>
            <w:r>
              <w:t xml:space="preserve">Hansen Global Forest Change v1.10</w:t>
            </w:r>
          </w:p>
        </w:tc>
        <w:tc>
          <w:tcPr/>
          <w:p>
            <w:pPr>
              <w:pStyle w:val="Compact"/>
            </w:pPr>
            <w:r>
              <w:t xml:space="preserve">Same</w:t>
            </w:r>
          </w:p>
        </w:tc>
        <w:tc>
          <w:tcPr/>
          <w:p>
            <w:pPr>
              <w:pStyle w:val="Compact"/>
            </w:pPr>
            <w:r>
              <w:t xml:space="preserve">%</w:t>
            </w:r>
          </w:p>
        </w:tc>
      </w:tr>
      <w:tr>
        <w:tc>
          <w:tcPr/>
          <w:p>
            <w:pPr>
              <w:pStyle w:val="Compact"/>
            </w:pPr>
            <w:r>
              <w:t xml:space="preserve">h_loss_10y</w:t>
            </w:r>
          </w:p>
        </w:tc>
        <w:tc>
          <w:tcPr/>
          <w:p>
            <w:pPr>
              <w:pStyle w:val="Compact"/>
            </w:pPr>
            <w:r>
              <w:t xml:space="preserve">Tree cover loss within 10 years</w:t>
            </w:r>
          </w:p>
        </w:tc>
        <w:tc>
          <w:tcPr/>
          <w:p>
            <w:pPr>
              <w:pStyle w:val="Compact"/>
            </w:pPr>
            <w:r>
              <w:t xml:space="preserve">30 m</w:t>
            </w:r>
          </w:p>
        </w:tc>
        <w:tc>
          <w:tcPr/>
          <w:p>
            <w:pPr>
              <w:pStyle w:val="Compact"/>
            </w:pPr>
            <w:r>
              <w:t xml:space="preserve">Hansen Global Forest Change v1.10</w:t>
            </w:r>
          </w:p>
        </w:tc>
        <w:tc>
          <w:tcPr/>
          <w:p>
            <w:pPr>
              <w:pStyle w:val="Compact"/>
            </w:pPr>
            <w:r>
              <w:t xml:space="preserve">Reclassified loss years 2014–2023</w:t>
            </w:r>
          </w:p>
        </w:tc>
        <w:tc>
          <w:tcPr/>
          <w:p>
            <w:pPr>
              <w:pStyle w:val="Compact"/>
            </w:pPr>
            <w:r>
              <w:t xml:space="preserve">0/1</w:t>
            </w:r>
          </w:p>
        </w:tc>
      </w:tr>
      <w:tr>
        <w:tc>
          <w:tcPr/>
          <w:p>
            <w:pPr>
              <w:pStyle w:val="Compact"/>
            </w:pPr>
            <w:r>
              <w:t xml:space="preserve">hli</w:t>
            </w:r>
          </w:p>
        </w:tc>
        <w:tc>
          <w:tcPr/>
          <w:p>
            <w:pPr>
              <w:pStyle w:val="Compact"/>
            </w:pPr>
            <w:r>
              <w:t xml:space="preserve">Heat load index</w:t>
            </w:r>
          </w:p>
        </w:tc>
        <w:tc>
          <w:tcPr/>
          <w:p>
            <w:pPr>
              <w:pStyle w:val="Compact"/>
            </w:pPr>
            <w:r>
              <w:t xml:space="preserve">derived</w:t>
            </w:r>
          </w:p>
        </w:tc>
        <w:tc>
          <w:tcPr/>
          <w:p>
            <w:pPr>
              <w:pStyle w:val="Compact"/>
            </w:pPr>
            <w:r>
              <w:t xml:space="preserve">McCune and Keon 2002 from slope, aspect</w:t>
            </w:r>
          </w:p>
        </w:tc>
        <w:tc>
          <w:tcPr/>
          <w:p>
            <w:pPr>
              <w:pStyle w:val="Compact"/>
            </w:pPr>
            <w:r>
              <w:t xml:space="preserve">Point-derived per pixel</w:t>
            </w:r>
          </w:p>
        </w:tc>
        <w:tc>
          <w:tcPr/>
          <w:p>
            <w:pPr>
              <w:pStyle w:val="Compact"/>
            </w:pPr>
            <w:r>
              <w:t xml:space="preserve">dimensionless</w:t>
            </w:r>
          </w:p>
        </w:tc>
      </w:tr>
      <w:tr>
        <w:tc>
          <w:tcPr/>
          <w:p>
            <w:pPr>
              <w:pStyle w:val="Compact"/>
            </w:pPr>
            <w:r>
              <w:t xml:space="preserve">north</w:t>
            </w:r>
          </w:p>
        </w:tc>
        <w:tc>
          <w:tcPr/>
          <w:p>
            <w:pPr>
              <w:pStyle w:val="Compact"/>
            </w:pPr>
            <w:r>
              <w:t xml:space="preserve">cos(aspect)</w:t>
            </w:r>
          </w:p>
        </w:tc>
        <w:tc>
          <w:tcPr/>
          <w:p>
            <w:pPr>
              <w:pStyle w:val="Compact"/>
            </w:pPr>
            <w:r>
              <w:t xml:space="preserve">derived</w:t>
            </w:r>
          </w:p>
        </w:tc>
        <w:tc>
          <w:tcPr/>
          <w:p>
            <w:pPr>
              <w:pStyle w:val="Compact"/>
            </w:pPr>
            <w:r>
              <w:t xml:space="preserve">Derived from aspect</w:t>
            </w:r>
          </w:p>
        </w:tc>
        <w:tc>
          <w:tcPr/>
          <w:p>
            <w:pPr>
              <w:pStyle w:val="Compact"/>
            </w:pPr>
            <w:r>
              <w:t xml:space="preserve">Point-derived</w:t>
            </w:r>
          </w:p>
        </w:tc>
        <w:tc>
          <w:tcPr/>
          <w:p>
            <w:pPr>
              <w:pStyle w:val="Compact"/>
            </w:pPr>
            <w:r>
              <w:t xml:space="preserve">[−1, 1]</w:t>
            </w:r>
          </w:p>
        </w:tc>
      </w:tr>
      <w:tr>
        <w:tc>
          <w:tcPr/>
          <w:p>
            <w:pPr>
              <w:pStyle w:val="Compact"/>
            </w:pPr>
            <w:r>
              <w:t xml:space="preserve">east</w:t>
            </w:r>
          </w:p>
        </w:tc>
        <w:tc>
          <w:tcPr/>
          <w:p>
            <w:pPr>
              <w:pStyle w:val="Compact"/>
            </w:pPr>
            <w:r>
              <w:t xml:space="preserve">sin(aspect)</w:t>
            </w:r>
          </w:p>
        </w:tc>
        <w:tc>
          <w:tcPr/>
          <w:p>
            <w:pPr>
              <w:pStyle w:val="Compact"/>
            </w:pPr>
            <w:r>
              <w:t xml:space="preserve">derived</w:t>
            </w:r>
          </w:p>
        </w:tc>
        <w:tc>
          <w:tcPr/>
          <w:p>
            <w:pPr>
              <w:pStyle w:val="Compact"/>
            </w:pPr>
            <w:r>
              <w:t xml:space="preserve">Derived from aspect</w:t>
            </w:r>
          </w:p>
        </w:tc>
        <w:tc>
          <w:tcPr/>
          <w:p>
            <w:pPr>
              <w:pStyle w:val="Compact"/>
            </w:pPr>
            <w:r>
              <w:t xml:space="preserve">Point-derived</w:t>
            </w:r>
          </w:p>
        </w:tc>
        <w:tc>
          <w:tcPr/>
          <w:p>
            <w:pPr>
              <w:pStyle w:val="Compact"/>
            </w:pPr>
            <w:r>
              <w:t xml:space="preserve">[−1, 1]</w:t>
            </w:r>
          </w:p>
        </w:tc>
      </w:tr>
      <w:tr>
        <w:tc>
          <w:tcPr/>
          <w:p>
            <w:pPr>
              <w:pStyle w:val="Compact"/>
            </w:pPr>
            <w:r>
              <w:t xml:space="preserve">elev_sq</w:t>
            </w:r>
          </w:p>
        </w:tc>
        <w:tc>
          <w:tcPr/>
          <w:p>
            <w:pPr>
              <w:pStyle w:val="Compact"/>
            </w:pPr>
            <w:r>
              <w:t xml:space="preserve">elev × elev</w:t>
            </w:r>
          </w:p>
        </w:tc>
        <w:tc>
          <w:tcPr/>
          <w:p>
            <w:pPr>
              <w:pStyle w:val="Compact"/>
            </w:pPr>
            <w:r>
              <w:t xml:space="preserve">derived</w:t>
            </w:r>
          </w:p>
        </w:tc>
        <w:tc>
          <w:tcPr/>
          <w:p>
            <w:pPr>
              <w:pStyle w:val="Compact"/>
            </w:pPr>
            <w:r>
              <w:t xml:space="preserve">Derived from elev</w:t>
            </w:r>
          </w:p>
        </w:tc>
        <w:tc>
          <w:tcPr/>
          <w:p>
            <w:pPr>
              <w:pStyle w:val="Compact"/>
            </w:pPr>
            <w:r>
              <w:t xml:space="preserve">Point-derived</w:t>
            </w:r>
          </w:p>
        </w:tc>
        <w:tc>
          <w:tcPr/>
          <w:p>
            <w:pPr>
              <w:pStyle w:val="Compact"/>
            </w:pPr>
            <w:r>
              <w:t xml:space="preserve">m²</w:t>
            </w:r>
          </w:p>
        </w:tc>
      </w:tr>
      <w:tr>
        <w:tc>
          <w:tcPr/>
          <w:p>
            <w:pPr>
              <w:pStyle w:val="Compact"/>
            </w:pPr>
            <w:r>
              <w:t xml:space="preserve">v6_distill</w:t>
            </w:r>
          </w:p>
        </w:tc>
        <w:tc>
          <w:tcPr/>
          <w:p>
            <w:pPr>
              <w:pStyle w:val="Compact"/>
            </w:pPr>
            <w:r>
              <w:t xml:space="preserve">ESI v6 1 km surface, bilinear-resampled</w:t>
            </w:r>
          </w:p>
        </w:tc>
        <w:tc>
          <w:tcPr/>
          <w:p>
            <w:pPr>
              <w:pStyle w:val="Compact"/>
            </w:pPr>
            <w:r>
              <w:t xml:space="preserve">1 km → 30 m</w:t>
            </w:r>
          </w:p>
        </w:tc>
        <w:tc>
          <w:tcPr/>
          <w:p>
            <w:pPr>
              <w:pStyle w:val="Compact"/>
            </w:pPr>
            <w:r>
              <w:t xml:space="preserve">This dataset</w:t>
            </w:r>
          </w:p>
        </w:tc>
        <w:tc>
          <w:tcPr/>
          <w:p>
            <w:pPr>
              <w:pStyle w:val="Compact"/>
            </w:pPr>
            <w:r>
              <w:t xml:space="preserve">Trained v6 surface extracted at each pixel</w:t>
            </w:r>
          </w:p>
        </w:tc>
        <w:tc>
          <w:tcPr/>
          <w:p>
            <w:pPr>
              <w:pStyle w:val="Compact"/>
            </w:pPr>
            <w:r>
              <w:t xml:space="preserve">m at base age 50</w:t>
            </w:r>
          </w:p>
        </w:tc>
      </w:tr>
      <w:tr>
        <w:tc>
          <w:tcPr/>
          <w:p>
            <w:pPr>
              <w:pStyle w:val="Compact"/>
            </w:pPr>
            <w:r>
              <w:t xml:space="preserve">ndvi</w:t>
            </w:r>
          </w:p>
        </w:tc>
        <w:tc>
          <w:tcPr/>
          <w:p>
            <w:pPr>
              <w:pStyle w:val="Compact"/>
            </w:pPr>
            <w:r>
              <w:t xml:space="preserve">Sentinel-2 NDVI, growing-season median 2021</w:t>
            </w:r>
          </w:p>
        </w:tc>
        <w:tc>
          <w:tcPr/>
          <w:p>
            <w:pPr>
              <w:pStyle w:val="Compact"/>
            </w:pPr>
            <w:r>
              <w:t xml:space="preserve">10 m → 1 km buffer mean</w:t>
            </w:r>
          </w:p>
        </w:tc>
        <w:tc>
          <w:tcPr/>
          <w:p>
            <w:pPr>
              <w:pStyle w:val="Compact"/>
            </w:pPr>
            <w:r>
              <w:t xml:space="preserve">ESA/Copernicus via GEE</w:t>
            </w:r>
          </w:p>
        </w:tc>
        <w:tc>
          <w:tcPr/>
          <w:p>
            <w:pPr>
              <w:pStyle w:val="Compact"/>
            </w:pPr>
            <w:r>
              <w:t xml:space="preserve">1 km buffer mean at plot per fuzz rule</w:t>
            </w:r>
          </w:p>
        </w:tc>
        <w:tc>
          <w:tcPr/>
          <w:p>
            <w:pPr>
              <w:pStyle w:val="Compact"/>
            </w:pPr>
            <w:r>
              <w:t xml:space="preserve">[0, 1]</w:t>
            </w:r>
          </w:p>
        </w:tc>
      </w:tr>
      <w:tr>
        <w:tc>
          <w:tcPr/>
          <w:p>
            <w:pPr>
              <w:pStyle w:val="Compact"/>
            </w:pPr>
            <w:r>
              <w:t xml:space="preserve">evi</w:t>
            </w:r>
          </w:p>
        </w:tc>
        <w:tc>
          <w:tcPr/>
          <w:p>
            <w:pPr>
              <w:pStyle w:val="Compact"/>
            </w:pPr>
            <w:r>
              <w:t xml:space="preserve">Sentinel-2 EVI, growing-season median 2021</w:t>
            </w:r>
          </w:p>
        </w:tc>
        <w:tc>
          <w:tcPr/>
          <w:p>
            <w:pPr>
              <w:pStyle w:val="Compact"/>
            </w:pPr>
            <w:r>
              <w:t xml:space="preserve">10 m → 1 km buffer mean</w:t>
            </w:r>
          </w:p>
        </w:tc>
        <w:tc>
          <w:tcPr/>
          <w:p>
            <w:pPr>
              <w:pStyle w:val="Compact"/>
            </w:pPr>
            <w:r>
              <w:t xml:space="preserve">ESA/Copernicus via GEE</w:t>
            </w:r>
          </w:p>
        </w:tc>
        <w:tc>
          <w:tcPr/>
          <w:p>
            <w:pPr>
              <w:pStyle w:val="Compact"/>
            </w:pPr>
            <w:r>
              <w:t xml:space="preserve">Same</w:t>
            </w:r>
          </w:p>
        </w:tc>
        <w:tc>
          <w:tcPr/>
          <w:p>
            <w:pPr>
              <w:pStyle w:val="Compact"/>
            </w:pPr>
            <w:r>
              <w:t xml:space="preserve">[0, 1]</w:t>
            </w:r>
          </w:p>
        </w:tc>
      </w:tr>
      <w:tr>
        <w:tc>
          <w:tcPr/>
          <w:p>
            <w:pPr>
              <w:pStyle w:val="Compact"/>
            </w:pPr>
            <w:r>
              <w:t xml:space="preserve">ndre</w:t>
            </w:r>
          </w:p>
        </w:tc>
        <w:tc>
          <w:tcPr/>
          <w:p>
            <w:pPr>
              <w:pStyle w:val="Compact"/>
            </w:pPr>
            <w:r>
              <w:t xml:space="preserve">Sentinel-2 NDRE, growing-season median 2021</w:t>
            </w:r>
          </w:p>
        </w:tc>
        <w:tc>
          <w:tcPr/>
          <w:p>
            <w:pPr>
              <w:pStyle w:val="Compact"/>
            </w:pPr>
            <w:r>
              <w:t xml:space="preserve">20 m → 1 km buffer mean</w:t>
            </w:r>
          </w:p>
        </w:tc>
        <w:tc>
          <w:tcPr/>
          <w:p>
            <w:pPr>
              <w:pStyle w:val="Compact"/>
            </w:pPr>
            <w:r>
              <w:t xml:space="preserve">ESA/Copernicus via GEE</w:t>
            </w:r>
          </w:p>
        </w:tc>
        <w:tc>
          <w:tcPr/>
          <w:p>
            <w:pPr>
              <w:pStyle w:val="Compact"/>
            </w:pPr>
            <w:r>
              <w:t xml:space="preserve">Same</w:t>
            </w:r>
          </w:p>
        </w:tc>
        <w:tc>
          <w:tcPr/>
          <w:p>
            <w:pPr>
              <w:pStyle w:val="Compact"/>
            </w:pPr>
            <w:r>
              <w:t xml:space="preserve">[0, 1]</w:t>
            </w:r>
          </w:p>
        </w:tc>
      </w:tr>
      <w:tr>
        <w:tc>
          <w:tcPr/>
          <w:p>
            <w:pPr>
              <w:pStyle w:val="Compact"/>
            </w:pPr>
            <w:r>
              <w:t xml:space="preserve">s2rep</w:t>
            </w:r>
          </w:p>
        </w:tc>
        <w:tc>
          <w:tcPr/>
          <w:p>
            <w:pPr>
              <w:pStyle w:val="Compact"/>
            </w:pPr>
            <w:r>
              <w:t xml:space="preserve">Sentinel-2 Red-Edge Position</w:t>
            </w:r>
          </w:p>
        </w:tc>
        <w:tc>
          <w:tcPr/>
          <w:p>
            <w:pPr>
              <w:pStyle w:val="Compact"/>
            </w:pPr>
            <w:r>
              <w:t xml:space="preserve">20 m → 1 km buffer mean</w:t>
            </w:r>
          </w:p>
        </w:tc>
        <w:tc>
          <w:tcPr/>
          <w:p>
            <w:pPr>
              <w:pStyle w:val="Compact"/>
            </w:pPr>
            <w:r>
              <w:t xml:space="preserve">ESA/Copernicus via GEE</w:t>
            </w:r>
          </w:p>
        </w:tc>
        <w:tc>
          <w:tcPr/>
          <w:p>
            <w:pPr>
              <w:pStyle w:val="Compact"/>
            </w:pPr>
            <w:r>
              <w:t xml:space="preserve">Same</w:t>
            </w:r>
          </w:p>
        </w:tc>
        <w:tc>
          <w:tcPr/>
          <w:p>
            <w:pPr>
              <w:pStyle w:val="Compact"/>
            </w:pPr>
            <w:r>
              <w:t xml:space="preserve">nm</w:t>
            </w:r>
          </w:p>
        </w:tc>
      </w:tr>
      <w:tr>
        <w:tc>
          <w:tcPr/>
          <w:p>
            <w:pPr>
              <w:pStyle w:val="Compact"/>
            </w:pPr>
            <w:r>
              <w:t xml:space="preserve">cire</w:t>
            </w:r>
          </w:p>
        </w:tc>
        <w:tc>
          <w:tcPr/>
          <w:p>
            <w:pPr>
              <w:pStyle w:val="Compact"/>
            </w:pPr>
            <w:r>
              <w:t xml:space="preserve">Sentinel-2 Red-Edge Chlorophyll Index</w:t>
            </w:r>
          </w:p>
        </w:tc>
        <w:tc>
          <w:tcPr/>
          <w:p>
            <w:pPr>
              <w:pStyle w:val="Compact"/>
            </w:pPr>
            <w:r>
              <w:t xml:space="preserve">20 m → 1 km buffer mean</w:t>
            </w:r>
          </w:p>
        </w:tc>
        <w:tc>
          <w:tcPr/>
          <w:p>
            <w:pPr>
              <w:pStyle w:val="Compact"/>
            </w:pPr>
            <w:r>
              <w:t xml:space="preserve">ESA/Copernicus via GEE</w:t>
            </w:r>
          </w:p>
        </w:tc>
        <w:tc>
          <w:tcPr/>
          <w:p>
            <w:pPr>
              <w:pStyle w:val="Compact"/>
            </w:pPr>
            <w:r>
              <w:t xml:space="preserve">Same</w:t>
            </w:r>
          </w:p>
        </w:tc>
        <w:tc>
          <w:tcPr/>
          <w:p>
            <w:pPr>
              <w:pStyle w:val="Compact"/>
            </w:pPr>
            <w:r>
              <w:t xml:space="preserve">dimensionless</w:t>
            </w:r>
          </w:p>
        </w:tc>
      </w:tr>
      <w:tr>
        <w:tc>
          <w:tcPr/>
          <w:p>
            <w:pPr>
              <w:pStyle w:val="Compact"/>
            </w:pPr>
            <w:r>
              <w:t xml:space="preserve">gpp_mean</w:t>
            </w:r>
          </w:p>
        </w:tc>
        <w:tc>
          <w:tcPr/>
          <w:p>
            <w:pPr>
              <w:pStyle w:val="Compact"/>
            </w:pPr>
            <w:r>
              <w:t xml:space="preserve">MOD17A3HGF GPP mean 2017–2023</w:t>
            </w:r>
          </w:p>
        </w:tc>
        <w:tc>
          <w:tcPr/>
          <w:p>
            <w:pPr>
              <w:pStyle w:val="Compact"/>
            </w:pPr>
            <w:r>
              <w:t xml:space="preserve">500 m → 1 km buffer mean</w:t>
            </w:r>
          </w:p>
        </w:tc>
        <w:tc>
          <w:tcPr/>
          <w:p>
            <w:pPr>
              <w:pStyle w:val="Compact"/>
            </w:pPr>
            <w:r>
              <w:t xml:space="preserve">NASA LP DAAC via GEE</w:t>
            </w:r>
          </w:p>
        </w:tc>
        <w:tc>
          <w:tcPr/>
          <w:p>
            <w:pPr>
              <w:pStyle w:val="Compact"/>
            </w:pPr>
            <w:r>
              <w:t xml:space="preserve">Same</w:t>
            </w:r>
          </w:p>
        </w:tc>
        <w:tc>
          <w:tcPr/>
          <w:p>
            <w:pPr>
              <w:pStyle w:val="Compact"/>
            </w:pPr>
            <w:r>
              <w:t xml:space="preserve">kg C m⁻² yr⁻¹</w:t>
            </w:r>
          </w:p>
        </w:tc>
      </w:tr>
      <w:tr>
        <w:tc>
          <w:tcPr/>
          <w:p>
            <w:pPr>
              <w:pStyle w:val="Compact"/>
            </w:pPr>
            <w:r>
              <w:t xml:space="preserve">npp_mean</w:t>
            </w:r>
          </w:p>
        </w:tc>
        <w:tc>
          <w:tcPr/>
          <w:p>
            <w:pPr>
              <w:pStyle w:val="Compact"/>
            </w:pPr>
            <w:r>
              <w:t xml:space="preserve">MOD17A3HGF NPP mean 2017–2023</w:t>
            </w:r>
          </w:p>
        </w:tc>
        <w:tc>
          <w:tcPr/>
          <w:p>
            <w:pPr>
              <w:pStyle w:val="Compact"/>
            </w:pPr>
            <w:r>
              <w:t xml:space="preserve">500 m → 1 km buffer mean</w:t>
            </w:r>
          </w:p>
        </w:tc>
        <w:tc>
          <w:tcPr/>
          <w:p>
            <w:pPr>
              <w:pStyle w:val="Compact"/>
            </w:pPr>
            <w:r>
              <w:t xml:space="preserve">NASA LP DAAC via GEE</w:t>
            </w:r>
          </w:p>
        </w:tc>
        <w:tc>
          <w:tcPr/>
          <w:p>
            <w:pPr>
              <w:pStyle w:val="Compact"/>
            </w:pPr>
            <w:r>
              <w:t xml:space="preserve">Same</w:t>
            </w:r>
          </w:p>
        </w:tc>
        <w:tc>
          <w:tcPr/>
          <w:p>
            <w:pPr>
              <w:pStyle w:val="Compact"/>
            </w:pPr>
            <w:r>
              <w:t xml:space="preserve">kg C m⁻² yr⁻¹</w:t>
            </w:r>
          </w:p>
        </w:tc>
      </w:tr>
      <w:tr>
        <w:tc>
          <w:tcPr/>
          <w:p>
            <w:pPr>
              <w:pStyle w:val="Compact"/>
            </w:pPr>
            <w:r>
              <w:t xml:space="preserve">gpp_cv</w:t>
            </w:r>
          </w:p>
        </w:tc>
        <w:tc>
          <w:tcPr/>
          <w:p>
            <w:pPr>
              <w:pStyle w:val="Compact"/>
            </w:pPr>
            <w:r>
              <w:t xml:space="preserve">MOD17A3HGF GPP CV 2017–2023</w:t>
            </w:r>
          </w:p>
        </w:tc>
        <w:tc>
          <w:tcPr/>
          <w:p>
            <w:pPr>
              <w:pStyle w:val="Compact"/>
            </w:pPr>
            <w:r>
              <w:t xml:space="preserve">500 m → 1 km buffer mean</w:t>
            </w:r>
          </w:p>
        </w:tc>
        <w:tc>
          <w:tcPr/>
          <w:p>
            <w:pPr>
              <w:pStyle w:val="Compact"/>
            </w:pPr>
            <w:r>
              <w:t xml:space="preserve">NASA LP DAAC via GEE</w:t>
            </w:r>
          </w:p>
        </w:tc>
        <w:tc>
          <w:tcPr/>
          <w:p>
            <w:pPr>
              <w:pStyle w:val="Compact"/>
            </w:pPr>
            <w:r>
              <w:t xml:space="preserve">Same</w:t>
            </w:r>
          </w:p>
        </w:tc>
        <w:tc>
          <w:tcPr/>
          <w:p>
            <w:pPr>
              <w:pStyle w:val="Compact"/>
            </w:pPr>
            <w:r>
              <w:t xml:space="preserve">dimensionless</w:t>
            </w:r>
          </w:p>
        </w:tc>
      </w:tr>
      <w:tr>
        <w:tc>
          <w:tcPr/>
          <w:p>
            <w:pPr>
              <w:pStyle w:val="Compact"/>
            </w:pPr>
            <w:r>
              <w:t xml:space="preserve">npp_cv</w:t>
            </w:r>
          </w:p>
        </w:tc>
        <w:tc>
          <w:tcPr/>
          <w:p>
            <w:pPr>
              <w:pStyle w:val="Compact"/>
            </w:pPr>
            <w:r>
              <w:t xml:space="preserve">MOD17A3HGF NPP CV 2017–2023</w:t>
            </w:r>
          </w:p>
        </w:tc>
        <w:tc>
          <w:tcPr/>
          <w:p>
            <w:pPr>
              <w:pStyle w:val="Compact"/>
            </w:pPr>
            <w:r>
              <w:t xml:space="preserve">500 m → 1 km buffer mean</w:t>
            </w:r>
          </w:p>
        </w:tc>
        <w:tc>
          <w:tcPr/>
          <w:p>
            <w:pPr>
              <w:pStyle w:val="Compact"/>
            </w:pPr>
            <w:r>
              <w:t xml:space="preserve">NASA LP DAAC via GEE</w:t>
            </w:r>
          </w:p>
        </w:tc>
        <w:tc>
          <w:tcPr/>
          <w:p>
            <w:pPr>
              <w:pStyle w:val="Compact"/>
            </w:pPr>
            <w:r>
              <w:t xml:space="preserve">Same</w:t>
            </w:r>
          </w:p>
        </w:tc>
        <w:tc>
          <w:tcPr/>
          <w:p>
            <w:pPr>
              <w:pStyle w:val="Compact"/>
            </w:pPr>
            <w:r>
              <w:t xml:space="preserve">dimensionless</w:t>
            </w:r>
          </w:p>
        </w:tc>
      </w:tr>
    </w:tbl>
    <w:p>
      <w:pPr>
        <w:pStyle w:val="BodyText"/>
      </w:pPr>
      <w:r>
        <w:t xml:space="preserve">ESI v5 uses the first 11 rows; ESI v6 adds 19 ClimateNA covariates (not listed; see CSPI v4 supplements at concept DOI 10.5281/zenodo.20515034); ESI v7 uses the first 16 rows; ESI v8 uses all 25 rows.</w:t>
      </w:r>
    </w:p>
    <w:p>
      <w:r>
        <w:pict>
          <v:rect style="width:0;height:1.5pt" o:hralign="center" o:hrstd="t" o:hr="t"/>
        </w:pict>
      </w:r>
    </w:p>
    <w:bookmarkEnd w:id="94"/>
    <w:bookmarkStart w:id="95" w:name="X2383b4cabd14e9ff0ac05669f15dac7f70c0ba4"/>
    <w:p>
      <w:pPr>
        <w:pStyle w:val="Heading2"/>
      </w:pPr>
      <w:r>
        <w:t xml:space="preserve">Table S2. Full v3–v8 performance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n train</w:t>
            </w:r>
          </w:p>
        </w:tc>
        <w:tc>
          <w:tcPr/>
          <w:p>
            <w:pPr>
              <w:pStyle w:val="Compact"/>
            </w:pPr>
            <w:r>
              <w:t xml:space="preserve">Predictors</w:t>
            </w:r>
          </w:p>
        </w:tc>
        <w:tc>
          <w:tcPr/>
          <w:p>
            <w:pPr>
              <w:pStyle w:val="Compact"/>
            </w:pPr>
            <w:r>
              <w:t xml:space="preserve">OOB R²</w:t>
            </w:r>
          </w:p>
        </w:tc>
        <w:tc>
          <w:tcPr/>
          <w:p>
            <w:pPr>
              <w:pStyle w:val="Compact"/>
            </w:pPr>
            <w:r>
              <w:t xml:space="preserve">OOB RMSE (m)</w:t>
            </w:r>
          </w:p>
        </w:tc>
        <w:tc>
          <w:tcPr/>
          <w:p>
            <w:pPr>
              <w:pStyle w:val="Compact"/>
            </w:pPr>
            <w:r>
              <w:t xml:space="preserve">Plot-blocked CV R²</w:t>
            </w:r>
          </w:p>
        </w:tc>
        <w:tc>
          <w:tcPr/>
          <w:p>
            <w:pPr>
              <w:pStyle w:val="Compact"/>
            </w:pPr>
            <w:r>
              <w:t xml:space="preserve">Spatial CV R² mean</w:t>
            </w:r>
          </w:p>
        </w:tc>
      </w:tr>
      <w:tr>
        <w:tc>
          <w:tcPr/>
          <w:p>
            <w:pPr>
              <w:pStyle w:val="Compact"/>
            </w:pPr>
            <w:r>
              <w:t xml:space="preserve">ESI v3 (SICOND target)</w:t>
            </w:r>
          </w:p>
        </w:tc>
        <w:tc>
          <w:tcPr/>
          <w:p>
            <w:pPr>
              <w:pStyle w:val="Compact"/>
            </w:pPr>
            <w:r>
              <w:t xml:space="preserve">58,475</w:t>
            </w:r>
          </w:p>
        </w:tc>
        <w:tc>
          <w:tcPr/>
          <w:p>
            <w:pPr>
              <w:pStyle w:val="Compact"/>
            </w:pPr>
            <w:r>
              <w:t xml:space="preserve">11 (soil + terrain + canopy)</w:t>
            </w:r>
          </w:p>
        </w:tc>
        <w:tc>
          <w:tcPr/>
          <w:p>
            <w:pPr>
              <w:pStyle w:val="Compact"/>
            </w:pPr>
            <w:r>
              <w:t xml:space="preserve">n/r*</w:t>
            </w:r>
          </w:p>
        </w:tc>
        <w:tc>
          <w:tcPr/>
          <w:p>
            <w:pPr>
              <w:pStyle w:val="Compact"/>
            </w:pPr>
            <w:r>
              <w:t xml:space="preserve">n/r</w:t>
            </w:r>
          </w:p>
        </w:tc>
        <w:tc>
          <w:tcPr/>
          <w:p>
            <w:pPr>
              <w:pStyle w:val="Compact"/>
            </w:pPr>
            <w:r>
              <w:t xml:space="preserve">0.602</w:t>
            </w:r>
          </w:p>
        </w:tc>
        <w:tc>
          <w:tcPr/>
          <w:p>
            <w:pPr>
              <w:pStyle w:val="Compact"/>
            </w:pPr>
            <w:r>
              <w:t xml:space="preserve">n/r</w:t>
            </w:r>
          </w:p>
        </w:tc>
      </w:tr>
      <w:tr>
        <w:tc>
          <w:tcPr/>
          <w:p>
            <w:pPr>
              <w:pStyle w:val="Compact"/>
            </w:pPr>
            <w:r>
              <w:t xml:space="preserve">ESI v4 (SICOND + climate)</w:t>
            </w:r>
          </w:p>
        </w:tc>
        <w:tc>
          <w:tcPr/>
          <w:p>
            <w:pPr>
              <w:pStyle w:val="Compact"/>
            </w:pPr>
            <w:r>
              <w:t xml:space="preserve">58,475</w:t>
            </w:r>
          </w:p>
        </w:tc>
        <w:tc>
          <w:tcPr/>
          <w:p>
            <w:pPr>
              <w:pStyle w:val="Compact"/>
            </w:pPr>
            <w:r>
              <w:t xml:space="preserve">11 + 33 ClimateNA</w:t>
            </w:r>
          </w:p>
        </w:tc>
        <w:tc>
          <w:tcPr/>
          <w:p>
            <w:pPr>
              <w:pStyle w:val="Compact"/>
            </w:pPr>
            <w:r>
              <w:t xml:space="preserve">n/r</w:t>
            </w:r>
          </w:p>
        </w:tc>
        <w:tc>
          <w:tcPr/>
          <w:p>
            <w:pPr>
              <w:pStyle w:val="Compact"/>
            </w:pPr>
            <w:r>
              <w:t xml:space="preserve">n/r</w:t>
            </w:r>
          </w:p>
        </w:tc>
        <w:tc>
          <w:tcPr/>
          <w:p>
            <w:pPr>
              <w:pStyle w:val="Compact"/>
            </w:pPr>
            <w:r>
              <w:t xml:space="preserve">0.660</w:t>
            </w:r>
          </w:p>
        </w:tc>
        <w:tc>
          <w:tcPr/>
          <w:p>
            <w:pPr>
              <w:pStyle w:val="Compact"/>
            </w:pPr>
            <w:r>
              <w:t xml:space="preserve">n/r</w:t>
            </w:r>
          </w:p>
        </w:tc>
      </w:tr>
      <w:tr>
        <w:tc>
          <w:tcPr/>
          <w:p>
            <w:pPr>
              <w:pStyle w:val="Compact"/>
            </w:pPr>
            <w:r>
              <w:t xml:space="preserve">ESI v5 (unified)</w:t>
            </w:r>
          </w:p>
        </w:tc>
        <w:tc>
          <w:tcPr/>
          <w:p>
            <w:pPr>
              <w:pStyle w:val="Compact"/>
            </w:pPr>
            <w:r>
              <w:t xml:space="preserve">66,428</w:t>
            </w:r>
          </w:p>
        </w:tc>
        <w:tc>
          <w:tcPr/>
          <w:p>
            <w:pPr>
              <w:pStyle w:val="Compact"/>
            </w:pPr>
            <w:r>
              <w:t xml:space="preserve">11</w:t>
            </w:r>
          </w:p>
        </w:tc>
        <w:tc>
          <w:tcPr/>
          <w:p>
            <w:pPr>
              <w:pStyle w:val="Compact"/>
            </w:pPr>
            <w:r>
              <w:t xml:space="preserve">0.678</w:t>
            </w:r>
          </w:p>
        </w:tc>
        <w:tc>
          <w:tcPr/>
          <w:p>
            <w:pPr>
              <w:pStyle w:val="Compact"/>
            </w:pPr>
            <w:r>
              <w:t xml:space="preserve">5.98</w:t>
            </w:r>
          </w:p>
        </w:tc>
        <w:tc>
          <w:tcPr/>
          <w:p>
            <w:pPr>
              <w:pStyle w:val="Compact"/>
            </w:pPr>
            <w:r>
              <w:t xml:space="preserve">0.664</w:t>
            </w:r>
          </w:p>
        </w:tc>
        <w:tc>
          <w:tcPr/>
          <w:p>
            <w:pPr>
              <w:pStyle w:val="Compact"/>
            </w:pPr>
            <w:r>
              <w:t xml:space="preserve">0.358</w:t>
            </w:r>
          </w:p>
        </w:tc>
      </w:tr>
      <w:tr>
        <w:tc>
          <w:tcPr/>
          <w:p>
            <w:pPr>
              <w:pStyle w:val="Compact"/>
            </w:pPr>
            <w:r>
              <w:t xml:space="preserve">ESI v6 (unified + clim 1km)</w:t>
            </w:r>
          </w:p>
        </w:tc>
        <w:tc>
          <w:tcPr/>
          <w:p>
            <w:pPr>
              <w:pStyle w:val="Compact"/>
            </w:pPr>
            <w:r>
              <w:t xml:space="preserve">87,710 (66 k dedup)</w:t>
            </w:r>
          </w:p>
        </w:tc>
        <w:tc>
          <w:tcPr/>
          <w:p>
            <w:pPr>
              <w:pStyle w:val="Compact"/>
            </w:pPr>
            <w:r>
              <w:t xml:space="preserve">11 + 19 ClimateNA</w:t>
            </w:r>
          </w:p>
        </w:tc>
        <w:tc>
          <w:tcPr/>
          <w:p>
            <w:pPr>
              <w:pStyle w:val="Compact"/>
            </w:pPr>
            <w:r>
              <w:t xml:space="preserve">n/r</w:t>
            </w:r>
          </w:p>
        </w:tc>
        <w:tc>
          <w:tcPr/>
          <w:p>
            <w:pPr>
              <w:pStyle w:val="Compact"/>
            </w:pPr>
            <w:r>
              <w:t xml:space="preserve">n/r</w:t>
            </w:r>
          </w:p>
        </w:tc>
        <w:tc>
          <w:tcPr/>
          <w:p>
            <w:pPr>
              <w:pStyle w:val="Compact"/>
            </w:pPr>
            <w:r>
              <w:t xml:space="preserve">0.699</w:t>
            </w:r>
          </w:p>
        </w:tc>
        <w:tc>
          <w:tcPr/>
          <w:p>
            <w:pPr>
              <w:pStyle w:val="Compact"/>
            </w:pPr>
            <w:r>
              <w:t xml:space="preserve">0.272</w:t>
            </w:r>
          </w:p>
        </w:tc>
      </w:tr>
      <w:tr>
        <w:tc>
          <w:tcPr/>
          <w:p>
            <w:pPr>
              <w:pStyle w:val="Compact"/>
            </w:pPr>
            <w:r>
              <w:rPr>
                <w:b/>
                <w:bCs/>
              </w:rPr>
              <w:t xml:space="preserve">ESI v7 (combined 30 m)</w:t>
            </w:r>
          </w:p>
        </w:tc>
        <w:tc>
          <w:tcPr/>
          <w:p>
            <w:pPr>
              <w:pStyle w:val="Compact"/>
            </w:pPr>
            <w:r>
              <w:t xml:space="preserve">66,428</w:t>
            </w:r>
          </w:p>
        </w:tc>
        <w:tc>
          <w:tcPr/>
          <w:p>
            <w:pPr>
              <w:pStyle w:val="Compact"/>
            </w:pPr>
            <w:r>
              <w:t xml:space="preserve">16 (v5 + microclimate + v6 distill)</w:t>
            </w:r>
          </w:p>
        </w:tc>
        <w:tc>
          <w:tcPr/>
          <w:p>
            <w:pPr>
              <w:pStyle w:val="Compact"/>
            </w:pPr>
            <w:r>
              <w:rPr>
                <w:b/>
                <w:bCs/>
              </w:rPr>
              <w:t xml:space="preserve">0.700</w:t>
            </w:r>
          </w:p>
        </w:tc>
        <w:tc>
          <w:tcPr/>
          <w:p>
            <w:pPr>
              <w:pStyle w:val="Compact"/>
            </w:pPr>
            <w:r>
              <w:rPr>
                <w:b/>
                <w:bCs/>
              </w:rPr>
              <w:t xml:space="preserve">5.79</w:t>
            </w:r>
          </w:p>
        </w:tc>
        <w:tc>
          <w:tcPr/>
          <w:p>
            <w:pPr>
              <w:pStyle w:val="Compact"/>
            </w:pPr>
            <w:r>
              <w:rPr>
                <w:b/>
                <w:bCs/>
              </w:rPr>
              <w:t xml:space="preserve">0.686</w:t>
            </w:r>
          </w:p>
        </w:tc>
        <w:tc>
          <w:tcPr/>
          <w:p>
            <w:pPr>
              <w:pStyle w:val="Compact"/>
            </w:pPr>
            <w:r>
              <w:rPr>
                <w:b/>
                <w:bCs/>
              </w:rPr>
              <w:t xml:space="preserve">0.427</w:t>
            </w:r>
          </w:p>
        </w:tc>
      </w:tr>
      <w:tr>
        <w:tc>
          <w:tcPr/>
          <w:p>
            <w:pPr>
              <w:pStyle w:val="Compact"/>
            </w:pPr>
            <w:r>
              <w:t xml:space="preserve">ESI v8 (v7 + RS)</w:t>
            </w:r>
          </w:p>
        </w:tc>
        <w:tc>
          <w:tcPr/>
          <w:p>
            <w:pPr>
              <w:pStyle w:val="Compact"/>
            </w:pPr>
            <w:r>
              <w:t xml:space="preserve">63,806</w:t>
            </w:r>
          </w:p>
        </w:tc>
        <w:tc>
          <w:tcPr/>
          <w:p>
            <w:pPr>
              <w:pStyle w:val="Compact"/>
            </w:pPr>
            <w:r>
              <w:t xml:space="preserve">25 (v7 + 5 S2 + 4 MOD17)</w:t>
            </w:r>
          </w:p>
        </w:tc>
        <w:tc>
          <w:tcPr/>
          <w:p>
            <w:pPr>
              <w:pStyle w:val="Compact"/>
            </w:pPr>
            <w:r>
              <w:t xml:space="preserve">0.702</w:t>
            </w:r>
          </w:p>
        </w:tc>
        <w:tc>
          <w:tcPr/>
          <w:p>
            <w:pPr>
              <w:pStyle w:val="Compact"/>
            </w:pPr>
            <w:r>
              <w:t xml:space="preserve">5.66</w:t>
            </w:r>
          </w:p>
        </w:tc>
        <w:tc>
          <w:tcPr/>
          <w:p>
            <w:pPr>
              <w:pStyle w:val="Compact"/>
            </w:pPr>
            <w:r>
              <w:t xml:space="preserve">0.688</w:t>
            </w:r>
          </w:p>
        </w:tc>
        <w:tc>
          <w:tcPr/>
          <w:p>
            <w:pPr>
              <w:pStyle w:val="Compact"/>
            </w:pPr>
            <w:r>
              <w:t xml:space="preserve">0.424</w:t>
            </w:r>
          </w:p>
        </w:tc>
      </w:tr>
    </w:tbl>
    <w:p>
      <w:pPr>
        <w:pStyle w:val="BodyText"/>
      </w:pPr>
      <w:r>
        <w:t xml:space="preserve">*Not reported in the original CSPI v3 paper. Numbers shown are the most directly comparable. v7 enters the composite as the ESI layer.</w:t>
      </w:r>
    </w:p>
    <w:p>
      <w:r>
        <w:pict>
          <v:rect style="width:0;height:1.5pt" o:hralign="center" o:hrstd="t" o:hr="t"/>
        </w:pict>
      </w:r>
    </w:p>
    <w:bookmarkEnd w:id="95"/>
    <w:bookmarkStart w:id="96" w:name="X1101e62b7bf46969046dcc50544d92939d9b923"/>
    <w:p>
      <w:pPr>
        <w:pStyle w:val="Heading2"/>
      </w:pPr>
      <w:r>
        <w:t xml:space="preserve">Table S3. Leave-one-component-out sensitivity for CSPI v2</w:t>
      </w:r>
    </w:p>
    <w:p>
      <w:pPr>
        <w:pStyle w:val="FirstParagraph"/>
      </w:pPr>
      <w:r>
        <w:t xml:space="preserve">At 66,433 complete-case FIA plots. LOCO composite = mean of remaining three z-scored components, sigma-clipped at ±3, rescaled to 0–100.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 dropped</w:t>
            </w:r>
          </w:p>
        </w:tc>
        <w:tc>
          <w:tcPr/>
          <w:p>
            <w:pPr>
              <w:pStyle w:val="Compact"/>
            </w:pPr>
            <w:r>
              <w:t xml:space="preserve">r vs full composite</w:t>
            </w:r>
          </w:p>
        </w:tc>
        <w:tc>
          <w:tcPr/>
          <w:p>
            <w:pPr>
              <w:pStyle w:val="Compact"/>
            </w:pPr>
            <w:r>
              <w:t xml:space="preserve">RMSE (0–100 units)</w:t>
            </w:r>
          </w:p>
        </w:tc>
        <w:tc>
          <w:tcPr/>
          <w:p>
            <w:pPr>
              <w:pStyle w:val="Compact"/>
            </w:pPr>
            <w:r>
              <w:t xml:space="preserve">Interpretation</w:t>
            </w:r>
          </w:p>
        </w:tc>
      </w:tr>
      <w:tr>
        <w:tc>
          <w:tcPr/>
          <w:p>
            <w:pPr>
              <w:pStyle w:val="Compact"/>
            </w:pPr>
            <w:r>
              <w:t xml:space="preserve">ESI</w:t>
            </w:r>
          </w:p>
        </w:tc>
        <w:tc>
          <w:tcPr/>
          <w:p>
            <w:pPr>
              <w:pStyle w:val="Compact"/>
            </w:pPr>
            <w:r>
              <w:t xml:space="preserve">0.774</w:t>
            </w:r>
          </w:p>
        </w:tc>
        <w:tc>
          <w:tcPr/>
          <w:p>
            <w:pPr>
              <w:pStyle w:val="Compact"/>
            </w:pPr>
            <w:r>
              <w:t xml:space="preserve">8.16</w:t>
            </w:r>
          </w:p>
        </w:tc>
        <w:tc>
          <w:tcPr/>
          <w:p>
            <w:pPr>
              <w:pStyle w:val="Compact"/>
            </w:pPr>
            <w:r>
              <w:t xml:space="preserve">Most sensitive to ESI by correlation (lowest r).</w:t>
            </w:r>
          </w:p>
        </w:tc>
      </w:tr>
      <w:tr>
        <w:tc>
          <w:tcPr/>
          <w:p>
            <w:pPr>
              <w:pStyle w:val="Compact"/>
            </w:pPr>
            <w:r>
              <w:t xml:space="preserve">BGI</w:t>
            </w:r>
          </w:p>
        </w:tc>
        <w:tc>
          <w:tcPr/>
          <w:p>
            <w:pPr>
              <w:pStyle w:val="Compact"/>
            </w:pPr>
            <w:r>
              <w:t xml:space="preserve">0.797</w:t>
            </w:r>
          </w:p>
        </w:tc>
        <w:tc>
          <w:tcPr/>
          <w:p>
            <w:pPr>
              <w:pStyle w:val="Compact"/>
            </w:pPr>
            <w:r>
              <w:t xml:space="preserve">8.97</w:t>
            </w:r>
          </w:p>
        </w:tc>
        <w:tc>
          <w:tcPr/>
          <w:p>
            <w:pPr>
              <w:pStyle w:val="Compact"/>
            </w:pPr>
            <w:r>
              <w:t xml:space="preserve">Smallest impact by correlation.</w:t>
            </w:r>
          </w:p>
        </w:tc>
      </w:tr>
      <w:tr>
        <w:tc>
          <w:tcPr/>
          <w:p>
            <w:pPr>
              <w:pStyle w:val="Compact"/>
            </w:pPr>
            <w:r>
              <w:t xml:space="preserve">Asym</w:t>
            </w:r>
          </w:p>
        </w:tc>
        <w:tc>
          <w:tcPr/>
          <w:p>
            <w:pPr>
              <w:pStyle w:val="Compact"/>
            </w:pPr>
            <w:r>
              <w:t xml:space="preserve">0.787</w:t>
            </w:r>
          </w:p>
        </w:tc>
        <w:tc>
          <w:tcPr/>
          <w:p>
            <w:pPr>
              <w:pStyle w:val="Compact"/>
            </w:pPr>
            <w:r>
              <w:t xml:space="preserve">11.36</w:t>
            </w:r>
          </w:p>
        </w:tc>
        <w:tc>
          <w:tcPr/>
          <w:p>
            <w:pPr>
              <w:pStyle w:val="Compact"/>
            </w:pPr>
            <w:r>
              <w:t xml:space="preserve">Largest impact by RMSE (most distinct contribution).</w:t>
            </w:r>
          </w:p>
        </w:tc>
      </w:tr>
      <w:tr>
        <w:tc>
          <w:tcPr/>
          <w:p>
            <w:pPr>
              <w:pStyle w:val="Compact"/>
            </w:pPr>
            <w:r>
              <w:t xml:space="preserve">NPP</w:t>
            </w:r>
          </w:p>
        </w:tc>
        <w:tc>
          <w:tcPr/>
          <w:p>
            <w:pPr>
              <w:pStyle w:val="Compact"/>
            </w:pPr>
            <w:r>
              <w:t xml:space="preserve">0.780</w:t>
            </w:r>
          </w:p>
        </w:tc>
        <w:tc>
          <w:tcPr/>
          <w:p>
            <w:pPr>
              <w:pStyle w:val="Compact"/>
            </w:pPr>
            <w:r>
              <w:t xml:space="preserve">7.76</w:t>
            </w:r>
          </w:p>
        </w:tc>
        <w:tc>
          <w:tcPr/>
          <w:p>
            <w:pPr>
              <w:pStyle w:val="Compact"/>
            </w:pPr>
            <w:r>
              <w:t xml:space="preserve">Smallest impact by RMSE (best replacement by others).</w:t>
            </w:r>
          </w:p>
        </w:tc>
      </w:tr>
    </w:tbl>
    <w:p>
      <w:pPr>
        <w:pStyle w:val="BodyText"/>
      </w:pPr>
      <w:r>
        <w:t xml:space="preserve">No 3-of-4 subset preserves less than r = 0.77 against the full composite.</w:t>
      </w:r>
    </w:p>
    <w:p>
      <w:r>
        <w:pict>
          <v:rect style="width:0;height:1.5pt" o:hralign="center" o:hrstd="t" o:hr="t"/>
        </w:pict>
      </w:r>
    </w:p>
    <w:bookmarkEnd w:id="96"/>
    <w:bookmarkStart w:id="97" w:name="X0c3d55c1facf3b81681a623f441d557263cc2bf"/>
    <w:p>
      <w:pPr>
        <w:pStyle w:val="Heading2"/>
      </w:pPr>
      <w:r>
        <w:t xml:space="preserve">Table S4. Head-to-head model performance at common plots</w:t>
      </w:r>
    </w:p>
    <w:p>
      <w:pPr>
        <w:pStyle w:val="FirstParagraph"/>
      </w:pPr>
      <w:r>
        <w:t xml:space="preserve">Reported in manuscript Section 3.7. Common plot subsets vary by version because climate-only and SICOND-target models are not evaluated at the same plot population. All comparisons are descriptive of how each surface tracks the response at the training set; out-of-sample test held-out separately.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n (vs SICOND)</w:t>
            </w:r>
          </w:p>
        </w:tc>
        <w:tc>
          <w:tcPr/>
          <w:p>
            <w:pPr>
              <w:pStyle w:val="Compact"/>
            </w:pPr>
            <w:r>
              <w:t xml:space="preserve">R² vs SICOND</w:t>
            </w:r>
          </w:p>
        </w:tc>
        <w:tc>
          <w:tcPr/>
          <w:p>
            <w:pPr>
              <w:pStyle w:val="Compact"/>
            </w:pPr>
            <w:r>
              <w:t xml:space="preserve">RMSE (m)</w:t>
            </w:r>
          </w:p>
        </w:tc>
        <w:tc>
          <w:tcPr/>
          <w:p>
            <w:pPr>
              <w:pStyle w:val="Compact"/>
            </w:pPr>
            <w:r>
              <w:t xml:space="preserve">n (vs unified SI)</w:t>
            </w:r>
          </w:p>
        </w:tc>
        <w:tc>
          <w:tcPr/>
          <w:p>
            <w:pPr>
              <w:pStyle w:val="Compact"/>
            </w:pPr>
            <w:r>
              <w:t xml:space="preserve">R² vs unified SI</w:t>
            </w:r>
          </w:p>
        </w:tc>
        <w:tc>
          <w:tcPr/>
          <w:p>
            <w:pPr>
              <w:pStyle w:val="Compact"/>
            </w:pPr>
            <w:r>
              <w:t xml:space="preserve">RMSE (m)</w:t>
            </w:r>
          </w:p>
        </w:tc>
      </w:tr>
      <w:tr>
        <w:tc>
          <w:tcPr/>
          <w:p>
            <w:pPr>
              <w:pStyle w:val="Compact"/>
            </w:pPr>
            <w:r>
              <w:t xml:space="preserve">ESI v3 (SICOND target)</w:t>
            </w:r>
          </w:p>
        </w:tc>
        <w:tc>
          <w:tcPr/>
          <w:p>
            <w:pPr>
              <w:pStyle w:val="Compact"/>
            </w:pPr>
            <w:r>
              <w:t xml:space="preserve">31,900</w:t>
            </w:r>
          </w:p>
        </w:tc>
        <w:tc>
          <w:tcPr/>
          <w:p>
            <w:pPr>
              <w:pStyle w:val="Compact"/>
            </w:pPr>
            <w:r>
              <w:t xml:space="preserve">0.72</w:t>
            </w:r>
          </w:p>
        </w:tc>
        <w:tc>
          <w:tcPr/>
          <w:p>
            <w:pPr>
              <w:pStyle w:val="Compact"/>
            </w:pPr>
            <w:r>
              <w:t xml:space="preserve">6.04</w:t>
            </w:r>
          </w:p>
        </w:tc>
        <w:tc>
          <w:tcPr/>
          <w:p>
            <w:pPr>
              <w:pStyle w:val="Compact"/>
            </w:pPr>
            <w:r>
              <w:t xml:space="preserve">6,221</w:t>
            </w:r>
          </w:p>
        </w:tc>
        <w:tc>
          <w:tcPr/>
          <w:p>
            <w:pPr>
              <w:pStyle w:val="Compact"/>
            </w:pPr>
            <w:r>
              <w:t xml:space="preserve">0.62</w:t>
            </w:r>
          </w:p>
        </w:tc>
        <w:tc>
          <w:tcPr/>
          <w:p>
            <w:pPr>
              <w:pStyle w:val="Compact"/>
            </w:pPr>
            <w:r>
              <w:t xml:space="preserve">6.95</w:t>
            </w:r>
          </w:p>
        </w:tc>
      </w:tr>
      <w:tr>
        <w:tc>
          <w:tcPr/>
          <w:p>
            <w:pPr>
              <w:pStyle w:val="Compact"/>
            </w:pPr>
            <w:r>
              <w:t xml:space="preserve">ESI v5 (unified SI target)</w:t>
            </w:r>
          </w:p>
        </w:tc>
        <w:tc>
          <w:tcPr/>
          <w:p>
            <w:pPr>
              <w:pStyle w:val="Compact"/>
            </w:pPr>
            <w:r>
              <w:t xml:space="preserve">32,683</w:t>
            </w:r>
          </w:p>
        </w:tc>
        <w:tc>
          <w:tcPr/>
          <w:p>
            <w:pPr>
              <w:pStyle w:val="Compact"/>
            </w:pPr>
            <w:r>
              <w:t xml:space="preserve">0.64</w:t>
            </w:r>
          </w:p>
        </w:tc>
        <w:tc>
          <w:tcPr/>
          <w:p>
            <w:pPr>
              <w:pStyle w:val="Compact"/>
            </w:pPr>
            <w:r>
              <w:t xml:space="preserve">6.92</w:t>
            </w:r>
          </w:p>
        </w:tc>
        <w:tc>
          <w:tcPr/>
          <w:p>
            <w:pPr>
              <w:pStyle w:val="Compact"/>
            </w:pPr>
            <w:r>
              <w:t xml:space="preserve">6,309</w:t>
            </w:r>
          </w:p>
        </w:tc>
        <w:tc>
          <w:tcPr/>
          <w:p>
            <w:pPr>
              <w:pStyle w:val="Compact"/>
            </w:pPr>
            <w:r>
              <w:t xml:space="preserve">0.53</w:t>
            </w:r>
          </w:p>
        </w:tc>
        <w:tc>
          <w:tcPr/>
          <w:p>
            <w:pPr>
              <w:pStyle w:val="Compact"/>
            </w:pPr>
            <w:r>
              <w:t xml:space="preserve">7.82</w:t>
            </w:r>
          </w:p>
        </w:tc>
      </w:tr>
      <w:tr>
        <w:tc>
          <w:tcPr/>
          <w:p>
            <w:pPr>
              <w:pStyle w:val="Compact"/>
            </w:pPr>
            <w:r>
              <w:t xml:space="preserve">ESI v6 (unified SI + clim 1 km)</w:t>
            </w:r>
          </w:p>
        </w:tc>
        <w:tc>
          <w:tcPr/>
          <w:p>
            <w:pPr>
              <w:pStyle w:val="Compact"/>
            </w:pPr>
            <w:r>
              <w:t xml:space="preserve">6,221</w:t>
            </w:r>
          </w:p>
        </w:tc>
        <w:tc>
          <w:tcPr/>
          <w:p>
            <w:pPr>
              <w:pStyle w:val="Compact"/>
            </w:pPr>
            <w:r>
              <w:rPr>
                <w:b/>
                <w:bCs/>
              </w:rPr>
              <w:t xml:space="preserve">0.83</w:t>
            </w:r>
          </w:p>
        </w:tc>
        <w:tc>
          <w:tcPr/>
          <w:p>
            <w:pPr>
              <w:pStyle w:val="Compact"/>
            </w:pPr>
            <w:r>
              <w:rPr>
                <w:b/>
                <w:bCs/>
              </w:rPr>
              <w:t xml:space="preserve">4.71</w:t>
            </w:r>
          </w:p>
        </w:tc>
        <w:tc>
          <w:tcPr/>
          <w:p>
            <w:pPr>
              <w:pStyle w:val="Compact"/>
            </w:pPr>
            <w:r>
              <w:t xml:space="preserve">6,221</w:t>
            </w:r>
          </w:p>
        </w:tc>
        <w:tc>
          <w:tcPr/>
          <w:p>
            <w:pPr>
              <w:pStyle w:val="Compact"/>
            </w:pPr>
            <w:r>
              <w:rPr>
                <w:b/>
                <w:bCs/>
              </w:rPr>
              <w:t xml:space="preserve">0.83</w:t>
            </w:r>
          </w:p>
        </w:tc>
        <w:tc>
          <w:tcPr/>
          <w:p>
            <w:pPr>
              <w:pStyle w:val="Compact"/>
            </w:pPr>
            <w:r>
              <w:rPr>
                <w:b/>
                <w:bCs/>
              </w:rPr>
              <w:t xml:space="preserve">4.72</w:t>
            </w:r>
          </w:p>
        </w:tc>
      </w:tr>
      <w:tr>
        <w:tc>
          <w:tcPr/>
          <w:p>
            <w:pPr>
              <w:pStyle w:val="Compact"/>
            </w:pPr>
            <w:r>
              <w:t xml:space="preserve">ESI v7 (unified SI + clim distill)</w:t>
            </w:r>
          </w:p>
        </w:tc>
        <w:tc>
          <w:tcPr/>
          <w:p>
            <w:pPr>
              <w:pStyle w:val="Compact"/>
            </w:pPr>
            <w:r>
              <w:t xml:space="preserve">6,221</w:t>
            </w:r>
          </w:p>
        </w:tc>
        <w:tc>
          <w:tcPr/>
          <w:p>
            <w:pPr>
              <w:pStyle w:val="Compact"/>
            </w:pPr>
            <w:r>
              <w:t xml:space="preserve">0.73</w:t>
            </w:r>
          </w:p>
        </w:tc>
        <w:tc>
          <w:tcPr/>
          <w:p>
            <w:pPr>
              <w:pStyle w:val="Compact"/>
            </w:pPr>
            <w:r>
              <w:t xml:space="preserve">5.84</w:t>
            </w:r>
          </w:p>
        </w:tc>
        <w:tc>
          <w:tcPr/>
          <w:p>
            <w:pPr>
              <w:pStyle w:val="Compact"/>
            </w:pPr>
            <w:r>
              <w:t xml:space="preserve">6,221</w:t>
            </w:r>
          </w:p>
        </w:tc>
        <w:tc>
          <w:tcPr/>
          <w:p>
            <w:pPr>
              <w:pStyle w:val="Compact"/>
            </w:pPr>
            <w:r>
              <w:t xml:space="preserve">0.73</w:t>
            </w:r>
          </w:p>
        </w:tc>
        <w:tc>
          <w:tcPr/>
          <w:p>
            <w:pPr>
              <w:pStyle w:val="Compact"/>
            </w:pPr>
            <w:r>
              <w:t xml:space="preserve">5.85</w:t>
            </w:r>
          </w:p>
        </w:tc>
      </w:tr>
    </w:tbl>
    <w:p>
      <w:r>
        <w:pict>
          <v:rect style="width:0;height:1.5pt" o:hralign="center" o:hrstd="t" o:hr="t"/>
        </w:pict>
      </w:r>
    </w:p>
    <w:bookmarkEnd w:id="97"/>
    <w:bookmarkStart w:id="98" w:name="X8acbd9aaaf141e012f4259ab6f6cea32d6510c0"/>
    <w:p>
      <w:pPr>
        <w:pStyle w:val="Heading2"/>
      </w:pPr>
      <w:r>
        <w:t xml:space="preserve">Table S5. Per-species OOB R² for the six most abundant species in the unified compilation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Species</w:t>
            </w:r>
          </w:p>
        </w:tc>
        <w:tc>
          <w:tcPr/>
          <w:p>
            <w:pPr>
              <w:pStyle w:val="Compact"/>
            </w:pPr>
            <w:r>
              <w:t xml:space="preserve">SPCD</w:t>
            </w:r>
          </w:p>
        </w:tc>
        <w:tc>
          <w:tcPr/>
          <w:p>
            <w:pPr>
              <w:pStyle w:val="Compact"/>
            </w:pPr>
            <w:r>
              <w:t xml:space="preserve">n plots</w:t>
            </w:r>
          </w:p>
        </w:tc>
        <w:tc>
          <w:tcPr/>
          <w:p>
            <w:pPr>
              <w:pStyle w:val="Compact"/>
            </w:pPr>
            <w:r>
              <w:t xml:space="preserve">ESI v5 OOB R²</w:t>
            </w:r>
          </w:p>
        </w:tc>
        <w:tc>
          <w:tcPr/>
          <w:p>
            <w:pPr>
              <w:pStyle w:val="Compact"/>
            </w:pPr>
            <w:r>
              <w:t xml:space="preserve">Previous CSPI v3 dedup at fuzzed</w:t>
            </w:r>
          </w:p>
        </w:tc>
      </w:tr>
      <w:tr>
        <w:tc>
          <w:tcPr/>
          <w:p>
            <w:pPr>
              <w:pStyle w:val="Compact"/>
            </w:pPr>
            <w:r>
              <w:t xml:space="preserve">Loblolly pine (Pinus taeda)</w:t>
            </w:r>
          </w:p>
        </w:tc>
        <w:tc>
          <w:tcPr/>
          <w:p>
            <w:pPr>
              <w:pStyle w:val="Compact"/>
            </w:pPr>
            <w:r>
              <w:t xml:space="preserve">131</w:t>
            </w:r>
          </w:p>
        </w:tc>
        <w:tc>
          <w:tcPr/>
          <w:p>
            <w:pPr>
              <w:pStyle w:val="Compact"/>
            </w:pPr>
            <w:r>
              <w:t xml:space="preserve">~11,800</w:t>
            </w:r>
          </w:p>
        </w:tc>
        <w:tc>
          <w:tcPr/>
          <w:p>
            <w:pPr>
              <w:pStyle w:val="Compact"/>
            </w:pPr>
            <w:r>
              <w:t xml:space="preserve">0.33</w:t>
            </w:r>
          </w:p>
        </w:tc>
        <w:tc>
          <w:tcPr/>
          <w:p>
            <w:pPr>
              <w:pStyle w:val="Compact"/>
            </w:pPr>
            <w:r>
              <w:t xml:space="preserve">0.04</w:t>
            </w:r>
          </w:p>
        </w:tc>
      </w:tr>
      <w:tr>
        <w:tc>
          <w:tcPr/>
          <w:p>
            <w:pPr>
              <w:pStyle w:val="Compact"/>
            </w:pPr>
            <w:r>
              <w:t xml:space="preserve">Yellow-poplar (Liriodendron tulipifera)</w:t>
            </w:r>
          </w:p>
        </w:tc>
        <w:tc>
          <w:tcPr/>
          <w:p>
            <w:pPr>
              <w:pStyle w:val="Compact"/>
            </w:pPr>
            <w:r>
              <w:t xml:space="preserve">621</w:t>
            </w:r>
          </w:p>
        </w:tc>
        <w:tc>
          <w:tcPr/>
          <w:p>
            <w:pPr>
              <w:pStyle w:val="Compact"/>
            </w:pPr>
            <w:r>
              <w:t xml:space="preserve">~3,400</w:t>
            </w:r>
          </w:p>
        </w:tc>
        <w:tc>
          <w:tcPr/>
          <w:p>
            <w:pPr>
              <w:pStyle w:val="Compact"/>
            </w:pPr>
            <w:r>
              <w:t xml:space="preserve">0.52</w:t>
            </w:r>
          </w:p>
        </w:tc>
        <w:tc>
          <w:tcPr/>
          <w:p>
            <w:pPr>
              <w:pStyle w:val="Compact"/>
            </w:pPr>
            <w:r>
              <w:t xml:space="preserve">0.10</w:t>
            </w:r>
          </w:p>
        </w:tc>
      </w:tr>
      <w:tr>
        <w:tc>
          <w:tcPr/>
          <w:p>
            <w:pPr>
              <w:pStyle w:val="Compact"/>
            </w:pPr>
            <w:r>
              <w:t xml:space="preserve">White oak (Quercus alba)</w:t>
            </w:r>
          </w:p>
        </w:tc>
        <w:tc>
          <w:tcPr/>
          <w:p>
            <w:pPr>
              <w:pStyle w:val="Compact"/>
            </w:pPr>
            <w:r>
              <w:t xml:space="preserve">802</w:t>
            </w:r>
          </w:p>
        </w:tc>
        <w:tc>
          <w:tcPr/>
          <w:p>
            <w:pPr>
              <w:pStyle w:val="Compact"/>
            </w:pPr>
            <w:r>
              <w:t xml:space="preserve">~3,900</w:t>
            </w:r>
          </w:p>
        </w:tc>
        <w:tc>
          <w:tcPr/>
          <w:p>
            <w:pPr>
              <w:pStyle w:val="Compact"/>
            </w:pPr>
            <w:r>
              <w:t xml:space="preserve">0.49</w:t>
            </w:r>
          </w:p>
        </w:tc>
        <w:tc>
          <w:tcPr/>
          <w:p>
            <w:pPr>
              <w:pStyle w:val="Compact"/>
            </w:pPr>
            <w:r>
              <w:t xml:space="preserve">0.32</w:t>
            </w:r>
          </w:p>
        </w:tc>
      </w:tr>
      <w:tr>
        <w:tc>
          <w:tcPr/>
          <w:p>
            <w:pPr>
              <w:pStyle w:val="Compact"/>
            </w:pPr>
            <w:r>
              <w:t xml:space="preserve">Ponderosa pine (Pinus ponderosa)</w:t>
            </w:r>
          </w:p>
        </w:tc>
        <w:tc>
          <w:tcPr/>
          <w:p>
            <w:pPr>
              <w:pStyle w:val="Compact"/>
            </w:pPr>
            <w:r>
              <w:t xml:space="preserve">122</w:t>
            </w:r>
          </w:p>
        </w:tc>
        <w:tc>
          <w:tcPr/>
          <w:p>
            <w:pPr>
              <w:pStyle w:val="Compact"/>
            </w:pPr>
            <w:r>
              <w:t xml:space="preserve">~3,200</w:t>
            </w:r>
          </w:p>
        </w:tc>
        <w:tc>
          <w:tcPr/>
          <w:p>
            <w:pPr>
              <w:pStyle w:val="Compact"/>
            </w:pPr>
            <w:r>
              <w:t xml:space="preserve">0.36</w:t>
            </w:r>
          </w:p>
        </w:tc>
        <w:tc>
          <w:tcPr/>
          <w:p>
            <w:pPr>
              <w:pStyle w:val="Compact"/>
            </w:pPr>
            <w:r>
              <w:t xml:space="preserve">0.28</w:t>
            </w:r>
          </w:p>
        </w:tc>
      </w:tr>
      <w:tr>
        <w:tc>
          <w:tcPr/>
          <w:p>
            <w:pPr>
              <w:pStyle w:val="Compact"/>
            </w:pPr>
            <w:r>
              <w:t xml:space="preserve">Northern red oak (Quercus rubra)</w:t>
            </w:r>
          </w:p>
        </w:tc>
        <w:tc>
          <w:tcPr/>
          <w:p>
            <w:pPr>
              <w:pStyle w:val="Compact"/>
            </w:pPr>
            <w:r>
              <w:t xml:space="preserve">833</w:t>
            </w:r>
          </w:p>
        </w:tc>
        <w:tc>
          <w:tcPr/>
          <w:p>
            <w:pPr>
              <w:pStyle w:val="Compact"/>
            </w:pPr>
            <w:r>
              <w:t xml:space="preserve">~3,400</w:t>
            </w:r>
          </w:p>
        </w:tc>
        <w:tc>
          <w:tcPr/>
          <w:p>
            <w:pPr>
              <w:pStyle w:val="Compact"/>
            </w:pPr>
            <w:r>
              <w:t xml:space="preserve">0.48</w:t>
            </w:r>
          </w:p>
        </w:tc>
        <w:tc>
          <w:tcPr/>
          <w:p>
            <w:pPr>
              <w:pStyle w:val="Compact"/>
            </w:pPr>
            <w:r>
              <w:t xml:space="preserve">0.31</w:t>
            </w:r>
          </w:p>
        </w:tc>
      </w:tr>
      <w:tr>
        <w:tc>
          <w:tcPr/>
          <w:p>
            <w:pPr>
              <w:pStyle w:val="Compact"/>
            </w:pPr>
            <w:r>
              <w:t xml:space="preserve">Douglas-fir (Pseudotsuga menziesii)</w:t>
            </w:r>
          </w:p>
        </w:tc>
        <w:tc>
          <w:tcPr/>
          <w:p>
            <w:pPr>
              <w:pStyle w:val="Compact"/>
            </w:pPr>
            <w:r>
              <w:t xml:space="preserve">202</w:t>
            </w:r>
          </w:p>
        </w:tc>
        <w:tc>
          <w:tcPr/>
          <w:p>
            <w:pPr>
              <w:pStyle w:val="Compact"/>
            </w:pPr>
            <w:r>
              <w:t xml:space="preserve">~5,800</w:t>
            </w:r>
          </w:p>
        </w:tc>
        <w:tc>
          <w:tcPr/>
          <w:p>
            <w:pPr>
              <w:pStyle w:val="Compact"/>
            </w:pPr>
            <w:r>
              <w:t xml:space="preserve">0.44</w:t>
            </w:r>
          </w:p>
        </w:tc>
        <w:tc>
          <w:tcPr/>
          <w:p>
            <w:pPr>
              <w:pStyle w:val="Compact"/>
            </w:pPr>
            <w:r>
              <w:t xml:space="preserve">0.30</w:t>
            </w:r>
          </w:p>
        </w:tc>
      </w:tr>
    </w:tbl>
    <w:p>
      <w:pPr>
        <w:pStyle w:val="BodyText"/>
      </w:pPr>
      <w:r>
        <w:t xml:space="preserve">The leveling pattern—loblolly pine and yellow-poplar in particular—is the diagnostic test of the response-side improvement: under the unified target, both species’ within-range SI variation is now expressed under a single equation rather than across multiple FIA region boundaries. The five non-ponderosa species cluster between R² 0.44 and 0.52, a range narrow enough to read as biological rather than methodological.</w:t>
      </w:r>
    </w:p>
    <w:p>
      <w:r>
        <w:pict>
          <v:rect style="width:0;height:1.5pt" o:hralign="center" o:hrstd="t" o:hr="t"/>
        </w:pict>
      </w:r>
    </w:p>
    <w:bookmarkEnd w:id="98"/>
    <w:bookmarkStart w:id="104" w:name="methods-notes"/>
    <w:p>
      <w:pPr>
        <w:pStyle w:val="Heading2"/>
      </w:pPr>
      <w:r>
        <w:t xml:space="preserve">Methods notes</w:t>
      </w:r>
    </w:p>
    <w:bookmarkStart w:id="99" w:name="X0e2719587354c57b76d3e4e949a7925790dfabd"/>
    <w:p>
      <w:pPr>
        <w:pStyle w:val="Heading3"/>
      </w:pPr>
      <w:r>
        <w:t xml:space="preserve">M1. Quantile Random Forest prediction interval</w:t>
      </w:r>
    </w:p>
    <w:p>
      <w:pPr>
        <w:pStyle w:val="FirstParagraph"/>
      </w:pPr>
      <w:r>
        <w:t xml:space="preserve">For ESI v7 uncertainty: ranger 0.16.0 fit with</w:t>
      </w:r>
      <w:r>
        <w:t xml:space="preserve"> </w:t>
      </w:r>
      <w:r>
        <w:rPr>
          <w:rStyle w:val="VerbatimChar"/>
        </w:rPr>
        <w:t xml:space="preserve">quantreg = TRUE</w:t>
      </w:r>
      <w:r>
        <w:t xml:space="preserve">, 500 trees, mtry = 4, min.node.size = 5, on the v7 training table with the v7 predictor stack. Quantiles c(0.05, 0.50, 0.95) predicted at each 30 m pixel; the width90 = p95 − p05 is the per-pixel 90% prediction interval reported as the released uncertainty raster.</w:t>
      </w:r>
    </w:p>
    <w:p>
      <w:pPr>
        <w:pStyle w:val="BodyText"/>
      </w:pPr>
      <w:r>
        <w:t xml:space="preserve">The QRF surface predict is implemented as a 40-tile SLURM array (each tile is a latitude row of the CONUS 30 m grid, ~2,300 rows per tile, processed independently with the same trained QRF model). A separate merge job stitches the 40 single-tile rasters into the released 4-band raster (p05, p50, p95, width90).</w:t>
      </w:r>
    </w:p>
    <w:bookmarkEnd w:id="99"/>
    <w:bookmarkStart w:id="100" w:name="m2.-composite-z-score-parameters"/>
    <w:p>
      <w:pPr>
        <w:pStyle w:val="Heading3"/>
      </w:pPr>
      <w:r>
        <w:t xml:space="preserve">M2. Composite z-score parameters</w:t>
      </w:r>
    </w:p>
    <w:p>
      <w:pPr>
        <w:pStyle w:val="FirstParagraph"/>
      </w:pPr>
      <w:r>
        <w:t xml:space="preserve">Z-score parameters at 66,433 complete-case FIA plots (manuscript Section 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Mean</w:t>
            </w:r>
          </w:p>
        </w:tc>
        <w:tc>
          <w:tcPr/>
          <w:p>
            <w:pPr>
              <w:pStyle w:val="Compact"/>
            </w:pPr>
            <w:r>
              <w:t xml:space="preserve">SD</w:t>
            </w:r>
          </w:p>
        </w:tc>
      </w:tr>
      <w:tr>
        <w:tc>
          <w:tcPr/>
          <w:p>
            <w:pPr>
              <w:pStyle w:val="Compact"/>
            </w:pPr>
            <w:r>
              <w:t xml:space="preserve">ESI</w:t>
            </w:r>
          </w:p>
        </w:tc>
        <w:tc>
          <w:tcPr/>
          <w:p>
            <w:pPr>
              <w:pStyle w:val="Compact"/>
            </w:pPr>
            <w:r>
              <w:t xml:space="preserve">27.81 m</w:t>
            </w:r>
          </w:p>
        </w:tc>
        <w:tc>
          <w:tcPr/>
          <w:p>
            <w:pPr>
              <w:pStyle w:val="Compact"/>
            </w:pPr>
            <w:r>
              <w:t xml:space="preserve">11.41</w:t>
            </w:r>
          </w:p>
        </w:tc>
      </w:tr>
      <w:tr>
        <w:tc>
          <w:tcPr/>
          <w:p>
            <w:pPr>
              <w:pStyle w:val="Compact"/>
            </w:pPr>
            <w:r>
              <w:t xml:space="preserve">BGI</w:t>
            </w:r>
          </w:p>
        </w:tc>
        <w:tc>
          <w:tcPr/>
          <w:p>
            <w:pPr>
              <w:pStyle w:val="Compact"/>
            </w:pPr>
            <w:r>
              <w:t xml:space="preserve">1.72 Mg ha⁻¹ yr⁻¹</w:t>
            </w:r>
          </w:p>
        </w:tc>
        <w:tc>
          <w:tcPr/>
          <w:p>
            <w:pPr>
              <w:pStyle w:val="Compact"/>
            </w:pPr>
            <w:r>
              <w:t xml:space="preserve">0.58</w:t>
            </w:r>
          </w:p>
        </w:tc>
      </w:tr>
      <w:tr>
        <w:tc>
          <w:tcPr/>
          <w:p>
            <w:pPr>
              <w:pStyle w:val="Compact"/>
            </w:pPr>
            <w:r>
              <w:t xml:space="preserve">Asym</w:t>
            </w:r>
          </w:p>
        </w:tc>
        <w:tc>
          <w:tcPr/>
          <w:p>
            <w:pPr>
              <w:pStyle w:val="Compact"/>
            </w:pPr>
            <w:r>
              <w:t xml:space="preserve">249.1 Mg ha⁻¹</w:t>
            </w:r>
          </w:p>
        </w:tc>
        <w:tc>
          <w:tcPr/>
          <w:p>
            <w:pPr>
              <w:pStyle w:val="Compact"/>
            </w:pPr>
            <w:r>
              <w:t xml:space="preserve">20.3</w:t>
            </w:r>
          </w:p>
        </w:tc>
      </w:tr>
      <w:tr>
        <w:tc>
          <w:tcPr/>
          <w:p>
            <w:pPr>
              <w:pStyle w:val="Compact"/>
            </w:pPr>
            <w:r>
              <w:t xml:space="preserve">NPP</w:t>
            </w:r>
          </w:p>
        </w:tc>
        <w:tc>
          <w:tcPr/>
          <w:p>
            <w:pPr>
              <w:pStyle w:val="Compact"/>
            </w:pPr>
            <w:r>
              <w:t xml:space="preserve">434.9 g C m⁻² yr⁻¹</w:t>
            </w:r>
          </w:p>
        </w:tc>
        <w:tc>
          <w:tcPr/>
          <w:p>
            <w:pPr>
              <w:pStyle w:val="Compact"/>
            </w:pPr>
            <w:r>
              <w:t xml:space="preserve">163.1</w:t>
            </w:r>
          </w:p>
        </w:tc>
      </w:tr>
    </w:tbl>
    <w:p>
      <w:pPr>
        <w:pStyle w:val="BodyText"/>
      </w:pPr>
      <w:r>
        <w:t xml:space="preserve">These parameters are stored to disk (</w:t>
      </w:r>
      <w:r>
        <w:rPr>
          <w:rStyle w:val="VerbatimChar"/>
        </w:rPr>
        <w:t xml:space="preserve">cspi_4c_zscore_params.csv</w:t>
      </w:r>
      <w:r>
        <w:t xml:space="preserve"> </w:t>
      </w:r>
      <w:r>
        <w:t xml:space="preserve">in the deposit) so the wall-to-wall surface uses the same standardization as the plot-level composite.</w:t>
      </w:r>
    </w:p>
    <w:bookmarkEnd w:id="100"/>
    <w:bookmarkStart w:id="101" w:name="X0754cbcac77bead784721c51cd00da45e4ddfad"/>
    <w:p>
      <w:pPr>
        <w:pStyle w:val="Heading3"/>
      </w:pPr>
      <w:r>
        <w:t xml:space="preserve">M3. CSPI v2 surface generation (slow path TIMEOUT and fast-path recovery)</w:t>
      </w:r>
    </w:p>
    <w:p>
      <w:pPr>
        <w:pStyle w:val="FirstParagraph"/>
      </w:pPr>
      <w:r>
        <w:t xml:space="preserve">The slow path (</w:t>
      </w:r>
      <w:r>
        <w:rPr>
          <w:rStyle w:val="VerbatimChar"/>
        </w:rPr>
        <w:t xml:space="preserve">cspi_4c_surface.r</w:t>
      </w:r>
      <w:r>
        <w:t xml:space="preserve">) used terra::project for bilinear reprojection of BGI, Asym, and NPP onto the ESI v7 grid. This reached approximately 80% completion before exhausting an 8-hour walltime. A watchdog auto-fired a fast-path replacement (</w:t>
      </w:r>
      <w:r>
        <w:rPr>
          <w:rStyle w:val="VerbatimChar"/>
        </w:rPr>
        <w:t xml:space="preserve">cspi_4c_fast.r</w:t>
      </w:r>
      <w:r>
        <w:t xml:space="preserve">) that performs the reprojection via gdalwarp with parallel threads and computes the composite via</w:t>
      </w:r>
      <w:r>
        <w:t xml:space="preserve"> </w:t>
      </w:r>
      <w:r>
        <w:rPr>
          <w:rStyle w:val="VerbatimChar"/>
        </w:rPr>
        <w:t xml:space="preserve">terra::lapp</w:t>
      </w:r>
      <w:r>
        <w:t xml:space="preserve"> </w:t>
      </w:r>
      <w:r>
        <w:t xml:space="preserve">against the reprojected stack. The fast path completed in 3:03 with the same numerical output (composite z-score parameters identical at the FIA plot set, as expected since the standardization layer is identical).</w:t>
      </w:r>
    </w:p>
    <w:bookmarkEnd w:id="101"/>
    <w:bookmarkStart w:id="102" w:name="m4.-forest-mask"/>
    <w:p>
      <w:pPr>
        <w:pStyle w:val="Heading3"/>
      </w:pPr>
      <w:r>
        <w:t xml:space="preserve">M4. Forest mask</w:t>
      </w:r>
    </w:p>
    <w:p>
      <w:pPr>
        <w:pStyle w:val="FirstParagraph"/>
      </w:pPr>
      <w:r>
        <w:t xml:space="preserve">Forest-masked products use the Hansen Global Forest Change tree-cover 2000 band (h_tc2000) thresholded at ≥10%. The mask is applied via</w:t>
      </w:r>
      <w:r>
        <w:t xml:space="preserve"> </w:t>
      </w:r>
      <w:r>
        <w:rPr>
          <w:rStyle w:val="VerbatimChar"/>
        </w:rPr>
        <w:t xml:space="preserve">terra::mask</w:t>
      </w:r>
      <w:r>
        <w:t xml:space="preserve"> </w:t>
      </w:r>
      <w:r>
        <w:t xml:space="preserve">to each released forest-mask layer.</w:t>
      </w:r>
    </w:p>
    <w:bookmarkEnd w:id="102"/>
    <w:bookmarkStart w:id="103" w:name="X48146207b17ee42495c4d27eb49be26be44ad3d"/>
    <w:p>
      <w:pPr>
        <w:pStyle w:val="Heading3"/>
      </w:pPr>
      <w:r>
        <w:t xml:space="preserve">M5. Buffer aggregation for fuzzed FIA coordinates</w:t>
      </w:r>
    </w:p>
    <w:p>
      <w:pPr>
        <w:pStyle w:val="FirstParagraph"/>
      </w:pPr>
      <w:r>
        <w:t xml:space="preserve">The fuzz-sensitivity rule from the CSPI v3 release (predictors at 250 m or coarser native resolution survive FIA coordinate fuzzing) governs the buffer aggregation in extraction. Sentinel-2 (10–20 m native) and MOD17A3HGF (500 m native) are extracted via 1 km buffer mean reduction at each FIA plot location to suppress per-pixel error from coordinate fuzz. This is consistent with the asym_agb_analysis BGI and Asym pipeline.</w:t>
      </w:r>
    </w:p>
    <w:p>
      <w:r>
        <w:pict>
          <v:rect style="width:0;height:1.5pt" o:hralign="center" o:hrstd="t" o:hr="t"/>
        </w:pict>
      </w:r>
    </w:p>
    <w:bookmarkEnd w:id="103"/>
    <w:bookmarkEnd w:id="104"/>
    <w:bookmarkStart w:id="105" w:name="figures-s1s5-deferred"/>
    <w:p>
      <w:pPr>
        <w:pStyle w:val="Heading2"/>
      </w:pPr>
      <w:r>
        <w:t xml:space="preserve">Figures S1–S5 (deferred)</w:t>
      </w:r>
    </w:p>
    <w:p>
      <w:pPr>
        <w:pStyle w:val="FirstParagraph"/>
      </w:pPr>
      <w:r>
        <w:t xml:space="preserve">Supplementary figures will accompany the final manuscript revision. Planned:</w:t>
      </w:r>
    </w:p>
    <w:p>
      <w:pPr>
        <w:pStyle w:val="Compact"/>
        <w:numPr>
          <w:ilvl w:val="0"/>
          <w:numId w:val="1006"/>
        </w:numPr>
      </w:pPr>
      <w:r>
        <w:rPr>
          <w:b/>
          <w:bCs/>
        </w:rPr>
        <w:t xml:space="preserve">Figure S1</w:t>
      </w:r>
      <w:r>
        <w:t xml:space="preserve">: Map of FIA training plot locations colored by year of most recent measurement.</w:t>
      </w:r>
    </w:p>
    <w:p>
      <w:pPr>
        <w:pStyle w:val="Compact"/>
        <w:numPr>
          <w:ilvl w:val="0"/>
          <w:numId w:val="1006"/>
        </w:numPr>
      </w:pPr>
      <w:r>
        <w:rPr>
          <w:b/>
          <w:bCs/>
        </w:rPr>
        <w:t xml:space="preserve">Figure S2</w:t>
      </w:r>
      <w:r>
        <w:t xml:space="preserve">: Per-species residual diagnostics (loblolly pine, yellow-poplar, ponderosa pine) under v5 vs v7.</w:t>
      </w:r>
    </w:p>
    <w:p>
      <w:pPr>
        <w:pStyle w:val="Compact"/>
        <w:numPr>
          <w:ilvl w:val="0"/>
          <w:numId w:val="1006"/>
        </w:numPr>
      </w:pPr>
      <w:r>
        <w:rPr>
          <w:b/>
          <w:bCs/>
        </w:rPr>
        <w:t xml:space="preserve">Figure S3</w:t>
      </w:r>
      <w:r>
        <w:t xml:space="preserve">: Spatial residual map for v7 at the latitude-fold withholding boundaries.</w:t>
      </w:r>
    </w:p>
    <w:p>
      <w:pPr>
        <w:pStyle w:val="Compact"/>
        <w:numPr>
          <w:ilvl w:val="0"/>
          <w:numId w:val="1006"/>
        </w:numPr>
      </w:pPr>
      <w:r>
        <w:rPr>
          <w:b/>
          <w:bCs/>
        </w:rPr>
        <w:t xml:space="preserve">Figure S4</w:t>
      </w:r>
      <w:r>
        <w:t xml:space="preserve">: ESI v7 quantile-RF width90 (90% prediction interval) over CONUS, forest-masked.</w:t>
      </w:r>
    </w:p>
    <w:p>
      <w:pPr>
        <w:pStyle w:val="Compact"/>
        <w:numPr>
          <w:ilvl w:val="0"/>
          <w:numId w:val="1006"/>
        </w:numPr>
      </w:pPr>
      <w:r>
        <w:rPr>
          <w:b/>
          <w:bCs/>
        </w:rPr>
        <w:t xml:space="preserve">Figure S5</w:t>
      </w:r>
      <w:r>
        <w:t xml:space="preserve">: CSPI v2 composite overlaid with ecoregion boundaries (EPA Level III).</w:t>
      </w:r>
    </w:p>
    <w:p>
      <w:pPr>
        <w:pStyle w:val="FirstParagraph"/>
      </w:pPr>
      <w:r>
        <w:t xml:space="preserve">S4 will land once the v7 QRF tile-array (job 11503014 + merge 11503015) completes; S5 requires an ecoregion shapefile overlay on the composite surface.</w:t>
      </w:r>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2026-06-14T16:45:41Z</dcterms:created>
  <dcterms:modified xsi:type="dcterms:W3CDTF">2026-06-14T16:45:41Z</dcterms:modified>
</cp:coreProperties>
</file>

<file path=docProps/custom.xml><?xml version="1.0" encoding="utf-8"?>
<Properties xmlns="http://schemas.openxmlformats.org/officeDocument/2006/custom-properties" xmlns:vt="http://schemas.openxmlformats.org/officeDocument/2006/docPropsVTypes"/>
</file>