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 or Forest Ecology and Management.</w:t>
      </w:r>
    </w:p>
    <w:bookmarkStart w:id="9"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Sampling the targets wall to wall rather than at plot coordinates raises out-of-bag predictability substantially (for example biomass from 0.57 to 0.93), and spatially blocked validation confirms the surface generalizes (blocked R-squared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exist, they are not discarded: through small area estimation they localize and sharpen the independent surface, raising blocked prediction of a ground growth index from 0.71 to 0.94. The result is an integrated, microsite-resolving, continuously updatable productivity layer suited to driving growth and yield models and forest management planning.</w:t>
      </w:r>
    </w:p>
    <w:bookmarkEnd w:id="9"/>
    <w:bookmarkStart w:id="10"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0"/>
    <w:bookmarkStart w:id="20" w:name="methods"/>
    <w:p>
      <w:pPr>
        <w:pStyle w:val="Heading2"/>
      </w:pPr>
      <w:r>
        <w:t xml:space="preserve">2. Methods</w:t>
      </w:r>
    </w:p>
    <w:bookmarkStart w:id="11"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1"/>
    <w:bookmarkStart w:id="12"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2"/>
    <w:bookmarkStart w:id="13"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3"/>
    <w:bookmarkStart w:id="14"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500 trees, is fit from the stack and predicted across all forested cells. Out-of-bag R-squared and root mean square error are reported. To test the inventory plot frame, each target is fit twice, once at the 61,656 plot coordinates and once wall to wall on the predictor grid.</w:t>
      </w:r>
    </w:p>
    <w:bookmarkEnd w:id="14"/>
    <w:bookmarkStart w:id="15"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5"/>
    <w:bookmarkStart w:id="16"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6"/>
    <w:bookmarkStart w:id="17"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7"/>
    <w:bookmarkStart w:id="18"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8"/>
    <w:bookmarkStart w:id="19"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19"/>
    <w:bookmarkEnd w:id="20"/>
    <w:bookmarkStart w:id="30" w:name="results"/>
    <w:p>
      <w:pPr>
        <w:pStyle w:val="Heading2"/>
      </w:pPr>
      <w:r>
        <w:t xml:space="preserve">3. Results</w:t>
      </w:r>
    </w:p>
    <w:bookmarkStart w:id="21"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1"/>
    <w:bookmarkStart w:id="22"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2"/>
    <w:bookmarkStart w:id="23"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3"/>
    <w:bookmarkStart w:id="24"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w:t>
      </w:r>
    </w:p>
    <w:bookmarkEnd w:id="24"/>
    <w:bookmarkStart w:id="25"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5"/>
    <w:bookmarkStart w:id="26" w:name="site-index-is-the-narrower-measure"/>
    <w:p>
      <w:pPr>
        <w:pStyle w:val="Heading3"/>
      </w:pPr>
      <w:r>
        <w:t xml:space="preserve">3.6 Site index is the narrower measure</w:t>
      </w:r>
    </w:p>
    <w:p>
      <w:pPr>
        <w:pStyle w:val="FirstParagraph"/>
      </w:pPr>
      <w:r>
        <w:t xml:space="preserve">The composite is not a restatement of site index. Overall correlation is weak and negative (around -0.39), positive within every region: a Simpson’s paradox. The cause is confirmed at the plot level, where site index correlates -0.38 with net primary productivity and -0.42 with gross primary productivity across 61,655 plots.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6"/>
    <w:bookmarkStart w:id="27" w:name="X054ac824a184da6bc673ed5657801aa3e37de05"/>
    <w:p>
      <w:pPr>
        <w:pStyle w:val="Heading3"/>
      </w:pPr>
      <w:r>
        <w:t xml:space="preserve">3.7 Independent validation against flux towers</w:t>
      </w:r>
    </w:p>
    <w:p>
      <w:pPr>
        <w:pStyle w:val="FirstParagraph"/>
      </w:pPr>
      <w:r>
        <w:t xml:space="preserve">At 30 AmeriFlux forest towers with published productivity, the composite correlates with independent ground flux at Pearson r = 0.66,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7"/>
    <w:bookmarkStart w:id="28"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8"/>
    <w:bookmarkStart w:id="29"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29"/>
    <w:bookmarkEnd w:id="30"/>
    <w:bookmarkStart w:id="31"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The base surface needs no plots, but where they exist they fold back in to localize it, and the gain is large, lifting prediction of a ground growth index from 0.71 to 0.94. This points to an operational design: a remote sensing base layer everywhere, sharpened by inventory wherever inventory is dense.</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30 m surface resolves predictor-driven microsite structure that is not independently validated against fine-scale productivity measurements. Adding gross primary productivity and an optical greenness target would broaden the flux dimension.</w:t>
      </w:r>
    </w:p>
    <w:bookmarkEnd w:id="31"/>
    <w:bookmarkStart w:id="32"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It is weakly related to inventory structural productivity at the plot level, so it is best used as a complementary, independent productivity axis rather than a drop-in site-index replacement; calibrating it to remeasured inventory increment is the path to using it as a growth and yield driver in physical units.</w:t>
      </w:r>
    </w:p>
    <w:bookmarkEnd w:id="32"/>
    <w:bookmarkStart w:id="33"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3"/>
    <w:bookmarkStart w:id="34"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4"/>
    <w:bookmarkStart w:id="35" w:name="competing-interests"/>
    <w:p>
      <w:pPr>
        <w:pStyle w:val="Heading2"/>
      </w:pPr>
      <w:r>
        <w:t xml:space="preserve">Competing interests</w:t>
      </w:r>
    </w:p>
    <w:p>
      <w:pPr>
        <w:pStyle w:val="FirstParagraph"/>
      </w:pPr>
      <w:r>
        <w:t xml:space="preserve">The author declares no competing interests.</w:t>
      </w:r>
    </w:p>
    <w:bookmarkEnd w:id="35"/>
    <w:bookmarkStart w:id="36"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and the analysis code are deposited at Zenodo (CSPI v4.0.0, DOI 10.5281/zenodo.20827437; concept DOI 10.5281/zenodo.20827436), building on the v3.0.0 inventory-target dataset (DOI 10.5281/zenodo.20763197). Source remote sensing products are public: MODIS MOD17 (LP DAAC), GEDI L4B and NASA-CMS (ORNL DAAC), and Sentinel-2 (Copernicus, via Google Earth Engine). Environmental predictors are ClimateNA, SoilGrids 2.0, and the Global Forest Change product.</w:t>
      </w:r>
    </w:p>
    <w:bookmarkEnd w:id="36"/>
    <w:bookmarkStart w:id="37" w:name="references"/>
    <w:p>
      <w:pPr>
        <w:pStyle w:val="Heading2"/>
      </w:pPr>
      <w:r>
        <w:t xml:space="preserve">References</w:t>
      </w:r>
    </w:p>
    <w:p>
      <w:pPr>
        <w:pStyle w:val="FirstParagraph"/>
      </w:pPr>
      <w:r>
        <w:t xml:space="preserve">Note: this reference list is provisional and must pass the CrossRef verification protocol (VERIFIED / NOT_FOUND / MISMATCH) before submission.</w:t>
      </w:r>
    </w:p>
    <w:p>
      <w:pPr>
        <w:pStyle w:val="BodyText"/>
      </w:pPr>
      <w:r>
        <w:t xml:space="preserve">Bechtold, W.A., Patterson, P.L. (Eds.), 2005. The enhanced Forest Inventory and Analysis program: national sampling design and estimation procedures. USDA Forest Service General Technical Report SRS-80.</w:t>
      </w:r>
    </w:p>
    <w:p>
      <w:pPr>
        <w:pStyle w:val="BodyText"/>
      </w:pPr>
      <w:r>
        <w:t xml:space="preserve">Breiman, L., 2001. Random forests. Machine Learning 45, 5 to 32.</w:t>
      </w:r>
    </w:p>
    <w:p>
      <w:pPr>
        <w:pStyle w:val="BodyText"/>
      </w:pPr>
      <w:r>
        <w:t xml:space="preserve">Dubayah, R., et al., 2022. GEDI L4B Gridded Aboveground Biomass Density, Version 2.1. ORNL DAAC, Oak Ridge, Tennessee.</w:t>
      </w:r>
    </w:p>
    <w:p>
      <w:pPr>
        <w:pStyle w:val="BodyText"/>
      </w:pPr>
      <w:r>
        <w:t xml:space="preserve">Hansen, M.C., et al., 2013. High-resolution global maps of 21st-century forest cover change. Science 342, 850 to 853.</w:t>
      </w:r>
    </w:p>
    <w:p>
      <w:pPr>
        <w:pStyle w:val="BodyText"/>
      </w:pPr>
      <w:r>
        <w:t xml:space="preserve">Poggio, L., et al., 2021. SoilGrids 2.0: producing soil information for the globe with quantified spatial uncertainty. SOIL 7, 217 to 240.</w:t>
      </w:r>
    </w:p>
    <w:p>
      <w:pPr>
        <w:pStyle w:val="BodyText"/>
      </w:pPr>
      <w:r>
        <w:t xml:space="preserve">Rao, J.N.K., Molina, I., 2015. Small Area Estimation, 2nd ed. Wiley, Hoboken.</w:t>
      </w:r>
    </w:p>
    <w:p>
      <w:pPr>
        <w:pStyle w:val="BodyText"/>
      </w:pPr>
      <w:r>
        <w:t xml:space="preserve">Running, S.W., et al., 2004. A continuous satellite-derived measure of global terrestrial primary production. BioScience 54, 547 to 560.</w:t>
      </w:r>
    </w:p>
    <w:p>
      <w:pPr>
        <w:pStyle w:val="BodyText"/>
      </w:pPr>
      <w:r>
        <w:t xml:space="preserve">Running, S.W., Zhao, M., 2021. User’s guide: MOD17 daily and annual GPP and NPP, Version 6.1. University of Montana.</w:t>
      </w:r>
    </w:p>
    <w:p>
      <w:pPr>
        <w:pStyle w:val="BodyText"/>
      </w:pPr>
      <w:r>
        <w:t xml:space="preserve">Skovsgaard, J.P., Vanclay, J.K., 2008. Forest site productivity: a review of the evolution of dendrometric concepts for even-aged stands. Forestry 81, 13 to 31.</w:t>
      </w:r>
    </w:p>
    <w:p>
      <w:pPr>
        <w:pStyle w:val="BodyText"/>
      </w:pPr>
      <w:r>
        <w:t xml:space="preserve">Wang, T., et al., 2016. Locally downscaled and spatially customizable climate data for historical and future periods for North America. PLoS ONE 11, e0156720.</w:t>
      </w:r>
    </w:p>
    <w:p>
      <w:pPr>
        <w:pStyle w:val="BodyText"/>
      </w:pPr>
      <w:r>
        <w:t xml:space="preserve">Weiskittel, A.R., et al., 2011. Forest Growth and Yield Modeling. Wiley, Chichester.</w:t>
      </w:r>
    </w:p>
    <w:p>
      <w:pPr>
        <w:pStyle w:val="BodyText"/>
      </w:pPr>
      <w:r>
        <w:t xml:space="preserve">Wright, M.N., Ziegler, A., 2017. ranger: a fast implementation of random forests for high dimensional data in C++ and R. Journal of Statistical Software 77, 1 to 17.</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2026-06-24T13:39:52Z</dcterms:created>
  <dcterms:modified xsi:type="dcterms:W3CDTF">2026-06-24T13:39:52Z</dcterms:modified>
</cp:coreProperties>
</file>

<file path=docProps/custom.xml><?xml version="1.0" encoding="utf-8"?>
<Properties xmlns="http://schemas.openxmlformats.org/officeDocument/2006/custom-properties" xmlns:vt="http://schemas.openxmlformats.org/officeDocument/2006/docPropsVTypes"/>
</file>