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238250" cy="1266825"/>
            <wp:effectExtent t="0" r="0" b="0" l="0"/>
            <wp:docPr id="1" name="CRSF" descr="CRSF" title="CR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66825"/>
                    </a:xfrm>
                    <a:prstGeom prst="rect">
                      <a:avLst/>
                    </a:prstGeom>
                  </pic:spPr>
                </pic:pic>
              </a:graphicData>
            </a:graphic>
          </wp:inline>
        </w:drawing>
      </w:r>
    </w:p>
    <w:p>
      <w:pPr>
        <w:spacing w:after="120" w:before="300"/>
        <w:jc w:val="center"/>
      </w:pPr>
      <w:r>
        <w:rPr>
          <w:b/>
          <w:bCs/>
          <w:color w:val="1A3D28"/>
          <w:sz w:val="40"/>
          <w:szCs w:val="40"/>
        </w:rPr>
        <w:t xml:space="preserve">CONUS-wide FVS component equations and a localized maximum stand density index</w:t>
      </w:r>
    </w:p>
    <w:p>
      <w:pPr>
        <w:pBdr>
          <w:bottom w:val="single" w:color="C5A55A" w:sz="6" w:space="6"/>
        </w:pBdr>
        <w:spacing w:after="300"/>
        <w:jc w:val="center"/>
      </w:pPr>
      <w:r>
        <w:rPr>
          <w:color w:val="333333"/>
          <w:sz w:val="24"/>
          <w:szCs w:val="24"/>
        </w:rPr>
        <w:t xml:space="preserve">Combined technical report and briefing for the USDA Forest Service FVS team</w:t>
      </w:r>
    </w:p>
    <w:p>
      <w:pPr>
        <w:spacing w:after="80"/>
        <w:jc w:val="center"/>
      </w:pPr>
      <w:r>
        <w:rPr>
          <w:color w:val="333333"/>
          <w:sz w:val="24"/>
          <w:szCs w:val="24"/>
        </w:rPr>
        <w:t xml:space="preserve">A. Weiskittel and collaborators</w:t>
      </w:r>
    </w:p>
    <w:p>
      <w:pPr>
        <w:spacing w:after="80"/>
        <w:jc w:val="center"/>
      </w:pPr>
      <w:r>
        <w:rPr>
          <w:color w:val="666666"/>
          <w:sz w:val="22"/>
          <w:szCs w:val="22"/>
        </w:rPr>
        <w:t xml:space="preserve">Center for Research on Sustainable Forests, University of Maine</w:t>
      </w:r>
    </w:p>
    <w:p>
      <w:pPr>
        <w:spacing w:after="400"/>
        <w:jc w:val="center"/>
      </w:pPr>
      <w:r>
        <w:rPr>
          <w:color w:val="666666"/>
          <w:sz w:val="22"/>
          <w:szCs w:val="22"/>
        </w:rPr>
        <w:t xml:space="preserve">14 June 2026</w:t>
      </w:r>
    </w:p>
    <w:p>
      <w:pPr>
        <w:jc w:val="center"/>
      </w:pPr>
      <w:r>
        <w:rPr>
          <w:i/>
          <w:iCs/>
          <w:color w:val="666666"/>
          <w:sz w:val="18"/>
          <w:szCs w:val="18"/>
        </w:rPr>
        <w:t xml:space="preserve">Status: technical brief for discussion. All analyses are on FIA remeasurement data; no FVS source or default was modified.</w:t>
      </w:r>
    </w:p>
    <w:p>
      <w:r>
        <w:br w:type="page"/>
      </w:r>
    </w:p>
    <w:p>
      <w:pPr>
        <w:spacing w:after="120"/>
      </w:pPr>
      <w:r>
        <w:rPr>
          <w:b/>
          <w:bCs/>
          <w:color w:val="1A3D28"/>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t xml:space="preserve">This document combines two pieces of work for the FVS team: a briefing on a program to build a single set of CONUS-wide component equations, and a technical report on maximum stand density index (maximum SDI). The thread that connects them is the density limit, which is central to both the stand-level equations and to long-term projection accuracy.</w:t>
      </w:r>
    </w:p>
    <w:p>
      <w:pPr>
        <w:spacing w:after="140" w:line="276"/>
      </w:pPr>
      <w:r>
        <w:t xml:space="preserve">On the component equations: the tree-level set is built and the stand-level constraint layer is prototyped. On a clean Northeast benchmark the unified equations already beat the native NE and ACD variants on basal area (about -0.6 percent bias versus +12 to +13 percent), and our diameter growth is competitive with Greg Johnson's species-specific model, with the trait-driven leg landing within about 22 percent of it on a species it has never seen.</w:t>
      </w:r>
    </w:p>
    <w:p>
      <w:pPr>
        <w:spacing w:after="140" w:line="276"/>
      </w:pPr>
      <w:r>
        <w:t xml:space="preserve">On maximum SDI: the FVS species-weighted maximum is biased about 28 percent high with near-zero plot-level skill, and a localized, FIA-derived maximum predicts observed self-thinning about 85 percent better, nationally and in the West. Regional FVS projections and a scale diagnostic refine the recommendation: the FIA maximum's value is in its spatial pattern, while its level must be calibrated jointly with the density-dependent mortality response. Localizing the maximum helps most where self-thinning governs stand dynamics, the East, South, and moist West, and least in the dry interior West.</w:t>
      </w:r>
    </w:p>
    <w:p>
      <w:pPr>
        <w:pStyle w:val="Heading1"/>
      </w:pPr>
      <w:r>
        <w:t xml:space="preserve">Part I. CONUS-wide component equations</w:t>
      </w:r>
    </w:p>
    <w:p>
      <w:pPr>
        <w:pStyle w:val="Heading2"/>
      </w:pPr>
      <w:r>
        <w:t xml:space="preserve">Why one CONUS variant</w:t>
      </w:r>
    </w:p>
    <w:p>
      <w:pPr>
        <w:spacing w:after="140" w:line="276"/>
      </w:pPr>
      <w:r>
        <w:t xml:space="preserve">Twenty regional FVS variants with different functional forms and species coverage are hard to keep current, leave rare species thinly supported, and make consistent national analyses awkward. A single CONUS-unified set of component equations, calibrated on FIA remeasurement and trait-aware, addresses all three without discarding what the regional variants do well. The goal is to predict short- and long-term stand development for all US species at least as accurately as the regional variants and as Greg Johnson's CONUS equations, with calibrated uncertainty.</w:t>
      </w:r>
    </w:p>
    <w:p>
      <w:pPr>
        <w:pStyle w:val="Heading2"/>
      </w:pPr>
      <w:r>
        <w:t xml:space="preserve">Two design axes</w:t>
      </w:r>
    </w:p>
    <w:p>
      <w:pPr>
        <w:spacing w:after="140" w:line="276"/>
      </w:pPr>
      <w:r>
        <w:t xml:space="preserve">Two axes organize the work. Tree-level equations predict each tree's growth and survival; stand-level equations constrain the whole-stand trajectory so long-term projections respect the size-density limit. A species-dependent leg fits per-species parameters where data are sufficient, and a species-independent, trait-driven leg covers rare and unsampled species; the two are blended per species by a shrinkage weight so well-sampled species keep their own fit and rare species fall back to the trait form.</w:t>
      </w:r>
    </w:p>
    <w:p>
      <w:pPr>
        <w:pStyle w:val="Heading2"/>
      </w:pPr>
      <w:r>
        <w:t xml:space="preserve">Where it stands</w:t>
      </w:r>
    </w:p>
    <w:p>
      <w:pPr>
        <w:pStyle w:val="ListParagraph"/>
        <w:numPr>
          <w:ilvl w:val="0"/>
          <w:numId w:val="2"/>
        </w:numPr>
        <w:spacing w:after="80"/>
      </w:pPr>
      <w:r>
        <w:t xml:space="preserve">Tree-level components are built: diameter and height growth, height-diameter, height-to-crown-base, crown ratio, survival, and ingrowth. Three carry a validated refit awaiting adoption (annualized crown and crown base, a relative-size senescence term).</w:t>
      </w:r>
    </w:p>
    <w:p>
      <w:pPr>
        <w:pStyle w:val="ListParagraph"/>
        <w:numPr>
          <w:ilvl w:val="0"/>
          <w:numId w:val="2"/>
        </w:numPr>
        <w:spacing w:after="80"/>
      </w:pPr>
      <w:r>
        <w:t xml:space="preserve">Stand-level constraint equations are prototyped (age-independent, annualized, in the spirit of Garcia's state-space approach) but not yet integrated as a constraint layer.</w:t>
      </w:r>
    </w:p>
    <w:p>
      <w:pPr>
        <w:pStyle w:val="ListParagraph"/>
        <w:numPr>
          <w:ilvl w:val="0"/>
          <w:numId w:val="2"/>
        </w:numPr>
        <w:spacing w:after="80"/>
      </w:pPr>
      <w:r>
        <w:t xml:space="preserve">Engine integration is the largest remaining task: the engine is driven today through multipliers and the SDIMAX keyword, and injecting the trait-driven equations as the engine's growth functions is the path to a full unified variant.</w:t>
      </w:r>
    </w:p>
    <w:p>
      <w:pPr>
        <w:pStyle w:val="Heading2"/>
      </w:pPr>
      <w:r>
        <w:t xml:space="preserve">Benchmark and comparison results</w:t>
      </w:r>
    </w:p>
    <w:p>
      <w:pPr>
        <w:spacing w:after="140" w:line="276"/>
      </w:pPr>
      <w:r>
        <w:t xml:space="preserve">On a clean Northeast benchmark (FIA remeasurement, year-0 reproducing observed stand state exactly), the unified equations are best on basal area, nearly unbiased (-0.6 percent) versus the native NE and ACD variants (+12 to +13 percent). Density was the one weakness, traced entirely to the maximum-SDI setting and addressed in Part II.</w:t>
      </w:r>
    </w:p>
    <w:p>
      <w:pPr>
        <w:spacing w:after="140" w:line="276"/>
      </w:pPr>
      <w:r>
        <w:t xml:space="preserve">Against Greg Johnson's CONUS equations on Douglas-fir diameter growth, our species-dependent fit is competitive on RMSE (0.091 versus 0.097 cm/yr), and the species-free leg reaches RMSE 0.118 predicting Douglas-fir from traits alone, having never seen one, within about 22 percent of a model fit on 156,000 Douglas-fir observations. That is the coverage case where species-specific systems have no model at all.</w:t>
      </w:r>
    </w:p>
    <w:p>
      <w:r>
        <w:br w:type="page"/>
      </w:r>
    </w:p>
    <w:p>
      <w:pPr>
        <w:pStyle w:val="Heading1"/>
      </w:pPr>
      <w:r>
        <w:t xml:space="preserve">Part II. Localizing maximum stand density index</w:t>
      </w:r>
    </w:p>
    <w:p>
      <w:pPr>
        <w:pStyle w:val="Heading2"/>
      </w:pPr>
      <w:r>
        <w:t xml:space="preserve">Background and the problem</w:t>
      </w:r>
    </w:p>
    <w:p>
      <w:pPr>
        <w:spacing w:after="140" w:line="276"/>
      </w:pPr>
      <w:r>
        <w:t xml:space="preserve">FVS, like most growth-and-yield systems, sets a stand's maximum SDI by weighting fixed per-species maximum-SDI constants by composition. This species-weighted maximum has two quantifiable problems. First, it is biased high by about 28 percent relative to an FIA-estimated maximum, with a bias-corrected coefficient of determination of about 0.02, so it carries almost no plot-level information; per-species maxima are conservative pure-stand bounds, and basal-area-weighting them across a mixed stand overstates the achievable maximum. Second, maximum SDI is not directly observable, so the case cannot rest on matching any one estimate; the only non-circular test is predictive, against observed stand dynamics.</w:t>
      </w:r>
    </w:p>
    <w:p>
      <w:pPr>
        <w:pStyle w:val="Heading2"/>
      </w:pPr>
      <w:r>
        <w:t xml:space="preserve">The non-circular test</w:t>
      </w:r>
    </w:p>
    <w:p>
      <w:pPr>
        <w:spacing w:after="140" w:line="276"/>
      </w:pPr>
      <w:r>
        <w:t xml:space="preserve">Relative density (SDI divided by the maximum) drives self-thinning, so the better maximum is the one whose relative density better predicts observed density loss in remeasurement. On 82,130 remeasured plots, deviance explained of observed annual density change: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400"/>
        <w:gridCol w:w="2280"/>
        <w:gridCol w:w="2280"/>
      </w:tblGrid>
      <w:tr>
        <w:trPr>
          <w:tblHeader/>
        </w:trPr>
        <w:tc>
          <w:tcPr>
            <w:tcW w:type="dxa" w:w="2400"/>
            <w:shd w:fill="1A3D28" w:val="clear"/>
            <w:tcMar>
              <w:top w:type="dxa" w:w="60"/>
              <w:left w:type="dxa" w:w="120"/>
              <w:bottom w:type="dxa" w:w="60"/>
              <w:right w:type="dxa" w:w="120"/>
            </w:tcMar>
          </w:tcPr>
          <w:p>
            <w:r>
              <w:rPr>
                <w:b/>
                <w:bCs/>
                <w:color w:val="FFFFFF"/>
                <w:sz w:val="19"/>
                <w:szCs w:val="19"/>
              </w:rPr>
              <w:t xml:space="preserve">Region</w:t>
            </w:r>
          </w:p>
        </w:tc>
        <w:tc>
          <w:tcPr>
            <w:tcW w:type="dxa" w:w="2400"/>
            <w:shd w:fill="1A3D28" w:val="clear"/>
            <w:tcMar>
              <w:top w:type="dxa" w:w="60"/>
              <w:left w:type="dxa" w:w="120"/>
              <w:bottom w:type="dxa" w:w="60"/>
              <w:right w:type="dxa" w:w="120"/>
            </w:tcMar>
          </w:tcPr>
          <w:p>
            <w:r>
              <w:rPr>
                <w:b/>
                <w:bCs/>
                <w:color w:val="FFFFFF"/>
                <w:sz w:val="19"/>
                <w:szCs w:val="19"/>
              </w:rPr>
              <w:t xml:space="preserve">FVS species-weighted</w:t>
            </w:r>
          </w:p>
        </w:tc>
        <w:tc>
          <w:tcPr>
            <w:tcW w:type="dxa" w:w="2280"/>
            <w:shd w:fill="1A3D28" w:val="clear"/>
            <w:tcMar>
              <w:top w:type="dxa" w:w="60"/>
              <w:left w:type="dxa" w:w="120"/>
              <w:bottom w:type="dxa" w:w="60"/>
              <w:right w:type="dxa" w:w="120"/>
            </w:tcMar>
          </w:tcPr>
          <w:p>
            <w:r>
              <w:rPr>
                <w:b/>
                <w:bCs/>
                <w:color w:val="FFFFFF"/>
                <w:sz w:val="19"/>
                <w:szCs w:val="19"/>
              </w:rPr>
              <w:t xml:space="preserve">Localized (FIA)</w:t>
            </w:r>
          </w:p>
        </w:tc>
        <w:tc>
          <w:tcPr>
            <w:tcW w:type="dxa" w:w="2280"/>
            <w:shd w:fill="1A3D28" w:val="clear"/>
            <w:tcMar>
              <w:top w:type="dxa" w:w="60"/>
              <w:left w:type="dxa" w:w="120"/>
              <w:bottom w:type="dxa" w:w="60"/>
              <w:right w:type="dxa" w:w="120"/>
            </w:tcMar>
          </w:tcPr>
          <w:p>
            <w:r>
              <w:rPr>
                <w:b/>
                <w:bCs/>
                <w:color w:val="FFFFFF"/>
                <w:sz w:val="19"/>
                <w:szCs w:val="19"/>
              </w:rPr>
              <w:t xml:space="preserve">Improvement</w:t>
            </w:r>
          </w:p>
        </w:tc>
      </w:tr>
      <w:tr>
        <w:tc>
          <w:tcPr>
            <w:tcW w:type="dxa" w:w="2400"/>
            <w:tcMar>
              <w:top w:type="dxa" w:w="50"/>
              <w:left w:type="dxa" w:w="120"/>
              <w:bottom w:type="dxa" w:w="50"/>
              <w:right w:type="dxa" w:w="120"/>
            </w:tcMar>
          </w:tcPr>
          <w:p>
            <w:r>
              <w:rPr>
                <w:b w:val="false"/>
                <w:bCs w:val="false"/>
                <w:color w:val="333333"/>
                <w:sz w:val="19"/>
                <w:szCs w:val="19"/>
              </w:rPr>
              <w:t xml:space="preserve">All</w:t>
            </w:r>
          </w:p>
        </w:tc>
        <w:tc>
          <w:tcPr>
            <w:tcW w:type="dxa" w:w="2400"/>
            <w:tcMar>
              <w:top w:type="dxa" w:w="50"/>
              <w:left w:type="dxa" w:w="120"/>
              <w:bottom w:type="dxa" w:w="50"/>
              <w:right w:type="dxa" w:w="120"/>
            </w:tcMar>
          </w:tcPr>
          <w:p>
            <w:r>
              <w:rPr>
                <w:b w:val="false"/>
                <w:bCs w:val="false"/>
                <w:color w:val="333333"/>
                <w:sz w:val="19"/>
                <w:szCs w:val="19"/>
              </w:rPr>
              <w:t xml:space="preserve">0.058</w:t>
            </w:r>
          </w:p>
        </w:tc>
        <w:tc>
          <w:tcPr>
            <w:tcW w:type="dxa" w:w="2280"/>
            <w:tcMar>
              <w:top w:type="dxa" w:w="50"/>
              <w:left w:type="dxa" w:w="120"/>
              <w:bottom w:type="dxa" w:w="50"/>
              <w:right w:type="dxa" w:w="120"/>
            </w:tcMar>
          </w:tcPr>
          <w:p>
            <w:r>
              <w:rPr>
                <w:b/>
                <w:bCs/>
                <w:color w:val="1A3D28"/>
                <w:sz w:val="19"/>
                <w:szCs w:val="19"/>
              </w:rPr>
              <w:t xml:space="preserve">0.107</w:t>
            </w:r>
          </w:p>
        </w:tc>
        <w:tc>
          <w:tcPr>
            <w:tcW w:type="dxa" w:w="2280"/>
            <w:tcMar>
              <w:top w:type="dxa" w:w="50"/>
              <w:left w:type="dxa" w:w="120"/>
              <w:bottom w:type="dxa" w:w="50"/>
              <w:right w:type="dxa" w:w="120"/>
            </w:tcMar>
          </w:tcPr>
          <w:p>
            <w:r>
              <w:rPr>
                <w:b w:val="false"/>
                <w:bCs w:val="false"/>
                <w:color w:val="333333"/>
                <w:sz w:val="19"/>
                <w:szCs w:val="19"/>
              </w:rPr>
              <w:t xml:space="preserve">~85%</w:t>
            </w:r>
          </w:p>
        </w:tc>
      </w:tr>
      <w:tr>
        <w:tc>
          <w:tcPr>
            <w:tcW w:type="dxa" w:w="2400"/>
            <w:tcMar>
              <w:top w:type="dxa" w:w="50"/>
              <w:left w:type="dxa" w:w="120"/>
              <w:bottom w:type="dxa" w:w="50"/>
              <w:right w:type="dxa" w:w="120"/>
            </w:tcMar>
          </w:tcPr>
          <w:p>
            <w:r>
              <w:rPr>
                <w:b w:val="false"/>
                <w:bCs w:val="false"/>
                <w:color w:val="333333"/>
                <w:sz w:val="19"/>
                <w:szCs w:val="19"/>
              </w:rPr>
              <w:t xml:space="preserve">East</w:t>
            </w:r>
          </w:p>
        </w:tc>
        <w:tc>
          <w:tcPr>
            <w:tcW w:type="dxa" w:w="2400"/>
            <w:tcMar>
              <w:top w:type="dxa" w:w="50"/>
              <w:left w:type="dxa" w:w="120"/>
              <w:bottom w:type="dxa" w:w="50"/>
              <w:right w:type="dxa" w:w="120"/>
            </w:tcMar>
          </w:tcPr>
          <w:p>
            <w:r>
              <w:rPr>
                <w:b w:val="false"/>
                <w:bCs w:val="false"/>
                <w:color w:val="333333"/>
                <w:sz w:val="19"/>
                <w:szCs w:val="19"/>
              </w:rPr>
              <w:t xml:space="preserve">0.072</w:t>
            </w:r>
          </w:p>
        </w:tc>
        <w:tc>
          <w:tcPr>
            <w:tcW w:type="dxa" w:w="2280"/>
            <w:tcMar>
              <w:top w:type="dxa" w:w="50"/>
              <w:left w:type="dxa" w:w="120"/>
              <w:bottom w:type="dxa" w:w="50"/>
              <w:right w:type="dxa" w:w="120"/>
            </w:tcMar>
          </w:tcPr>
          <w:p>
            <w:r>
              <w:rPr>
                <w:b/>
                <w:bCs/>
                <w:color w:val="1A3D28"/>
                <w:sz w:val="19"/>
                <w:szCs w:val="19"/>
              </w:rPr>
              <w:t xml:space="preserve">0.124</w:t>
            </w:r>
          </w:p>
        </w:tc>
        <w:tc>
          <w:tcPr>
            <w:tcW w:type="dxa" w:w="2280"/>
            <w:tcMar>
              <w:top w:type="dxa" w:w="50"/>
              <w:left w:type="dxa" w:w="120"/>
              <w:bottom w:type="dxa" w:w="50"/>
              <w:right w:type="dxa" w:w="120"/>
            </w:tcMar>
          </w:tcPr>
          <w:p>
            <w:r>
              <w:rPr>
                <w:b w:val="false"/>
                <w:bCs w:val="false"/>
                <w:color w:val="333333"/>
                <w:sz w:val="19"/>
                <w:szCs w:val="19"/>
              </w:rPr>
              <w:t xml:space="preserve">~72%</w:t>
            </w:r>
          </w:p>
        </w:tc>
      </w:tr>
      <w:tr>
        <w:tc>
          <w:tcPr>
            <w:tcW w:type="dxa" w:w="2400"/>
            <w:tcMar>
              <w:top w:type="dxa" w:w="50"/>
              <w:left w:type="dxa" w:w="120"/>
              <w:bottom w:type="dxa" w:w="50"/>
              <w:right w:type="dxa" w:w="120"/>
            </w:tcMar>
          </w:tcPr>
          <w:p>
            <w:r>
              <w:rPr>
                <w:b w:val="false"/>
                <w:bCs w:val="false"/>
                <w:color w:val="333333"/>
                <w:sz w:val="19"/>
                <w:szCs w:val="19"/>
              </w:rPr>
              <w:t xml:space="preserve">West</w:t>
            </w:r>
          </w:p>
        </w:tc>
        <w:tc>
          <w:tcPr>
            <w:tcW w:type="dxa" w:w="2400"/>
            <w:tcMar>
              <w:top w:type="dxa" w:w="50"/>
              <w:left w:type="dxa" w:w="120"/>
              <w:bottom w:type="dxa" w:w="50"/>
              <w:right w:type="dxa" w:w="120"/>
            </w:tcMar>
          </w:tcPr>
          <w:p>
            <w:r>
              <w:rPr>
                <w:b w:val="false"/>
                <w:bCs w:val="false"/>
                <w:color w:val="333333"/>
                <w:sz w:val="19"/>
                <w:szCs w:val="19"/>
              </w:rPr>
              <w:t xml:space="preserve">0.034</w:t>
            </w:r>
          </w:p>
        </w:tc>
        <w:tc>
          <w:tcPr>
            <w:tcW w:type="dxa" w:w="2280"/>
            <w:tcMar>
              <w:top w:type="dxa" w:w="50"/>
              <w:left w:type="dxa" w:w="120"/>
              <w:bottom w:type="dxa" w:w="50"/>
              <w:right w:type="dxa" w:w="120"/>
            </w:tcMar>
          </w:tcPr>
          <w:p>
            <w:r>
              <w:rPr>
                <w:b/>
                <w:bCs/>
                <w:color w:val="1A3D28"/>
                <w:sz w:val="19"/>
                <w:szCs w:val="19"/>
              </w:rPr>
              <w:t xml:space="preserve">0.057</w:t>
            </w:r>
          </w:p>
        </w:tc>
        <w:tc>
          <w:tcPr>
            <w:tcW w:type="dxa" w:w="2280"/>
            <w:tcMar>
              <w:top w:type="dxa" w:w="50"/>
              <w:left w:type="dxa" w:w="120"/>
              <w:bottom w:type="dxa" w:w="50"/>
              <w:right w:type="dxa" w:w="120"/>
            </w:tcMar>
          </w:tcPr>
          <w:p>
            <w:r>
              <w:rPr>
                <w:b w:val="false"/>
                <w:bCs w:val="false"/>
                <w:color w:val="333333"/>
                <w:sz w:val="19"/>
                <w:szCs w:val="19"/>
              </w:rPr>
              <w:t xml:space="preserve">~68%</w:t>
            </w:r>
          </w:p>
        </w:tc>
      </w:tr>
    </w:tbl>
    <w:p>
      <w:pPr>
        <w:spacing w:after="140"/>
      </w:pPr>
      <w:r>
        <w:rPr>
          <w:sz w:val="20"/>
          <w:szCs w:val="20"/>
        </w:rPr>
        <w:t xml:space="preserve">The localized maximum predicts observed self-thinning better in every region, on the one criterion that is not circular.</w:t>
      </w:r>
    </w:p>
    <w:p>
      <w:pPr>
        <w:pStyle w:val="Heading2"/>
      </w:pPr>
      <w:r>
        <w:t xml:space="preserve">Side-by-side FVS projections, and the regional result</w:t>
      </w:r>
    </w:p>
    <w:p>
      <w:pPr>
        <w:spacing w:after="140" w:line="276"/>
      </w:pPr>
      <w:r>
        <w:t xml:space="preserve">To show the consequence inside FVS, we ran paired projections, default versus localized maximum, identical except the SDIMAX value. In the Pacific Northwest the localized maximum cut density error by about a quarter in dense stands (35 to 26 percent RMSE), with basal area and quadratic mean diameter unchanged, the correct signature since the maximum governs density and not size. In the Central Rockies and the South the raw drop-in was neutral-to-harmful.</w:t>
      </w:r>
    </w:p>
    <w:p>
      <w:pPr>
        <w:spacing w:after="60" w:before="80"/>
        <w:jc w:val="center"/>
      </w:pPr>
      <w:r>
        <w:drawing>
          <wp:inline distT="0" distB="0" distL="0" distR="0">
            <wp:extent cx="5715000" cy="2524125"/>
            <wp:effectExtent t="0" r="0" b="0" l="0"/>
            <wp:docPr id="1" name="pn_vs_cr_maxSDI.png" descr="pn_vs_cr_maxSDI.png" title="pn_vs_cr_maxS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160"/>
        <w:jc w:val="center"/>
      </w:pPr>
      <w:r>
        <w:rPr>
          <w:i/>
          <w:iCs/>
          <w:color w:val="666666"/>
          <w:sz w:val="18"/>
          <w:szCs w:val="18"/>
        </w:rPr>
        <w:t xml:space="preserve">Figure 1. The same default-vs-localized test in two regions. Localizing the maximum cuts density error in productive, dense Pacific Northwest stands and increases it in dry interior Central Rockies stands.</w:t>
      </w:r>
    </w:p>
    <w:p>
      <w:pPr>
        <w:pStyle w:val="Heading2"/>
      </w:pPr>
      <w:r>
        <w:t xml:space="preserve">Why: spatial pattern versus level</w:t>
      </w:r>
    </w:p>
    <w:p>
      <w:pPr>
        <w:spacing w:after="140" w:line="276"/>
      </w:pPr>
      <w:r>
        <w:t xml:space="preserve">A scale diagnostic resolves the difference. The FIA maximum carries a spatial pattern and a level. Holding the pattern fixed and varying the level, Central Rockies density error is lowest near 0.9 times the raw value, below the native default, with near-zero bias. So the spatial information is good; the earlier degradation was a level offset of about ten percent.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rPr>
          <w:tblHeader/>
        </w:trPr>
        <w:tc>
          <w:tcPr>
            <w:tcW w:type="dxa" w:w="3120"/>
            <w:shd w:fill="1A3D28" w:val="clear"/>
            <w:tcMar>
              <w:top w:type="dxa" w:w="60"/>
              <w:left w:type="dxa" w:w="120"/>
              <w:bottom w:type="dxa" w:w="60"/>
              <w:right w:type="dxa" w:w="120"/>
            </w:tcMar>
          </w:tcPr>
          <w:p>
            <w:r>
              <w:rPr>
                <w:b/>
                <w:bCs/>
                <w:color w:val="FFFFFF"/>
                <w:sz w:val="19"/>
                <w:szCs w:val="19"/>
              </w:rPr>
              <w:t xml:space="preserve">Level applied to brms maximum</w:t>
            </w:r>
          </w:p>
        </w:tc>
        <w:tc>
          <w:tcPr>
            <w:tcW w:type="dxa" w:w="3120"/>
            <w:shd w:fill="1A3D28" w:val="clear"/>
            <w:tcMar>
              <w:top w:type="dxa" w:w="60"/>
              <w:left w:type="dxa" w:w="120"/>
              <w:bottom w:type="dxa" w:w="60"/>
              <w:right w:type="dxa" w:w="120"/>
            </w:tcMar>
          </w:tcPr>
          <w:p>
            <w:r>
              <w:rPr>
                <w:b/>
                <w:bCs/>
                <w:color w:val="FFFFFF"/>
                <w:sz w:val="19"/>
                <w:szCs w:val="19"/>
              </w:rPr>
              <w:t xml:space="preserve">CR density % RMSE</w:t>
            </w:r>
          </w:p>
        </w:tc>
        <w:tc>
          <w:tcPr>
            <w:tcW w:type="dxa" w:w="3120"/>
            <w:shd w:fill="1A3D28" w:val="clear"/>
            <w:tcMar>
              <w:top w:type="dxa" w:w="60"/>
              <w:left w:type="dxa" w:w="120"/>
              <w:bottom w:type="dxa" w:w="60"/>
              <w:right w:type="dxa" w:w="120"/>
            </w:tcMar>
          </w:tcPr>
          <w:p>
            <w:r>
              <w:rPr>
                <w:b/>
                <w:bCs/>
                <w:color w:val="FFFFFF"/>
                <w:sz w:val="19"/>
                <w:szCs w:val="19"/>
              </w:rPr>
              <w:t xml:space="preserve">Bias %</w:t>
            </w:r>
          </w:p>
        </w:tc>
      </w:tr>
      <w:tr>
        <w:tc>
          <w:tcPr>
            <w:tcW w:type="dxa" w:w="3120"/>
            <w:tcMar>
              <w:top w:type="dxa" w:w="50"/>
              <w:left w:type="dxa" w:w="120"/>
              <w:bottom w:type="dxa" w:w="50"/>
              <w:right w:type="dxa" w:w="120"/>
            </w:tcMar>
          </w:tcPr>
          <w:p>
            <w:r>
              <w:rPr>
                <w:b w:val="false"/>
                <w:bCs w:val="false"/>
                <w:color w:val="333333"/>
                <w:sz w:val="19"/>
                <w:szCs w:val="19"/>
              </w:rPr>
              <w:t xml:space="preserve">native default</w:t>
            </w:r>
          </w:p>
        </w:tc>
        <w:tc>
          <w:tcPr>
            <w:tcW w:type="dxa" w:w="3120"/>
            <w:tcMar>
              <w:top w:type="dxa" w:w="50"/>
              <w:left w:type="dxa" w:w="120"/>
              <w:bottom w:type="dxa" w:w="50"/>
              <w:right w:type="dxa" w:w="120"/>
            </w:tcMar>
          </w:tcPr>
          <w:p>
            <w:r>
              <w:rPr>
                <w:b w:val="false"/>
                <w:bCs w:val="false"/>
                <w:color w:val="333333"/>
                <w:sz w:val="19"/>
                <w:szCs w:val="19"/>
              </w:rPr>
              <w:t xml:space="preserve">49.0</w:t>
            </w:r>
          </w:p>
        </w:tc>
        <w:tc>
          <w:tcPr>
            <w:tcW w:type="dxa" w:w="3120"/>
            <w:tcMar>
              <w:top w:type="dxa" w:w="50"/>
              <w:left w:type="dxa" w:w="120"/>
              <w:bottom w:type="dxa" w:w="50"/>
              <w:right w:type="dxa" w:w="120"/>
            </w:tcMar>
          </w:tcPr>
          <w:p>
            <w:r>
              <w:rPr>
                <w:b w:val="false"/>
                <w:bCs w:val="false"/>
                <w:color w:val="333333"/>
                <w:sz w:val="19"/>
                <w:szCs w:val="19"/>
              </w:rPr>
              <w:t xml:space="preserve">+9.4</w:t>
            </w:r>
          </w:p>
        </w:tc>
      </w:tr>
      <w:tr>
        <w:tc>
          <w:tcPr>
            <w:tcW w:type="dxa" w:w="3120"/>
            <w:tcMar>
              <w:top w:type="dxa" w:w="50"/>
              <w:left w:type="dxa" w:w="120"/>
              <w:bottom w:type="dxa" w:w="50"/>
              <w:right w:type="dxa" w:w="120"/>
            </w:tcMar>
          </w:tcPr>
          <w:p>
            <w:r>
              <w:rPr>
                <w:b/>
                <w:bCs/>
                <w:color w:val="1A3D28"/>
                <w:sz w:val="19"/>
                <w:szCs w:val="19"/>
              </w:rPr>
              <w:t xml:space="preserve">brms x 0.9</w:t>
            </w:r>
          </w:p>
        </w:tc>
        <w:tc>
          <w:tcPr>
            <w:tcW w:type="dxa" w:w="3120"/>
            <w:tcMar>
              <w:top w:type="dxa" w:w="50"/>
              <w:left w:type="dxa" w:w="120"/>
              <w:bottom w:type="dxa" w:w="50"/>
              <w:right w:type="dxa" w:w="120"/>
            </w:tcMar>
          </w:tcPr>
          <w:p>
            <w:r>
              <w:rPr>
                <w:b/>
                <w:bCs/>
                <w:color w:val="1A3D28"/>
                <w:sz w:val="19"/>
                <w:szCs w:val="19"/>
              </w:rPr>
              <w:t xml:space="preserve">47.1</w:t>
            </w:r>
          </w:p>
        </w:tc>
        <w:tc>
          <w:tcPr>
            <w:tcW w:type="dxa" w:w="3120"/>
            <w:tcMar>
              <w:top w:type="dxa" w:w="50"/>
              <w:left w:type="dxa" w:w="120"/>
              <w:bottom w:type="dxa" w:w="50"/>
              <w:right w:type="dxa" w:w="120"/>
            </w:tcMar>
          </w:tcPr>
          <w:p>
            <w:r>
              <w:rPr>
                <w:b/>
                <w:bCs/>
                <w:color w:val="1A3D28"/>
                <w:sz w:val="19"/>
                <w:szCs w:val="19"/>
              </w:rPr>
              <w:t xml:space="preserve">-1.8</w:t>
            </w:r>
          </w:p>
        </w:tc>
      </w:tr>
      <w:tr>
        <w:tc>
          <w:tcPr>
            <w:tcW w:type="dxa" w:w="3120"/>
            <w:tcMar>
              <w:top w:type="dxa" w:w="50"/>
              <w:left w:type="dxa" w:w="120"/>
              <w:bottom w:type="dxa" w:w="50"/>
              <w:right w:type="dxa" w:w="120"/>
            </w:tcMar>
          </w:tcPr>
          <w:p>
            <w:r>
              <w:rPr>
                <w:b w:val="false"/>
                <w:bCs w:val="false"/>
                <w:color w:val="333333"/>
                <w:sz w:val="19"/>
                <w:szCs w:val="19"/>
              </w:rPr>
              <w:t xml:space="preserve">brms x 1.0 (raw)</w:t>
            </w:r>
          </w:p>
        </w:tc>
        <w:tc>
          <w:tcPr>
            <w:tcW w:type="dxa" w:w="3120"/>
            <w:tcMar>
              <w:top w:type="dxa" w:w="50"/>
              <w:left w:type="dxa" w:w="120"/>
              <w:bottom w:type="dxa" w:w="50"/>
              <w:right w:type="dxa" w:w="120"/>
            </w:tcMar>
          </w:tcPr>
          <w:p>
            <w:r>
              <w:rPr>
                <w:b w:val="false"/>
                <w:bCs w:val="false"/>
                <w:color w:val="333333"/>
                <w:sz w:val="19"/>
                <w:szCs w:val="19"/>
              </w:rPr>
              <w:t xml:space="preserve">47.3</w:t>
            </w:r>
          </w:p>
        </w:tc>
        <w:tc>
          <w:tcPr>
            <w:tcW w:type="dxa" w:w="3120"/>
            <w:tcMar>
              <w:top w:type="dxa" w:w="50"/>
              <w:left w:type="dxa" w:w="120"/>
              <w:bottom w:type="dxa" w:w="50"/>
              <w:right w:type="dxa" w:w="120"/>
            </w:tcMar>
          </w:tcPr>
          <w:p>
            <w:r>
              <w:rPr>
                <w:b w:val="false"/>
                <w:bCs w:val="false"/>
                <w:color w:val="333333"/>
                <w:sz w:val="19"/>
                <w:szCs w:val="19"/>
              </w:rPr>
              <w:t xml:space="preserve">+2.5</w:t>
            </w:r>
          </w:p>
        </w:tc>
      </w:tr>
      <w:tr>
        <w:tc>
          <w:tcPr>
            <w:tcW w:type="dxa" w:w="3120"/>
            <w:tcMar>
              <w:top w:type="dxa" w:w="50"/>
              <w:left w:type="dxa" w:w="120"/>
              <w:bottom w:type="dxa" w:w="50"/>
              <w:right w:type="dxa" w:w="120"/>
            </w:tcMar>
          </w:tcPr>
          <w:p>
            <w:r>
              <w:rPr>
                <w:b w:val="false"/>
                <w:bCs w:val="false"/>
                <w:color w:val="333333"/>
                <w:sz w:val="19"/>
                <w:szCs w:val="19"/>
              </w:rPr>
              <w:t xml:space="preserve">brms x 1.2</w:t>
            </w:r>
          </w:p>
        </w:tc>
        <w:tc>
          <w:tcPr>
            <w:tcW w:type="dxa" w:w="3120"/>
            <w:tcMar>
              <w:top w:type="dxa" w:w="50"/>
              <w:left w:type="dxa" w:w="120"/>
              <w:bottom w:type="dxa" w:w="50"/>
              <w:right w:type="dxa" w:w="120"/>
            </w:tcMar>
          </w:tcPr>
          <w:p>
            <w:r>
              <w:rPr>
                <w:b w:val="false"/>
                <w:bCs w:val="false"/>
                <w:color w:val="333333"/>
                <w:sz w:val="19"/>
                <w:szCs w:val="19"/>
              </w:rPr>
              <w:t xml:space="preserve">50.9</w:t>
            </w:r>
          </w:p>
        </w:tc>
        <w:tc>
          <w:tcPr>
            <w:tcW w:type="dxa" w:w="3120"/>
            <w:tcMar>
              <w:top w:type="dxa" w:w="50"/>
              <w:left w:type="dxa" w:w="120"/>
              <w:bottom w:type="dxa" w:w="50"/>
              <w:right w:type="dxa" w:w="120"/>
            </w:tcMar>
          </w:tcPr>
          <w:p>
            <w:r>
              <w:rPr>
                <w:b w:val="false"/>
                <w:bCs w:val="false"/>
                <w:color w:val="333333"/>
                <w:sz w:val="19"/>
                <w:szCs w:val="19"/>
              </w:rPr>
              <w:t xml:space="preserve">+7.5</w:t>
            </w:r>
          </w:p>
        </w:tc>
      </w:tr>
    </w:tbl>
    <w:p>
      <w:pPr>
        <w:spacing w:after="60" w:before="80"/>
        <w:jc w:val="center"/>
      </w:pPr>
      <w:r>
        <w:drawing>
          <wp:inline distT="0" distB="0" distL="0" distR="0">
            <wp:extent cx="4381500" cy="2943225"/>
            <wp:effectExtent t="0" r="0" b="0" l="0"/>
            <wp:docPr id="1" name="cr_scale_diagnostic.png" descr="cr_scale_diagnostic.png" title="cr_scale_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43225"/>
                    </a:xfrm>
                    <a:prstGeom prst="rect">
                      <a:avLst/>
                    </a:prstGeom>
                  </pic:spPr>
                </pic:pic>
              </a:graphicData>
            </a:graphic>
          </wp:inline>
        </w:drawing>
      </w:r>
    </w:p>
    <w:p>
      <w:pPr>
        <w:spacing w:after="160"/>
        <w:jc w:val="center"/>
      </w:pPr>
      <w:r>
        <w:rPr>
          <w:i/>
          <w:iCs/>
          <w:color w:val="666666"/>
          <w:sz w:val="18"/>
          <w:szCs w:val="18"/>
        </w:rPr>
        <w:t xml:space="preserve">Figure 2. Holding the brms spatial pattern fixed and varying its level, CR density error is lowest near 0.9 times the raw value, below the native default, with near-zero bias.</w:t>
      </w:r>
    </w:p>
    <w:p>
      <w:pPr>
        <w:pStyle w:val="Heading2"/>
      </w:pPr>
      <w:r>
        <w:t xml:space="preserve">Joint maximum and mortality, and where the limit matters</w:t>
      </w:r>
    </w:p>
    <w:p>
      <w:pPr>
        <w:spacing w:after="140" w:line="276"/>
      </w:pPr>
      <w:r>
        <w:t xml:space="preserve">A joint analysis on 7.25 million remeasured plots across 19 FVS regions yields two results. First, the predictive skill of a flexible self-thinning fit is invariant to the maximum's overall level, so the FIA maximum's statistical value is in its spatial pattern and the level is necessarily set by the mortality model. That is the formal reason the level was invisible in the statistical test yet decisive in the FVS projection. Second, the strength of the self-thinning signal varies about four-fold by region: weakest in the dry interior West (Utah 0.04, Central Idaho 0.05, Central Rockies 0.06) and strongest in the moist East, South, and Pacific Northwest (Southern 0.14, Blue Mountains 0.12, Pacific Northwest 0.10, Northeast 0.10). Density-dependent self-thinning is a primary mortality control where growth is fast and canopies close, and a secondary one where drought and disturbance dominate.</w:t>
      </w:r>
    </w:p>
    <w:p>
      <w:pPr>
        <w:pStyle w:val="Heading2"/>
      </w:pPr>
      <w:r>
        <w:t xml:space="preserve">All-variant level calibration</w:t>
      </w:r>
    </w:p>
    <w:p>
      <w:pPr>
        <w:spacing w:after="140" w:line="276"/>
      </w:pPr>
      <w:r>
        <w:t xml:space="preserve">Sweeping the level applied to the localized maximum through the real FVS mortality response, for every CONUS regional variant, gives two results. The level-calibrated localized maximum matches or beats the native species-weighted maximum in 19 of the 20 variants (the lone exception is Utah), with substantial gains where the native level was most off (Klamath Mountains 75 to 54 percent RMSE, Acadian 53 to 37, Northeast 35 to 31). And the optimal level is strongly variant-specific, spanning 0.6 to 2.0 with a median near 1.2: most variants need the brms maximum scaled up to match their native mortality, a few need it scaled down. The more than three-fold spread is direct evidence that a common FIA maximum cannot be dropped into native variants at a uniform level; each needs its own, estimated jointly with that variant's mortality.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300"/>
        <w:gridCol w:w="2330"/>
        <w:gridCol w:w="2330"/>
      </w:tblGrid>
      <w:tr>
        <w:trPr>
          <w:tblHeader/>
        </w:trPr>
        <w:tc>
          <w:tcPr>
            <w:tcW w:type="dxa" w:w="2400"/>
            <w:shd w:fill="1A3D28" w:val="clear"/>
            <w:tcMar>
              <w:top w:type="dxa" w:w="60"/>
              <w:left w:type="dxa" w:w="120"/>
              <w:bottom w:type="dxa" w:w="60"/>
              <w:right w:type="dxa" w:w="120"/>
            </w:tcMar>
          </w:tcPr>
          <w:p>
            <w:r>
              <w:rPr>
                <w:b/>
                <w:bCs/>
                <w:color w:val="FFFFFF"/>
                <w:sz w:val="19"/>
                <w:szCs w:val="19"/>
              </w:rPr>
              <w:t xml:space="preserve">Variant</w:t>
            </w:r>
          </w:p>
        </w:tc>
        <w:tc>
          <w:tcPr>
            <w:tcW w:type="dxa" w:w="2300"/>
            <w:shd w:fill="1A3D28" w:val="clear"/>
            <w:tcMar>
              <w:top w:type="dxa" w:w="60"/>
              <w:left w:type="dxa" w:w="120"/>
              <w:bottom w:type="dxa" w:w="60"/>
              <w:right w:type="dxa" w:w="120"/>
            </w:tcMar>
          </w:tcPr>
          <w:p>
            <w:r>
              <w:rPr>
                <w:b/>
                <w:bCs/>
                <w:color w:val="FFFFFF"/>
                <w:sz w:val="19"/>
                <w:szCs w:val="19"/>
              </w:rPr>
              <w:t xml:space="preserve">Native % RMSE</w:t>
            </w:r>
          </w:p>
        </w:tc>
        <w:tc>
          <w:tcPr>
            <w:tcW w:type="dxa" w:w="2330"/>
            <w:shd w:fill="1A3D28" w:val="clear"/>
            <w:tcMar>
              <w:top w:type="dxa" w:w="60"/>
              <w:left w:type="dxa" w:w="120"/>
              <w:bottom w:type="dxa" w:w="60"/>
              <w:right w:type="dxa" w:w="120"/>
            </w:tcMar>
          </w:tcPr>
          <w:p>
            <w:r>
              <w:rPr>
                <w:b/>
                <w:bCs/>
                <w:color w:val="FFFFFF"/>
                <w:sz w:val="19"/>
                <w:szCs w:val="19"/>
              </w:rPr>
              <w:t xml:space="preserve">Calibrated % RMSE</w:t>
            </w:r>
          </w:p>
        </w:tc>
        <w:tc>
          <w:tcPr>
            <w:tcW w:type="dxa" w:w="2330"/>
            <w:shd w:fill="1A3D28" w:val="clear"/>
            <w:tcMar>
              <w:top w:type="dxa" w:w="60"/>
              <w:left w:type="dxa" w:w="120"/>
              <w:bottom w:type="dxa" w:w="60"/>
              <w:right w:type="dxa" w:w="120"/>
            </w:tcMar>
          </w:tcPr>
          <w:p>
            <w:r>
              <w:rPr>
                <w:b/>
                <w:bCs/>
                <w:color w:val="FFFFFF"/>
                <w:sz w:val="19"/>
                <w:szCs w:val="19"/>
              </w:rPr>
              <w:t xml:space="preserve">Optimal level</w:t>
            </w:r>
          </w:p>
        </w:tc>
      </w:tr>
      <w:tr>
        <w:tc>
          <w:tcPr>
            <w:tcW w:type="dxa" w:w="2400"/>
            <w:tcMar>
              <w:top w:type="dxa" w:w="50"/>
              <w:left w:type="dxa" w:w="120"/>
              <w:bottom w:type="dxa" w:w="50"/>
              <w:right w:type="dxa" w:w="120"/>
            </w:tcMar>
          </w:tcPr>
          <w:p>
            <w:r>
              <w:rPr>
                <w:b w:val="false"/>
                <w:bCs w:val="false"/>
                <w:color w:val="333333"/>
                <w:sz w:val="19"/>
                <w:szCs w:val="19"/>
              </w:rPr>
              <w:t xml:space="preserve">NE Northeast</w:t>
            </w:r>
          </w:p>
        </w:tc>
        <w:tc>
          <w:tcPr>
            <w:tcW w:type="dxa" w:w="2300"/>
            <w:tcMar>
              <w:top w:type="dxa" w:w="50"/>
              <w:left w:type="dxa" w:w="120"/>
              <w:bottom w:type="dxa" w:w="50"/>
              <w:right w:type="dxa" w:w="120"/>
            </w:tcMar>
          </w:tcPr>
          <w:p>
            <w:r>
              <w:rPr>
                <w:b w:val="false"/>
                <w:bCs w:val="false"/>
                <w:color w:val="333333"/>
                <w:sz w:val="19"/>
                <w:szCs w:val="19"/>
              </w:rPr>
              <w:t xml:space="preserve">34.6</w:t>
            </w:r>
          </w:p>
        </w:tc>
        <w:tc>
          <w:tcPr>
            <w:tcW w:type="dxa" w:w="2330"/>
            <w:tcMar>
              <w:top w:type="dxa" w:w="50"/>
              <w:left w:type="dxa" w:w="120"/>
              <w:bottom w:type="dxa" w:w="50"/>
              <w:right w:type="dxa" w:w="120"/>
            </w:tcMar>
          </w:tcPr>
          <w:p>
            <w:r>
              <w:rPr>
                <w:b/>
                <w:bCs/>
                <w:color w:val="1A3D28"/>
                <w:sz w:val="19"/>
                <w:szCs w:val="19"/>
              </w:rPr>
              <w:t xml:space="preserve">30.5</w:t>
            </w:r>
          </w:p>
        </w:tc>
        <w:tc>
          <w:tcPr>
            <w:tcW w:type="dxa" w:w="2330"/>
            <w:tcMar>
              <w:top w:type="dxa" w:w="50"/>
              <w:left w:type="dxa" w:w="120"/>
              <w:bottom w:type="dxa" w:w="50"/>
              <w:right w:type="dxa" w:w="120"/>
            </w:tcMar>
          </w:tcPr>
          <w:p>
            <w:r>
              <w:rPr>
                <w:b w:val="false"/>
                <w:bCs w:val="false"/>
                <w:color w:val="333333"/>
                <w:sz w:val="19"/>
                <w:szCs w:val="19"/>
              </w:rPr>
              <w:t xml:space="preserve">1.8</w:t>
            </w:r>
          </w:p>
        </w:tc>
      </w:tr>
      <w:tr>
        <w:tc>
          <w:tcPr>
            <w:tcW w:type="dxa" w:w="2400"/>
            <w:tcMar>
              <w:top w:type="dxa" w:w="50"/>
              <w:left w:type="dxa" w:w="120"/>
              <w:bottom w:type="dxa" w:w="50"/>
              <w:right w:type="dxa" w:w="120"/>
            </w:tcMar>
          </w:tcPr>
          <w:p>
            <w:r>
              <w:rPr>
                <w:b w:val="false"/>
                <w:bCs w:val="false"/>
                <w:color w:val="333333"/>
                <w:sz w:val="19"/>
                <w:szCs w:val="19"/>
              </w:rPr>
              <w:t xml:space="preserve">ACD Acadian</w:t>
            </w:r>
          </w:p>
        </w:tc>
        <w:tc>
          <w:tcPr>
            <w:tcW w:type="dxa" w:w="2300"/>
            <w:tcMar>
              <w:top w:type="dxa" w:w="50"/>
              <w:left w:type="dxa" w:w="120"/>
              <w:bottom w:type="dxa" w:w="50"/>
              <w:right w:type="dxa" w:w="120"/>
            </w:tcMar>
          </w:tcPr>
          <w:p>
            <w:r>
              <w:rPr>
                <w:b w:val="false"/>
                <w:bCs w:val="false"/>
                <w:color w:val="333333"/>
                <w:sz w:val="19"/>
                <w:szCs w:val="19"/>
              </w:rPr>
              <w:t xml:space="preserve">52.8</w:t>
            </w:r>
          </w:p>
        </w:tc>
        <w:tc>
          <w:tcPr>
            <w:tcW w:type="dxa" w:w="2330"/>
            <w:tcMar>
              <w:top w:type="dxa" w:w="50"/>
              <w:left w:type="dxa" w:w="120"/>
              <w:bottom w:type="dxa" w:w="50"/>
              <w:right w:type="dxa" w:w="120"/>
            </w:tcMar>
          </w:tcPr>
          <w:p>
            <w:r>
              <w:rPr>
                <w:b/>
                <w:bCs/>
                <w:color w:val="1A3D28"/>
                <w:sz w:val="19"/>
                <w:szCs w:val="19"/>
              </w:rPr>
              <w:t xml:space="preserve">36.9</w:t>
            </w:r>
          </w:p>
        </w:tc>
        <w:tc>
          <w:tcPr>
            <w:tcW w:type="dxa" w:w="2330"/>
            <w:tcMar>
              <w:top w:type="dxa" w:w="50"/>
              <w:left w:type="dxa" w:w="120"/>
              <w:bottom w:type="dxa" w:w="50"/>
              <w:right w:type="dxa" w:w="120"/>
            </w:tcMar>
          </w:tcPr>
          <w:p>
            <w:r>
              <w:rPr>
                <w:b w:val="false"/>
                <w:bCs w:val="false"/>
                <w:color w:val="333333"/>
                <w:sz w:val="19"/>
                <w:szCs w:val="19"/>
              </w:rPr>
              <w:t xml:space="preserve">2.0</w:t>
            </w:r>
          </w:p>
        </w:tc>
      </w:tr>
      <w:tr>
        <w:tc>
          <w:tcPr>
            <w:tcW w:type="dxa" w:w="2400"/>
            <w:tcMar>
              <w:top w:type="dxa" w:w="50"/>
              <w:left w:type="dxa" w:w="120"/>
              <w:bottom w:type="dxa" w:w="50"/>
              <w:right w:type="dxa" w:w="120"/>
            </w:tcMar>
          </w:tcPr>
          <w:p>
            <w:r>
              <w:rPr>
                <w:b w:val="false"/>
                <w:bCs w:val="false"/>
                <w:color w:val="333333"/>
                <w:sz w:val="19"/>
                <w:szCs w:val="19"/>
              </w:rPr>
              <w:t xml:space="preserve">NC Klamath Mtns</w:t>
            </w:r>
          </w:p>
        </w:tc>
        <w:tc>
          <w:tcPr>
            <w:tcW w:type="dxa" w:w="2300"/>
            <w:tcMar>
              <w:top w:type="dxa" w:w="50"/>
              <w:left w:type="dxa" w:w="120"/>
              <w:bottom w:type="dxa" w:w="50"/>
              <w:right w:type="dxa" w:w="120"/>
            </w:tcMar>
          </w:tcPr>
          <w:p>
            <w:r>
              <w:rPr>
                <w:b w:val="false"/>
                <w:bCs w:val="false"/>
                <w:color w:val="333333"/>
                <w:sz w:val="19"/>
                <w:szCs w:val="19"/>
              </w:rPr>
              <w:t xml:space="preserve">75.2</w:t>
            </w:r>
          </w:p>
        </w:tc>
        <w:tc>
          <w:tcPr>
            <w:tcW w:type="dxa" w:w="2330"/>
            <w:tcMar>
              <w:top w:type="dxa" w:w="50"/>
              <w:left w:type="dxa" w:w="120"/>
              <w:bottom w:type="dxa" w:w="50"/>
              <w:right w:type="dxa" w:w="120"/>
            </w:tcMar>
          </w:tcPr>
          <w:p>
            <w:r>
              <w:rPr>
                <w:b/>
                <w:bCs/>
                <w:color w:val="1A3D28"/>
                <w:sz w:val="19"/>
                <w:szCs w:val="19"/>
              </w:rPr>
              <w:t xml:space="preserve">54.0</w:t>
            </w:r>
          </w:p>
        </w:tc>
        <w:tc>
          <w:tcPr>
            <w:tcW w:type="dxa" w:w="2330"/>
            <w:tcMar>
              <w:top w:type="dxa" w:w="50"/>
              <w:left w:type="dxa" w:w="120"/>
              <w:bottom w:type="dxa" w:w="50"/>
              <w:right w:type="dxa" w:w="120"/>
            </w:tcMar>
          </w:tcPr>
          <w:p>
            <w:r>
              <w:rPr>
                <w:b w:val="false"/>
                <w:bCs w:val="false"/>
                <w:color w:val="333333"/>
                <w:sz w:val="19"/>
                <w:szCs w:val="19"/>
              </w:rPr>
              <w:t xml:space="preserve">2.0</w:t>
            </w:r>
          </w:p>
        </w:tc>
      </w:tr>
      <w:tr>
        <w:tc>
          <w:tcPr>
            <w:tcW w:type="dxa" w:w="2400"/>
            <w:tcMar>
              <w:top w:type="dxa" w:w="50"/>
              <w:left w:type="dxa" w:w="120"/>
              <w:bottom w:type="dxa" w:w="50"/>
              <w:right w:type="dxa" w:w="120"/>
            </w:tcMar>
          </w:tcPr>
          <w:p>
            <w:r>
              <w:rPr>
                <w:b w:val="false"/>
                <w:bCs w:val="false"/>
                <w:color w:val="333333"/>
                <w:sz w:val="19"/>
                <w:szCs w:val="19"/>
              </w:rPr>
              <w:t xml:space="preserve">CR Central Rockies</w:t>
            </w:r>
          </w:p>
        </w:tc>
        <w:tc>
          <w:tcPr>
            <w:tcW w:type="dxa" w:w="2300"/>
            <w:tcMar>
              <w:top w:type="dxa" w:w="50"/>
              <w:left w:type="dxa" w:w="120"/>
              <w:bottom w:type="dxa" w:w="50"/>
              <w:right w:type="dxa" w:w="120"/>
            </w:tcMar>
          </w:tcPr>
          <w:p>
            <w:r>
              <w:rPr>
                <w:b w:val="false"/>
                <w:bCs w:val="false"/>
                <w:color w:val="333333"/>
                <w:sz w:val="19"/>
                <w:szCs w:val="19"/>
              </w:rPr>
              <w:t xml:space="preserve">49.0</w:t>
            </w:r>
          </w:p>
        </w:tc>
        <w:tc>
          <w:tcPr>
            <w:tcW w:type="dxa" w:w="2330"/>
            <w:tcMar>
              <w:top w:type="dxa" w:w="50"/>
              <w:left w:type="dxa" w:w="120"/>
              <w:bottom w:type="dxa" w:w="50"/>
              <w:right w:type="dxa" w:w="120"/>
            </w:tcMar>
          </w:tcPr>
          <w:p>
            <w:r>
              <w:rPr>
                <w:b/>
                <w:bCs/>
                <w:color w:val="1A3D28"/>
                <w:sz w:val="19"/>
                <w:szCs w:val="19"/>
              </w:rPr>
              <w:t xml:space="preserve">47.3</w:t>
            </w:r>
          </w:p>
        </w:tc>
        <w:tc>
          <w:tcPr>
            <w:tcW w:type="dxa" w:w="2330"/>
            <w:tcMar>
              <w:top w:type="dxa" w:w="50"/>
              <w:left w:type="dxa" w:w="120"/>
              <w:bottom w:type="dxa" w:w="50"/>
              <w:right w:type="dxa" w:w="120"/>
            </w:tcMar>
          </w:tcPr>
          <w:p>
            <w:r>
              <w:rPr>
                <w:b w:val="false"/>
                <w:bCs w:val="false"/>
                <w:color w:val="333333"/>
                <w:sz w:val="19"/>
                <w:szCs w:val="19"/>
              </w:rPr>
              <w:t xml:space="preserve">1.0</w:t>
            </w:r>
          </w:p>
        </w:tc>
      </w:tr>
      <w:tr>
        <w:tc>
          <w:tcPr>
            <w:tcW w:type="dxa" w:w="2400"/>
            <w:tcMar>
              <w:top w:type="dxa" w:w="50"/>
              <w:left w:type="dxa" w:w="120"/>
              <w:bottom w:type="dxa" w:w="50"/>
              <w:right w:type="dxa" w:w="120"/>
            </w:tcMar>
          </w:tcPr>
          <w:p>
            <w:r>
              <w:rPr>
                <w:b w:val="false"/>
                <w:bCs w:val="false"/>
                <w:color w:val="333333"/>
                <w:sz w:val="19"/>
                <w:szCs w:val="19"/>
              </w:rPr>
              <w:t xml:space="preserve">IE Inland Empire</w:t>
            </w:r>
          </w:p>
        </w:tc>
        <w:tc>
          <w:tcPr>
            <w:tcW w:type="dxa" w:w="2300"/>
            <w:tcMar>
              <w:top w:type="dxa" w:w="50"/>
              <w:left w:type="dxa" w:w="120"/>
              <w:bottom w:type="dxa" w:w="50"/>
              <w:right w:type="dxa" w:w="120"/>
            </w:tcMar>
          </w:tcPr>
          <w:p>
            <w:r>
              <w:rPr>
                <w:b w:val="false"/>
                <w:bCs w:val="false"/>
                <w:color w:val="333333"/>
                <w:sz w:val="19"/>
                <w:szCs w:val="19"/>
              </w:rPr>
              <w:t xml:space="preserve">66.1</w:t>
            </w:r>
          </w:p>
        </w:tc>
        <w:tc>
          <w:tcPr>
            <w:tcW w:type="dxa" w:w="2330"/>
            <w:tcMar>
              <w:top w:type="dxa" w:w="50"/>
              <w:left w:type="dxa" w:w="120"/>
              <w:bottom w:type="dxa" w:w="50"/>
              <w:right w:type="dxa" w:w="120"/>
            </w:tcMar>
          </w:tcPr>
          <w:p>
            <w:r>
              <w:rPr>
                <w:b/>
                <w:bCs/>
                <w:color w:val="1A3D28"/>
                <w:sz w:val="19"/>
                <w:szCs w:val="19"/>
              </w:rPr>
              <w:t xml:space="preserve">60.9</w:t>
            </w:r>
          </w:p>
        </w:tc>
        <w:tc>
          <w:tcPr>
            <w:tcW w:type="dxa" w:w="2330"/>
            <w:tcMar>
              <w:top w:type="dxa" w:w="50"/>
              <w:left w:type="dxa" w:w="120"/>
              <w:bottom w:type="dxa" w:w="50"/>
              <w:right w:type="dxa" w:w="120"/>
            </w:tcMar>
          </w:tcPr>
          <w:p>
            <w:r>
              <w:rPr>
                <w:b w:val="false"/>
                <w:bCs w:val="false"/>
                <w:color w:val="333333"/>
                <w:sz w:val="19"/>
                <w:szCs w:val="19"/>
              </w:rPr>
              <w:t xml:space="preserve">0.8</w:t>
            </w:r>
          </w:p>
        </w:tc>
      </w:tr>
      <w:tr>
        <w:tc>
          <w:tcPr>
            <w:tcW w:type="dxa" w:w="2400"/>
            <w:tcMar>
              <w:top w:type="dxa" w:w="50"/>
              <w:left w:type="dxa" w:w="120"/>
              <w:bottom w:type="dxa" w:w="50"/>
              <w:right w:type="dxa" w:w="120"/>
            </w:tcMar>
          </w:tcPr>
          <w:p>
            <w:r>
              <w:rPr>
                <w:b w:val="false"/>
                <w:bCs w:val="false"/>
                <w:color w:val="333333"/>
                <w:sz w:val="19"/>
                <w:szCs w:val="19"/>
              </w:rPr>
              <w:t xml:space="preserve">SN Southern</w:t>
            </w:r>
          </w:p>
        </w:tc>
        <w:tc>
          <w:tcPr>
            <w:tcW w:type="dxa" w:w="2300"/>
            <w:tcMar>
              <w:top w:type="dxa" w:w="50"/>
              <w:left w:type="dxa" w:w="120"/>
              <w:bottom w:type="dxa" w:w="50"/>
              <w:right w:type="dxa" w:w="120"/>
            </w:tcMar>
          </w:tcPr>
          <w:p>
            <w:r>
              <w:rPr>
                <w:b w:val="false"/>
                <w:bCs w:val="false"/>
                <w:color w:val="333333"/>
                <w:sz w:val="19"/>
                <w:szCs w:val="19"/>
              </w:rPr>
              <w:t xml:space="preserve">96.2</w:t>
            </w:r>
          </w:p>
        </w:tc>
        <w:tc>
          <w:tcPr>
            <w:tcW w:type="dxa" w:w="2330"/>
            <w:tcMar>
              <w:top w:type="dxa" w:w="50"/>
              <w:left w:type="dxa" w:w="120"/>
              <w:bottom w:type="dxa" w:w="50"/>
              <w:right w:type="dxa" w:w="120"/>
            </w:tcMar>
          </w:tcPr>
          <w:p>
            <w:r>
              <w:rPr>
                <w:b/>
                <w:bCs/>
                <w:color w:val="1A3D28"/>
                <w:sz w:val="19"/>
                <w:szCs w:val="19"/>
              </w:rPr>
              <w:t xml:space="preserve">91.9</w:t>
            </w:r>
          </w:p>
        </w:tc>
        <w:tc>
          <w:tcPr>
            <w:tcW w:type="dxa" w:w="2330"/>
            <w:tcMar>
              <w:top w:type="dxa" w:w="50"/>
              <w:left w:type="dxa" w:w="120"/>
              <w:bottom w:type="dxa" w:w="50"/>
              <w:right w:type="dxa" w:w="120"/>
            </w:tcMar>
          </w:tcPr>
          <w:p>
            <w:r>
              <w:rPr>
                <w:b w:val="false"/>
                <w:bCs w:val="false"/>
                <w:color w:val="333333"/>
                <w:sz w:val="19"/>
                <w:szCs w:val="19"/>
              </w:rPr>
              <w:t xml:space="preserve">0.8</w:t>
            </w:r>
          </w:p>
        </w:tc>
      </w:tr>
      <w:tr>
        <w:tc>
          <w:tcPr>
            <w:tcW w:type="dxa" w:w="2400"/>
            <w:tcMar>
              <w:top w:type="dxa" w:w="50"/>
              <w:left w:type="dxa" w:w="120"/>
              <w:bottom w:type="dxa" w:w="50"/>
              <w:right w:type="dxa" w:w="120"/>
            </w:tcMar>
          </w:tcPr>
          <w:p>
            <w:r>
              <w:rPr>
                <w:b w:val="false"/>
                <w:bCs w:val="false"/>
                <w:color w:val="333333"/>
                <w:sz w:val="19"/>
                <w:szCs w:val="19"/>
              </w:rPr>
              <w:t xml:space="preserve">UT Utah (exception)</w:t>
            </w:r>
          </w:p>
        </w:tc>
        <w:tc>
          <w:tcPr>
            <w:tcW w:type="dxa" w:w="2300"/>
            <w:tcMar>
              <w:top w:type="dxa" w:w="50"/>
              <w:left w:type="dxa" w:w="120"/>
              <w:bottom w:type="dxa" w:w="50"/>
              <w:right w:type="dxa" w:w="120"/>
            </w:tcMar>
          </w:tcPr>
          <w:p>
            <w:r>
              <w:rPr>
                <w:b w:val="false"/>
                <w:bCs w:val="false"/>
                <w:color w:val="333333"/>
                <w:sz w:val="19"/>
                <w:szCs w:val="19"/>
              </w:rPr>
              <w:t xml:space="preserve">64.5</w:t>
            </w:r>
          </w:p>
        </w:tc>
        <w:tc>
          <w:tcPr>
            <w:tcW w:type="dxa" w:w="2330"/>
            <w:tcMar>
              <w:top w:type="dxa" w:w="50"/>
              <w:left w:type="dxa" w:w="120"/>
              <w:bottom w:type="dxa" w:w="50"/>
              <w:right w:type="dxa" w:w="120"/>
            </w:tcMar>
          </w:tcPr>
          <w:p>
            <w:r>
              <w:rPr>
                <w:b w:val="false"/>
                <w:bCs w:val="false"/>
                <w:color w:val="333333"/>
                <w:sz w:val="19"/>
                <w:szCs w:val="19"/>
              </w:rPr>
              <w:t xml:space="preserve">66.7</w:t>
            </w:r>
          </w:p>
        </w:tc>
        <w:tc>
          <w:tcPr>
            <w:tcW w:type="dxa" w:w="2330"/>
            <w:tcMar>
              <w:top w:type="dxa" w:w="50"/>
              <w:left w:type="dxa" w:w="120"/>
              <w:bottom w:type="dxa" w:w="50"/>
              <w:right w:type="dxa" w:w="120"/>
            </w:tcMar>
          </w:tcPr>
          <w:p>
            <w:r>
              <w:rPr>
                <w:b w:val="false"/>
                <w:bCs w:val="false"/>
                <w:color w:val="333333"/>
                <w:sz w:val="19"/>
                <w:szCs w:val="19"/>
              </w:rPr>
              <w:t xml:space="preserve">1.2</w:t>
            </w:r>
          </w:p>
        </w:tc>
      </w:tr>
    </w:tbl>
    <w:p>
      <w:pPr>
        <w:spacing w:after="60" w:before="80"/>
        <w:jc w:val="center"/>
      </w:pPr>
      <w:r>
        <w:drawing>
          <wp:inline distT="0" distB="0" distL="0" distR="0">
            <wp:extent cx="5905500" cy="3190875"/>
            <wp:effectExtent t="0" r="0" b="0" l="0"/>
            <wp:docPr id="1" name="allvar_level_calibration.png" descr="allvar_level_calibration.png" title="allvar_level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90875"/>
                    </a:xfrm>
                    <a:prstGeom prst="rect">
                      <a:avLst/>
                    </a:prstGeom>
                  </pic:spPr>
                </pic:pic>
              </a:graphicData>
            </a:graphic>
          </wp:inline>
        </w:drawing>
      </w:r>
    </w:p>
    <w:p>
      <w:pPr>
        <w:spacing w:after="160"/>
        <w:jc w:val="center"/>
      </w:pPr>
      <w:r>
        <w:rPr>
          <w:i/>
          <w:iCs/>
          <w:color w:val="666666"/>
          <w:sz w:val="18"/>
          <w:szCs w:val="18"/>
        </w:rPr>
        <w:t xml:space="preserve">Figure 3. Per-variant level calibration across all 20 CONUS variants. Left: native versus level-calibrated density error; calibrated is at or below native in 19 of 20. Right: the optimal level is variant-specific, 0.6 to 2.0, median 1.2.</w:t>
      </w:r>
    </w:p>
    <w:p>
      <w:pPr>
        <w:pStyle w:val="Heading2"/>
      </w:pPr>
      <w:r>
        <w:t xml:space="preserve">Recommendations</w:t>
      </w:r>
    </w:p>
    <w:p>
      <w:pPr>
        <w:pStyle w:val="ListParagraph"/>
        <w:numPr>
          <w:ilvl w:val="0"/>
          <w:numId w:val="3"/>
        </w:numPr>
        <w:spacing w:after="80"/>
      </w:pPr>
      <w:r>
        <w:t xml:space="preserve">Treat maximum SDI as a localized, data-derived stand attribute from the FIA surface (TreeMap 30 m raster or the FIA plot table), not a species-weighted constant.</w:t>
      </w:r>
    </w:p>
    <w:p>
      <w:pPr>
        <w:pStyle w:val="ListParagraph"/>
        <w:numPr>
          <w:ilvl w:val="0"/>
          <w:numId w:val="3"/>
        </w:numPr>
        <w:spacing w:after="80"/>
      </w:pPr>
      <w:r>
        <w:t xml:space="preserve">Adopt the spatial pattern and calibrate its level jointly with the density-dependent mortality response; this is automatic in a unified CONUS fit and a one-parameter regional adjustment when retrofitting a native variant.</w:t>
      </w:r>
    </w:p>
    <w:p>
      <w:pPr>
        <w:pStyle w:val="ListParagraph"/>
        <w:numPr>
          <w:ilvl w:val="0"/>
          <w:numId w:val="3"/>
        </w:numPr>
        <w:spacing w:after="80"/>
      </w:pPr>
      <w:r>
        <w:t xml:space="preserve">Do not ship the localized maximum as a drop-in SDIMAX override on a native variant without per-region revalidation.</w:t>
      </w:r>
    </w:p>
    <w:p>
      <w:pPr>
        <w:pStyle w:val="ListParagraph"/>
        <w:numPr>
          <w:ilvl w:val="0"/>
          <w:numId w:val="3"/>
        </w:numPr>
        <w:spacing w:after="80"/>
      </w:pPr>
      <w:r>
        <w:t xml:space="preserve">Prioritize the East, South, and moist West, where self-thinning governs and the payoff is largest.</w:t>
      </w:r>
    </w:p>
    <w:p>
      <w:pPr>
        <w:pStyle w:val="ListParagraph"/>
        <w:numPr>
          <w:ilvl w:val="0"/>
          <w:numId w:val="3"/>
        </w:numPr>
        <w:spacing w:after="80"/>
      </w:pPr>
      <w:r>
        <w:t xml:space="preserve">Guidance welcome on benchmark design, the engine integration path, and the SDI convention to match so relative density is computed consistently.</w:t>
      </w:r>
    </w:p>
    <w:p>
      <w:r>
        <w:br w:type="page"/>
      </w:r>
    </w:p>
    <w:p>
      <w:pPr>
        <w:pStyle w:val="Heading1"/>
      </w:pPr>
      <w:r>
        <w:t xml:space="preserve">Selected references</w:t>
      </w:r>
    </w:p>
    <w:p>
      <w:pPr>
        <w:spacing w:after="100"/>
      </w:pPr>
      <w:r>
        <w:rPr>
          <w:sz w:val="19"/>
          <w:szCs w:val="19"/>
        </w:rPr>
        <w:t xml:space="preserve">Chivhenge, E., A. Weiskittel, C. Woodall, A. D'Amato, and A. Daigneault. A 30 m wall-to-wall raster of stand density index, maximum stand density index, and relative density for the conterminous United States from TreeMap 2022 and FIA. Zenodo. https://doi.org/10.5281/zenodo.19509367</w:t>
      </w:r>
    </w:p>
    <w:p>
      <w:pPr>
        <w:spacing w:after="100"/>
      </w:pPr>
      <w:r>
        <w:rPr>
          <w:sz w:val="19"/>
          <w:szCs w:val="19"/>
        </w:rPr>
        <w:t xml:space="preserve">Houtman, R., et al. TreeMap 2022: a tree-level model of the forests of the conterminous United States.</w:t>
      </w:r>
    </w:p>
    <w:p>
      <w:pPr>
        <w:spacing w:after="100"/>
      </w:pPr>
      <w:r>
        <w:rPr>
          <w:sz w:val="19"/>
          <w:szCs w:val="19"/>
        </w:rPr>
        <w:t xml:space="preserve">Reineke, L. H. 1933. Perfecting a stand-density index for even-aged forests. Journal of Agricultural Research 46:627-638.</w:t>
      </w:r>
    </w:p>
    <w:p>
      <w:pPr>
        <w:spacing w:after="100"/>
      </w:pPr>
      <w:r>
        <w:rPr>
          <w:sz w:val="19"/>
          <w:szCs w:val="19"/>
        </w:rPr>
        <w:t xml:space="preserve">Weiskittel, A. R., D. W. Hann, J. A. Kershaw, and J. K. Vanclay. 2011. Forest Growth and Yield Modeling. Wiley.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University of Maine | Center for Research on Sustainable Forests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A55A" w:sz="6" w:space="4"/>
      </w:pBdr>
      <w:spacing w:after="160" w:before="280"/>
      <w:outlineLvl w:val="0"/>
    </w:pPr>
    <w:rPr>
      <w:rFonts w:ascii="Arial" w:cs="Arial" w:eastAsia="Arial" w:hAnsi="Arial"/>
      <w:b/>
      <w:bCs/>
      <w:color w:val="1A3D2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3D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b40ac9770559dd90edae546ff625a696f9e6f5.png"/><Relationship Id="rId9" Type="http://schemas.openxmlformats.org/officeDocument/2006/relationships/image" Target="media/c86835a476c9a608dd2082ee1a25a7c5b9297de4.png"/><Relationship Id="rId10" Type="http://schemas.openxmlformats.org/officeDocument/2006/relationships/image" Target="media/60a4b5d0487de3fa6d2aaa5b5b1b6444b7dfd486.png"/><Relationship Id="rId11" Type="http://schemas.openxmlformats.org/officeDocument/2006/relationships/image" Target="media/85091628eb4c4217c398b148fda88209ae3251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2026-06-14T14:00:22.337Z</dcterms:created>
  <dcterms:modified xsi:type="dcterms:W3CDTF">2026-06-14T14:00:22.337Z</dcterms:modified>
</cp:coreProperties>
</file>

<file path=docProps/custom.xml><?xml version="1.0" encoding="utf-8"?>
<Properties xmlns="http://schemas.openxmlformats.org/officeDocument/2006/custom-properties" xmlns:vt="http://schemas.openxmlformats.org/officeDocument/2006/docPropsVTypes"/>
</file>