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151B" w14:textId="1FB4D9CF" w:rsidR="00B76616" w:rsidRPr="00B76616" w:rsidRDefault="00B76616" w:rsidP="00B76616">
      <w:pPr>
        <w:spacing w:before="120" w:after="120" w:line="240" w:lineRule="auto"/>
        <w:ind w:left="432" w:hanging="432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</w:pPr>
      <w:bookmarkStart w:id="0" w:name="_Toc169260287"/>
      <w:r w:rsidRPr="00B76616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>Trial synopsis</w:t>
      </w:r>
      <w:bookmarkEnd w:id="0"/>
      <w:r w:rsidR="00DE6D5C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 xml:space="preserve"> </w:t>
      </w:r>
      <w:r w:rsidR="00F660A3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>–</w:t>
      </w:r>
      <w:r w:rsidR="00DE6D5C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 xml:space="preserve"> </w:t>
      </w:r>
      <w:r w:rsidR="747008DA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 xml:space="preserve">prepared for Indonesia </w:t>
      </w:r>
      <w:r w:rsidR="00314113">
        <w:rPr>
          <w:rFonts w:ascii="Times New Roman" w:eastAsia="Times New Roman" w:hAnsi="Times New Roman" w:cs="Times New Roman"/>
          <w:kern w:val="36"/>
          <w:sz w:val="40"/>
          <w:szCs w:val="40"/>
          <w:lang w:val="en-AU" w:eastAsia="en-AU"/>
          <w14:ligatures w14:val="none"/>
        </w:rPr>
        <w:t>BPOM</w:t>
      </w:r>
    </w:p>
    <w:tbl>
      <w:tblPr>
        <w:tblW w:w="900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458"/>
      </w:tblGrid>
      <w:tr w:rsidR="00B76616" w:rsidRPr="00B76616" w14:paraId="51E50D12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99C2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Trial title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5F26" w14:textId="4937CC0E" w:rsidR="00B76616" w:rsidRPr="00B76616" w:rsidRDefault="104A00B7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</w:pP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Efficacy and safety of Polymyxin versus best available care antibiotic</w:t>
            </w:r>
            <w:r w:rsidR="7C11C93F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s for the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treatment </w:t>
            </w:r>
            <w:r w:rsidR="09C1784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of patients with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severe carbapenem resistant Gram-negative bacterial infections, a nested trial in the </w:t>
            </w:r>
            <w:r w:rsidR="23FE0784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c</w:t>
            </w:r>
            <w:r w:rsidR="23FE0784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arbapenem-resistant silo of the “</w:t>
            </w:r>
            <w:r w:rsidR="00B76616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Optimising TREATment for severe Gram-Negative Bacterial infections</w:t>
            </w:r>
            <w:r w:rsidR="5C28B734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”</w:t>
            </w:r>
            <w:r w:rsidR="00B76616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 w:rsidR="64A17B68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platform trial </w:t>
            </w:r>
          </w:p>
        </w:tc>
      </w:tr>
      <w:tr w:rsidR="00B76616" w:rsidRPr="00B76616" w14:paraId="6BD3D890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4454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Abbreviated title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2DB8" w14:textId="0D7D609B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</w:pP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TREAT-GNB</w:t>
            </w:r>
            <w:r w:rsidR="4DFE116A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(CRGNB)</w:t>
            </w:r>
            <w:r w:rsidR="416DD25A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- </w:t>
            </w:r>
            <w:r w:rsidR="007E3592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polym</w:t>
            </w:r>
            <w:r w:rsidR="00062B23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yxin</w:t>
            </w:r>
          </w:p>
        </w:tc>
      </w:tr>
      <w:tr w:rsidR="00B76616" w:rsidRPr="00B76616" w14:paraId="462282DB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FBA8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Overall study sponsor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32DF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National University of Singapore</w:t>
            </w:r>
          </w:p>
        </w:tc>
      </w:tr>
      <w:tr w:rsidR="00B76616" w:rsidRPr="00B76616" w14:paraId="21B95C00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F057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Protocol number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F8D8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ADVANCE-ID 24003</w:t>
            </w:r>
          </w:p>
        </w:tc>
      </w:tr>
      <w:tr w:rsidR="00B76616" w:rsidRPr="00B76616" w14:paraId="2D2764C7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2432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Version, date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74D8" w14:textId="63AA13D3" w:rsidR="00B76616" w:rsidRPr="00B76616" w:rsidRDefault="00FA2010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1.</w:t>
            </w:r>
            <w:r w:rsidR="00431EB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0</w:t>
            </w:r>
            <w:r w:rsidR="00B76616"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, </w:t>
            </w:r>
            <w:r w:rsidR="00033DDD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09</w:t>
            </w:r>
            <w:r w:rsidR="009C1935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</w:t>
            </w:r>
            <w:r w:rsidR="00033DDD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February</w:t>
            </w:r>
            <w:r w:rsidR="009C1935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2026</w:t>
            </w:r>
          </w:p>
        </w:tc>
      </w:tr>
      <w:tr w:rsidR="00B76616" w:rsidRPr="00B76616" w14:paraId="35DC280F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E5C2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Aim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178B" w14:textId="2A85FCEC" w:rsidR="00B76616" w:rsidRPr="00B76616" w:rsidRDefault="007B243F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</w:pP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Determine if polym</w:t>
            </w:r>
            <w:r w:rsidR="00293B0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yxin-based </w:t>
            </w:r>
            <w:r w:rsidR="1B0D07C8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antibiotic </w:t>
            </w:r>
            <w:r w:rsidR="00293B0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therapy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 w:rsidR="00293B0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improves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28-day survival in patients </w:t>
            </w:r>
            <w:r w:rsidR="00293B0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with severe 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carbapenem-resistant Gram-negative bacteria</w:t>
            </w:r>
            <w:r w:rsidR="00293B03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infections</w:t>
            </w:r>
            <w:r w:rsidR="12089ED9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(ventilator-associated pneumonia, bloodstream infections) compared with best available care antibiotic</w:t>
            </w:r>
            <w:r w:rsidR="6B2C831A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therapy</w:t>
            </w:r>
          </w:p>
        </w:tc>
      </w:tr>
      <w:tr w:rsidR="00B76616" w:rsidRPr="00B76616" w14:paraId="6E0AE99E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C0A1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 xml:space="preserve">Study design 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2E16" w14:textId="7D400615" w:rsidR="00214EDF" w:rsidRPr="00B76616" w:rsidRDefault="00DC2CA1" w:rsidP="00DC2CA1">
            <w:pPr>
              <w:widowControl w:val="0"/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</w:pP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>A</w:t>
            </w:r>
            <w:r w:rsidR="00A71324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 xml:space="preserve"> prospective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 xml:space="preserve"> randomised, phase 4, </w:t>
            </w:r>
            <w:r w:rsidR="003972BA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>non-inferiority</w:t>
            </w:r>
            <w:r w:rsidR="1BB2D43F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>-superiority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  <w:t xml:space="preserve"> trial</w:t>
            </w:r>
          </w:p>
        </w:tc>
      </w:tr>
      <w:tr w:rsidR="33C025A5" w14:paraId="049C4C35" w14:textId="77777777" w:rsidTr="33C025A5">
        <w:trPr>
          <w:trHeight w:val="300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63D8" w14:textId="07B6CE6D" w:rsidR="04B36F40" w:rsidRDefault="675E5D29" w:rsidP="33C025A5">
            <w:pPr>
              <w:spacing w:line="240" w:lineRule="auto"/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</w:pPr>
            <w:r w:rsidRPr="4F89C4AF"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  <w:t xml:space="preserve">Primary </w:t>
            </w:r>
            <w:r w:rsidRPr="47110AED"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  <w:t>h</w:t>
            </w:r>
            <w:r w:rsidR="04B36F40" w:rsidRPr="47110AED"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  <w:t>ypothesis</w:t>
            </w:r>
            <w:r w:rsidR="04B36F40" w:rsidRPr="4F89C4AF"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  <w:t xml:space="preserve"> 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9CA1" w14:textId="7254DB99" w:rsidR="04B36F40" w:rsidRDefault="04B36F40" w:rsidP="33C025A5">
            <w:pPr>
              <w:spacing w:line="240" w:lineRule="auto"/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</w:pPr>
            <w:r w:rsidRPr="33C025A5">
              <w:rPr>
                <w:rFonts w:ascii="Times New Roman" w:eastAsia="Calibri" w:hAnsi="Times New Roman" w:cs="Arial"/>
                <w:sz w:val="24"/>
                <w:szCs w:val="24"/>
              </w:rPr>
              <w:t xml:space="preserve">Polymyxin-based </w:t>
            </w:r>
            <w:r w:rsidR="5CC51B33" w:rsidRPr="33C025A5">
              <w:rPr>
                <w:rFonts w:ascii="Times New Roman" w:eastAsia="Calibri" w:hAnsi="Times New Roman" w:cs="Arial"/>
                <w:sz w:val="24"/>
                <w:szCs w:val="24"/>
              </w:rPr>
              <w:t>antibiotic therapy (</w:t>
            </w:r>
            <w:r w:rsidR="7763D3A8" w:rsidRPr="33C025A5">
              <w:rPr>
                <w:rFonts w:ascii="Times New Roman" w:eastAsia="Calibri" w:hAnsi="Times New Roman" w:cs="Arial"/>
                <w:sz w:val="24"/>
                <w:szCs w:val="24"/>
              </w:rPr>
              <w:t>p</w:t>
            </w:r>
            <w:r w:rsidR="5CC51B33" w:rsidRPr="33C025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olymyxin B + tigecycline / high-dose sulbactam/ meropenem) is </w:t>
            </w:r>
            <w:r w:rsidR="5CC51B33" w:rsidRPr="33C025A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non-inferior</w:t>
            </w:r>
            <w:r w:rsidR="5CC51B33" w:rsidRPr="33C025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</w:t>
            </w:r>
            <w:r w:rsidR="5CC51B33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best available care antibiotic therapy (</w:t>
            </w:r>
            <w:r w:rsidR="570DBDB5"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BAT: </w:t>
            </w:r>
            <w:r w:rsidR="6FC06EF5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meropenem + high-dose sulbactam, tigecycline + meropenem, </w:t>
            </w:r>
            <w:r w:rsidR="21D01815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meropenem + fosfomycin) by a margin of 10%</w:t>
            </w:r>
          </w:p>
          <w:p w14:paraId="354FC956" w14:textId="1AF324F3" w:rsidR="21D01815" w:rsidRDefault="21D01815" w:rsidP="33C025A5">
            <w:pPr>
              <w:spacing w:line="240" w:lineRule="auto"/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</w:pPr>
            <w:r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If the above is </w:t>
            </w:r>
            <w:r w:rsidR="3191FC54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successfully shown, we will proceed to test: </w:t>
            </w:r>
            <w:r w:rsidR="3191FC54" w:rsidRPr="33C025A5">
              <w:rPr>
                <w:rFonts w:ascii="Times New Roman" w:eastAsia="Calibri" w:hAnsi="Times New Roman" w:cs="Arial"/>
                <w:sz w:val="24"/>
                <w:szCs w:val="24"/>
              </w:rPr>
              <w:t>Polymyxin-based antibiotic therapy (p</w:t>
            </w:r>
            <w:r w:rsidR="3191FC54" w:rsidRPr="33C025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olymyxin B + tigecycline / high-dose sulbactam/ meropenem) is </w:t>
            </w:r>
            <w:r w:rsidR="3191FC54" w:rsidRPr="33C025A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superior</w:t>
            </w:r>
            <w:r w:rsidR="3191FC54" w:rsidRPr="33C025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</w:t>
            </w:r>
            <w:r w:rsidR="3191FC54" w:rsidRPr="33C025A5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best available care antibiotic therapy (meropenem + high-dose sulbactam, tigecycline + meropenem, meropenem + fosfomycin) </w:t>
            </w:r>
          </w:p>
        </w:tc>
      </w:tr>
      <w:tr w:rsidR="18583829" w14:paraId="0982BBA0" w14:textId="77777777" w:rsidTr="18583829">
        <w:trPr>
          <w:trHeight w:val="300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6999" w14:textId="44A8D3AB" w:rsidR="18583829" w:rsidRDefault="7ABE8C26" w:rsidP="18583829">
            <w:pPr>
              <w:spacing w:line="240" w:lineRule="auto"/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</w:pPr>
            <w:r w:rsidRPr="26045031">
              <w:rPr>
                <w:rFonts w:ascii="Times New Roman" w:eastAsia="Calibri" w:hAnsi="Times New Roman" w:cs="Arial"/>
                <w:b/>
                <w:bCs/>
                <w:sz w:val="24"/>
                <w:szCs w:val="24"/>
                <w:lang w:val="en-AU"/>
              </w:rPr>
              <w:t>Secondary hypothesis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5FB4" w14:textId="4133781D" w:rsidR="18583829" w:rsidRDefault="7ABE8C26" w:rsidP="18583829">
            <w:pPr>
              <w:spacing w:line="240" w:lineRule="auto"/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</w:pPr>
            <w:r w:rsidRPr="26045031">
              <w:rPr>
                <w:rFonts w:ascii="Times New Roman" w:eastAsia="Calibri" w:hAnsi="Times New Roman" w:cs="Arial"/>
                <w:sz w:val="24"/>
                <w:szCs w:val="24"/>
              </w:rPr>
              <w:t>Polymyxin-based antibiotic therapy (p</w:t>
            </w:r>
            <w:r w:rsidRPr="260450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olymyxin B + tigecycline / high-dose sulbactam/ meropenem) is </w:t>
            </w:r>
            <w:r w:rsidRPr="26045031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non-inferior</w:t>
            </w:r>
            <w:r w:rsidRPr="260450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ceftazidime-avibactam-based antibiotic</w:t>
            </w:r>
            <w:r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 therapy (ceftazidime-avibactam + high-dose sulbactam/</w:t>
            </w:r>
            <w:r w:rsidR="0D2124D0"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 </w:t>
            </w:r>
            <w:r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fosfomycin</w:t>
            </w:r>
            <w:r w:rsidR="24DA77BA"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/ aztreonam</w:t>
            </w:r>
            <w:r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) by a margin of 10%</w:t>
            </w:r>
          </w:p>
        </w:tc>
      </w:tr>
      <w:tr w:rsidR="00B76616" w:rsidRPr="00B76616" w14:paraId="039053D1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3442" w14:textId="77777777" w:rsidR="00B76616" w:rsidRPr="00B76616" w:rsidRDefault="00B76616" w:rsidP="00B76616">
            <w:pPr>
              <w:widowControl w:val="0"/>
              <w:spacing w:line="36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Intervention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8D95" w14:textId="38029B5C" w:rsidR="00643BB1" w:rsidRDefault="00AF3388" w:rsidP="00643BB1">
            <w:pPr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The study arms are specified by the carbapenem-resistant organism –</w:t>
            </w:r>
          </w:p>
          <w:p w14:paraId="5D350F69" w14:textId="6FFF39BA" w:rsidR="00DE6D5C" w:rsidRPr="00AF3388" w:rsidRDefault="00DE6D5C" w:rsidP="00AF3388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AF3388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Carbapenem-resistant </w:t>
            </w:r>
            <w:r w:rsidRPr="00AF3388">
              <w:rPr>
                <w:rFonts w:ascii="Times New Roman" w:eastAsia="Calibri" w:hAnsi="Times New Roman" w:cs="Arial"/>
                <w:i/>
                <w:iCs/>
                <w:kern w:val="0"/>
                <w:sz w:val="24"/>
                <w:lang w:val="en-AU"/>
                <w14:ligatures w14:val="none"/>
              </w:rPr>
              <w:t>Acinetobacter</w:t>
            </w:r>
          </w:p>
          <w:p w14:paraId="0B7415B6" w14:textId="77777777" w:rsidR="00CC1C8D" w:rsidRDefault="00E01963" w:rsidP="00E01963">
            <w:pPr>
              <w:pStyle w:val="ListParagraph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Polymyxin B + tigecycline</w:t>
            </w:r>
            <w:r w:rsidR="006B73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7A17A48" w14:textId="367465D0" w:rsidR="00E01963" w:rsidRPr="00E01963" w:rsidRDefault="00CC1C8D" w:rsidP="00E01963">
            <w:pPr>
              <w:pStyle w:val="ListParagraph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Polymyxin B + </w:t>
            </w:r>
            <w:r w:rsidR="00F26F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high-dose sulbactam</w:t>
            </w:r>
          </w:p>
          <w:p w14:paraId="6E1E3D18" w14:textId="5DD0B60D" w:rsidR="00E01963" w:rsidRPr="00E01963" w:rsidRDefault="00E01963" w:rsidP="00E01963">
            <w:pPr>
              <w:pStyle w:val="ListParagraph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1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Ceftazidime-avibactam + high-dose sulbactam</w:t>
            </w:r>
          </w:p>
          <w:p w14:paraId="1D230FC4" w14:textId="1D1EDE88" w:rsidR="00DE6D5C" w:rsidRPr="00BE3831" w:rsidRDefault="00302E11" w:rsidP="00E01963">
            <w:pPr>
              <w:pStyle w:val="ListParagraph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BE383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Polymyxin B</w:t>
            </w:r>
            <w:r w:rsidR="00BE383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+ meropenem</w:t>
            </w:r>
          </w:p>
          <w:p w14:paraId="02A37714" w14:textId="05C0AF56" w:rsidR="0884F216" w:rsidRDefault="0884F216" w:rsidP="33C025A5">
            <w:pPr>
              <w:pStyle w:val="ListParagraph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33C025A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Meropenem + </w:t>
            </w:r>
            <w:r w:rsidRPr="003E404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high-dose sulbactam</w:t>
            </w:r>
          </w:p>
          <w:p w14:paraId="6C5A9FA0" w14:textId="77777777" w:rsidR="004C1F26" w:rsidRPr="00DE6D5C" w:rsidRDefault="004C1F26" w:rsidP="004C1F26">
            <w:pPr>
              <w:pStyle w:val="ListParagraph"/>
              <w:ind w:left="144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583A7D4" w14:textId="3E2E8F9F" w:rsidR="00DE6D5C" w:rsidRDefault="00DE6D5C" w:rsidP="00DE6D5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Carbapenem-resistant Enterobacterales</w:t>
            </w:r>
            <w:r w:rsidR="004C3323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(class D/A)</w:t>
            </w:r>
          </w:p>
          <w:p w14:paraId="5C269670" w14:textId="77777777" w:rsidR="00FA4A84" w:rsidRPr="00FA4A84" w:rsidRDefault="00DE6D5C" w:rsidP="00DE6D5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Polymyxin B + meropenem</w:t>
            </w:r>
            <w:r w:rsidR="00B34A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62FDF7A" w14:textId="14A5B6BF" w:rsidR="00DE6D5C" w:rsidRPr="00DE6D5C" w:rsidRDefault="00FA4A84" w:rsidP="00DE6D5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Polymyxin B + </w:t>
            </w:r>
            <w:r w:rsidR="00B34A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tigecycline</w:t>
            </w:r>
          </w:p>
          <w:p w14:paraId="47CECFF9" w14:textId="575BEDD3" w:rsidR="00DE6D5C" w:rsidRPr="00DE6D5C" w:rsidRDefault="00DE6D5C" w:rsidP="00DE6D5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Ceftazidime-avibactam + </w:t>
            </w:r>
            <w:r w:rsidR="00A300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osfomycin</w:t>
            </w:r>
          </w:p>
          <w:p w14:paraId="45C8B30A" w14:textId="64D766FA" w:rsidR="00DE6D5C" w:rsidRPr="006961A0" w:rsidRDefault="00DE6D5C" w:rsidP="00DE6D5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Ceftazidime-avibactam</w:t>
            </w:r>
          </w:p>
          <w:p w14:paraId="0FB5FB26" w14:textId="60C5BA21" w:rsidR="006961A0" w:rsidRPr="006961A0" w:rsidRDefault="00665E64" w:rsidP="00DE6D5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M</w:t>
            </w:r>
            <w:r w:rsidR="006961A0" w:rsidRPr="006961A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eropenem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+ tigecycline</w:t>
            </w:r>
          </w:p>
          <w:p w14:paraId="5B6CF9DC" w14:textId="77777777" w:rsidR="00A3006E" w:rsidRPr="00DE6D5C" w:rsidRDefault="00A3006E" w:rsidP="00A3006E">
            <w:pPr>
              <w:pStyle w:val="ListParagraph"/>
              <w:ind w:left="144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89BABC2" w14:textId="50F7ACEC" w:rsidR="006961A0" w:rsidRDefault="006961A0" w:rsidP="006961A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Carbapenem-resistant Enterobacterales</w:t>
            </w:r>
            <w:r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(class B)</w:t>
            </w:r>
          </w:p>
          <w:p w14:paraId="47190612" w14:textId="77777777" w:rsidR="006961A0" w:rsidRPr="00FA4A84" w:rsidRDefault="006961A0" w:rsidP="004F0DE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Polymyxin B + meropenem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60ABD27" w14:textId="77777777" w:rsidR="006961A0" w:rsidRPr="00DE6D5C" w:rsidRDefault="006961A0" w:rsidP="004F0DE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Polymyxin B + tigecycline</w:t>
            </w:r>
          </w:p>
          <w:p w14:paraId="05074821" w14:textId="5AC47144" w:rsidR="006961A0" w:rsidRPr="00DE6D5C" w:rsidRDefault="006961A0" w:rsidP="004F0DE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DE6D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Ceftazidime-avibactam + </w:t>
            </w:r>
            <w:r w:rsidR="00681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aztreonam</w:t>
            </w:r>
          </w:p>
          <w:p w14:paraId="34A00AF1" w14:textId="77777777" w:rsidR="006961A0" w:rsidRPr="006961A0" w:rsidRDefault="006961A0" w:rsidP="33C025A5">
            <w:pPr>
              <w:pStyle w:val="ListParagraph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14:ligatures w14:val="none"/>
              </w:rPr>
            </w:pPr>
          </w:p>
          <w:p w14:paraId="0C8DCC5A" w14:textId="26E4DA86" w:rsidR="00DE6D5C" w:rsidRPr="00DE6D5C" w:rsidRDefault="00DE6D5C" w:rsidP="00DE6D5C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Carbapenem-resistant </w:t>
            </w:r>
            <w:r w:rsidRPr="00DE6D5C">
              <w:rPr>
                <w:rFonts w:ascii="Times New Roman" w:eastAsia="Calibri" w:hAnsi="Times New Roman" w:cs="Arial"/>
                <w:i/>
                <w:iCs/>
                <w:kern w:val="0"/>
                <w:sz w:val="24"/>
                <w:lang w:val="en-AU"/>
                <w14:ligatures w14:val="none"/>
              </w:rPr>
              <w:t>Pseudomonas aeruginosa</w:t>
            </w:r>
          </w:p>
          <w:p w14:paraId="42425F42" w14:textId="69FFE7C3" w:rsidR="00DE6D5C" w:rsidRPr="002E4F82" w:rsidRDefault="00DE6D5C" w:rsidP="00DE6D5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Polymyxin B + meropenem</w:t>
            </w:r>
          </w:p>
          <w:p w14:paraId="3A0FBFD9" w14:textId="6B6A0B8B" w:rsidR="00DE6D5C" w:rsidRPr="002E4F82" w:rsidRDefault="00DE6D5C" w:rsidP="00DE6D5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Ceftazidime-avibactam + polymyxin B</w:t>
            </w:r>
          </w:p>
          <w:p w14:paraId="02E8DA46" w14:textId="22C5D06A" w:rsidR="00DE6D5C" w:rsidRPr="002E4F82" w:rsidRDefault="00DE6D5C" w:rsidP="00DE6D5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Ceftazidime-avibactam + </w:t>
            </w:r>
            <w:r w:rsidR="000218C2"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osfomycin</w:t>
            </w:r>
          </w:p>
          <w:p w14:paraId="48DB29C6" w14:textId="77777777" w:rsidR="002E4F82" w:rsidRPr="00BE3831" w:rsidRDefault="00DE6D5C" w:rsidP="00A26E7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4F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Ceftazidime-avibactam</w:t>
            </w:r>
          </w:p>
          <w:p w14:paraId="302E8425" w14:textId="595C5B9C" w:rsidR="00BE3831" w:rsidRPr="00A26E7F" w:rsidRDefault="00BE3831" w:rsidP="00A26E7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E383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Meropenem + fosfomycin</w:t>
            </w:r>
          </w:p>
        </w:tc>
      </w:tr>
      <w:tr w:rsidR="00B1342C" w:rsidRPr="00B76616" w14:paraId="309F3EFB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B68C" w14:textId="3FBB47EF" w:rsidR="00B1342C" w:rsidRPr="00B76616" w:rsidRDefault="00B1342C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lastRenderedPageBreak/>
              <w:t>Primary outcome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0E59" w14:textId="7968E073" w:rsidR="00B1342C" w:rsidRPr="00B1342C" w:rsidRDefault="00B1342C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</w:pP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28-day </w:t>
            </w:r>
            <w:r w:rsidR="24204196"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all-cause </w:t>
            </w:r>
            <w:r w:rsidRPr="33C025A5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mortality</w:t>
            </w:r>
          </w:p>
        </w:tc>
      </w:tr>
      <w:tr w:rsidR="00B76616" w:rsidRPr="00B76616" w14:paraId="4A12F148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C08B" w14:textId="60BE09CC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Secondary outcome measures</w:t>
            </w:r>
          </w:p>
          <w:p w14:paraId="7D56687D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</w:p>
          <w:p w14:paraId="76F37500" w14:textId="2B5954D3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68EC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  <w:t>Clinical efficacy and safety</w:t>
            </w:r>
          </w:p>
          <w:p w14:paraId="46B2238A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All-cause mortality at 14, 60 and 90 days after randomisation</w:t>
            </w:r>
          </w:p>
          <w:p w14:paraId="3B0A3E13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Infection relapse or reinfection within 90 days after randomisation</w:t>
            </w:r>
          </w:p>
          <w:p w14:paraId="12FC29AF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Length of mechanical ventilation in the intensive care within 28 days after randomisation</w:t>
            </w:r>
          </w:p>
          <w:p w14:paraId="6ED7DCB0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All cause re-admission into an acute care hospital within 90 days after randomisation</w:t>
            </w:r>
          </w:p>
          <w:p w14:paraId="6A3A3C07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Emergence of antibiotic resistance in clinical and / or colonisation cultures within 90 days after randomisation</w:t>
            </w:r>
          </w:p>
          <w:p w14:paraId="571DCE8E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Days alive and out of hospital within 90 days after randomisation</w:t>
            </w:r>
          </w:p>
          <w:p w14:paraId="2D89FAA6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Development of KDIGO acute kidney injury within 28 days after randomisation</w:t>
            </w:r>
          </w:p>
          <w:p w14:paraId="21617CB6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Development of </w:t>
            </w:r>
            <w:r w:rsidRPr="00B76616">
              <w:rPr>
                <w:rFonts w:ascii="Times New Roman" w:eastAsia="Calibri" w:hAnsi="Times New Roman" w:cs="Arial"/>
                <w:i/>
                <w:kern w:val="0"/>
                <w:sz w:val="24"/>
                <w:lang w:val="en-AU"/>
                <w14:ligatures w14:val="none"/>
              </w:rPr>
              <w:t xml:space="preserve">Clostridioides difficile </w:t>
            </w: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or antibiotic-related diarrhea within 28 days after randomisation</w:t>
            </w:r>
          </w:p>
          <w:p w14:paraId="33FA13C1" w14:textId="77777777" w:rsidR="00B76616" w:rsidRPr="00B76616" w:rsidRDefault="00B76616" w:rsidP="00B76616">
            <w:pPr>
              <w:widowControl w:val="0"/>
              <w:numPr>
                <w:ilvl w:val="0"/>
                <w:numId w:val="2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Functional outcome at 28 days after randomisation</w:t>
            </w:r>
          </w:p>
          <w:p w14:paraId="1BD4B173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</w:p>
          <w:p w14:paraId="49A8568D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  <w:lastRenderedPageBreak/>
              <w:t>Health economics</w:t>
            </w:r>
          </w:p>
          <w:p w14:paraId="5A0D4DE4" w14:textId="77777777" w:rsidR="00B76616" w:rsidRPr="00B76616" w:rsidRDefault="00B76616" w:rsidP="00B76616">
            <w:pPr>
              <w:widowControl w:val="0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Length of stay in the intensive care within 28 days after randomisation</w:t>
            </w:r>
          </w:p>
          <w:p w14:paraId="4B720888" w14:textId="77777777" w:rsidR="00B76616" w:rsidRPr="00B76616" w:rsidRDefault="00B76616" w:rsidP="00B76616">
            <w:pPr>
              <w:widowControl w:val="0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Length of stay in the hospital within 28 days after randomisation</w:t>
            </w:r>
          </w:p>
          <w:p w14:paraId="70BE280A" w14:textId="77777777" w:rsidR="00B76616" w:rsidRPr="00B76616" w:rsidRDefault="00B76616" w:rsidP="00B76616">
            <w:pPr>
              <w:widowControl w:val="0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Days of antibiotic use within 28 days after randomisation</w:t>
            </w:r>
          </w:p>
        </w:tc>
      </w:tr>
      <w:tr w:rsidR="00B76616" w:rsidRPr="00B76616" w14:paraId="1FE01988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357D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lastRenderedPageBreak/>
              <w:t>Study participants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F08C" w14:textId="14A6FD26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Hospitalised patients </w:t>
            </w:r>
            <w:r w:rsidR="00FB4EA9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with bloodstream infection, ventilator-associated pneumonia or </w:t>
            </w:r>
            <w:r w:rsidR="00607F41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hospital-acquired pneumonia</w:t>
            </w: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</w:t>
            </w:r>
          </w:p>
        </w:tc>
      </w:tr>
      <w:tr w:rsidR="00B76616" w:rsidRPr="00B76616" w14:paraId="363177AC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6206" w14:textId="44E76F9F" w:rsidR="00B76616" w:rsidRPr="00607F41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Eligibility criteria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438A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  <w:t>Inclusion</w:t>
            </w:r>
          </w:p>
          <w:p w14:paraId="32A8EA4A" w14:textId="77777777" w:rsidR="00B76616" w:rsidRPr="00B76616" w:rsidRDefault="00B76616" w:rsidP="00B76616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Patients with bloodstream infection or ventilator associated-pneumonia or hospital-acquired pneumonia</w:t>
            </w:r>
          </w:p>
          <w:p w14:paraId="1530E011" w14:textId="3C7E5491" w:rsidR="00B76616" w:rsidRDefault="00B76616" w:rsidP="00B76616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Growth of Gram-negative bacilli </w:t>
            </w:r>
            <w:r w:rsid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(</w:t>
            </w:r>
            <w:r w:rsidR="00DE6D5C" w:rsidRPr="00DE6D5C">
              <w:rPr>
                <w:rFonts w:ascii="Times New Roman" w:eastAsia="Calibri" w:hAnsi="Times New Roman" w:cs="Arial"/>
                <w:i/>
                <w:iCs/>
                <w:kern w:val="0"/>
                <w:sz w:val="24"/>
                <w:lang w:val="en-AU"/>
                <w14:ligatures w14:val="none"/>
              </w:rPr>
              <w:t>Acinetobacter</w:t>
            </w:r>
            <w:r w:rsid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, Enterobacterales or </w:t>
            </w:r>
            <w:r w:rsidR="00DE6D5C" w:rsidRPr="00DE6D5C">
              <w:rPr>
                <w:rFonts w:ascii="Times New Roman" w:eastAsia="Calibri" w:hAnsi="Times New Roman" w:cs="Arial"/>
                <w:i/>
                <w:iCs/>
                <w:kern w:val="0"/>
                <w:sz w:val="24"/>
                <w:lang w:val="en-AU"/>
                <w14:ligatures w14:val="none"/>
              </w:rPr>
              <w:t>Pseudomonas aeruginosa</w:t>
            </w:r>
            <w:r w:rsid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) </w:t>
            </w: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identified from blood culture or respiratory culture</w:t>
            </w:r>
          </w:p>
          <w:p w14:paraId="2EE779A3" w14:textId="59227593" w:rsidR="00DE6D5C" w:rsidRPr="00DE6D5C" w:rsidRDefault="00DE6D5C" w:rsidP="00DE6D5C">
            <w:pPr>
              <w:widowControl w:val="0"/>
              <w:numPr>
                <w:ilvl w:val="0"/>
                <w:numId w:val="5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Carbapenem resistance in isolate detected</w:t>
            </w:r>
            <w:r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p</w:t>
            </w:r>
            <w:r w:rsidRPr="00DE6D5C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henotypically</w:t>
            </w:r>
            <w:r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 or genotypically</w:t>
            </w:r>
          </w:p>
          <w:p w14:paraId="0F10B516" w14:textId="77777777" w:rsidR="00B76616" w:rsidRPr="00B76616" w:rsidRDefault="00B76616" w:rsidP="00B76616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Suitable for at least 2 antibiotic regimens in the site randomisation list</w:t>
            </w:r>
          </w:p>
          <w:p w14:paraId="0EFFB65B" w14:textId="77777777" w:rsidR="00B76616" w:rsidRPr="00B76616" w:rsidRDefault="00B76616" w:rsidP="00B76616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Receiving or planning to receive intravenous antibiotics</w:t>
            </w:r>
          </w:p>
          <w:p w14:paraId="03037EBB" w14:textId="77777777" w:rsidR="00B76616" w:rsidRPr="00B76616" w:rsidRDefault="00B76616" w:rsidP="00B76616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 xml:space="preserve">Expected time from culture sampling / symptom onset to randomisation is ≤ 96 hours. </w:t>
            </w:r>
          </w:p>
          <w:p w14:paraId="38216BDB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</w:p>
          <w:p w14:paraId="75337292" w14:textId="77777777" w:rsidR="00B76616" w:rsidRPr="00B76616" w:rsidRDefault="00B76616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u w:val="single"/>
                <w:lang w:val="en-AU"/>
                <w14:ligatures w14:val="none"/>
              </w:rPr>
              <w:t>Exclusion</w:t>
            </w:r>
          </w:p>
          <w:p w14:paraId="51BF3CDB" w14:textId="77777777" w:rsidR="00B76616" w:rsidRPr="00B76616" w:rsidRDefault="00B76616" w:rsidP="00B76616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Treating team deems enrolment in the study is not in the best interest of the patient</w:t>
            </w:r>
          </w:p>
          <w:p w14:paraId="308E741A" w14:textId="77777777" w:rsidR="00B76616" w:rsidRPr="00B76616" w:rsidRDefault="00B76616" w:rsidP="00B76616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Patient is on end-of-life care</w:t>
            </w:r>
          </w:p>
          <w:p w14:paraId="6408DB6A" w14:textId="77777777" w:rsidR="00B76616" w:rsidRPr="00B76616" w:rsidRDefault="00B76616" w:rsidP="00B76616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Patient is incarcerated in a correctional facility</w:t>
            </w:r>
          </w:p>
          <w:p w14:paraId="42D666C5" w14:textId="77777777" w:rsidR="00B76616" w:rsidRPr="00B76616" w:rsidRDefault="00B76616" w:rsidP="00B76616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B76616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Participation in any interventional study activities outlined in the TREAT-GNB study within the last 90 days.</w:t>
            </w:r>
          </w:p>
        </w:tc>
      </w:tr>
      <w:tr w:rsidR="00B76616" w:rsidRPr="00B76616" w14:paraId="532C8A69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CEBD" w14:textId="13CE06BF" w:rsidR="00B76616" w:rsidRPr="00B76616" w:rsidRDefault="00607F41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Target sample size and study duration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21B3" w14:textId="5C384D68" w:rsidR="00B76616" w:rsidRPr="00B76616" w:rsidRDefault="4D95DD07" w:rsidP="26045031">
            <w:pPr>
              <w:widowControl w:val="0"/>
              <w:spacing w:line="240" w:lineRule="auto"/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</w:pPr>
            <w:r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Overall sample size </w:t>
            </w:r>
            <w:r w:rsidR="09E008A2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is about 4</w:t>
            </w:r>
            <w:r w:rsidR="747F1190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50</w:t>
            </w:r>
            <w:r w:rsidR="09E008A2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 patients </w:t>
            </w:r>
            <w:r w:rsidR="771CC76E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based on 40% mortality in the polymyxin arm and 38</w:t>
            </w:r>
            <w:r w:rsidR="714375E9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 xml:space="preserve">% mortality in the </w:t>
            </w:r>
            <w:r w:rsidR="685DDD3F" w:rsidRPr="26045031"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  <w:t>BAT arm, accounting for 10% loss-to-follow-up</w:t>
            </w:r>
          </w:p>
          <w:p w14:paraId="0CAFE68E" w14:textId="30FDB5A6" w:rsidR="00B76616" w:rsidRPr="00B76616" w:rsidRDefault="685DDD3F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szCs w:val="24"/>
                <w:lang w:val="en-AU"/>
                <w14:ligatures w14:val="none"/>
              </w:rPr>
            </w:pPr>
            <w:r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We propose for Indonesia to have at least 20% of patients enrolled in </w:t>
            </w:r>
            <w:r w:rsidR="787D4FFF"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>the overall sample size</w:t>
            </w:r>
            <w:r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 i.e. </w:t>
            </w:r>
            <w:r w:rsidR="6884C8A4" w:rsidRPr="26045031">
              <w:rPr>
                <w:rFonts w:ascii="Times New Roman" w:eastAsia="Calibri" w:hAnsi="Times New Roman" w:cs="Arial"/>
                <w:sz w:val="24"/>
                <w:szCs w:val="24"/>
                <w:lang w:val="en-AU"/>
              </w:rPr>
              <w:t xml:space="preserve">45 patients in each arm, across the three pathogens and 2 infection syndromes </w:t>
            </w:r>
          </w:p>
        </w:tc>
      </w:tr>
      <w:tr w:rsidR="002E4F82" w:rsidRPr="00B76616" w14:paraId="5F2DC53D" w14:textId="77777777" w:rsidTr="33C025A5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37DB" w14:textId="529EF148" w:rsidR="002E4F82" w:rsidRPr="00B76616" w:rsidRDefault="003F1CDE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</w:pPr>
            <w:r>
              <w:rPr>
                <w:rFonts w:ascii="Times New Roman" w:eastAsia="Calibri" w:hAnsi="Times New Roman" w:cs="Arial"/>
                <w:b/>
                <w:kern w:val="0"/>
                <w:sz w:val="24"/>
                <w:lang w:val="en-AU"/>
                <w14:ligatures w14:val="none"/>
              </w:rPr>
              <w:t>Centres</w:t>
            </w:r>
          </w:p>
        </w:tc>
        <w:tc>
          <w:tcPr>
            <w:tcW w:w="64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D8E7" w14:textId="77777777" w:rsidR="003F1CDE" w:rsidRDefault="00EA102A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EA102A"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  <w:t>Adam Malik Hospital</w:t>
            </w:r>
          </w:p>
          <w:p w14:paraId="2BA6EF26" w14:textId="77777777" w:rsidR="00680B1A" w:rsidRPr="00680B1A" w:rsidRDefault="00680B1A" w:rsidP="00680B1A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680B1A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Cipto Mangunkusumo</w:t>
            </w:r>
          </w:p>
          <w:p w14:paraId="03EDCE4A" w14:textId="77777777" w:rsidR="00680B1A" w:rsidRPr="00680B1A" w:rsidRDefault="00680B1A" w:rsidP="00680B1A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680B1A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Kariadi Hospital</w:t>
            </w:r>
          </w:p>
          <w:p w14:paraId="5BF0F690" w14:textId="77777777" w:rsidR="00680B1A" w:rsidRPr="00680B1A" w:rsidRDefault="00680B1A" w:rsidP="00680B1A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680B1A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Hasan Sadikin General Hospital</w:t>
            </w:r>
          </w:p>
          <w:p w14:paraId="017ACD97" w14:textId="329ED772" w:rsidR="00680B1A" w:rsidRPr="00B76616" w:rsidRDefault="00362E85" w:rsidP="00B76616">
            <w:pPr>
              <w:widowControl w:val="0"/>
              <w:spacing w:line="240" w:lineRule="auto"/>
              <w:rPr>
                <w:rFonts w:ascii="Times New Roman" w:eastAsia="Calibri" w:hAnsi="Times New Roman" w:cs="Arial"/>
                <w:kern w:val="0"/>
                <w:sz w:val="24"/>
                <w:lang w:val="en-AU"/>
                <w14:ligatures w14:val="none"/>
              </w:rPr>
            </w:pPr>
            <w:r w:rsidRPr="00362E85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lastRenderedPageBreak/>
              <w:t xml:space="preserve">Wahidin Sudirohusodo Hospital </w:t>
            </w:r>
          </w:p>
        </w:tc>
      </w:tr>
    </w:tbl>
    <w:p w14:paraId="37C175BB" w14:textId="09FA5495" w:rsidR="26045031" w:rsidRDefault="26045031"/>
    <w:p w14:paraId="70F0C15E" w14:textId="77777777" w:rsidR="00456876" w:rsidRDefault="00456876"/>
    <w:sectPr w:rsidR="004568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7931B" w14:textId="77777777" w:rsidR="007335EF" w:rsidRDefault="007335EF" w:rsidP="009F36C3">
      <w:pPr>
        <w:spacing w:after="0" w:line="240" w:lineRule="auto"/>
      </w:pPr>
      <w:r>
        <w:separator/>
      </w:r>
    </w:p>
  </w:endnote>
  <w:endnote w:type="continuationSeparator" w:id="0">
    <w:p w14:paraId="546AC60C" w14:textId="77777777" w:rsidR="007335EF" w:rsidRDefault="007335EF" w:rsidP="009F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C940" w14:textId="77777777" w:rsidR="007335EF" w:rsidRDefault="007335EF" w:rsidP="009F36C3">
      <w:pPr>
        <w:spacing w:after="0" w:line="240" w:lineRule="auto"/>
      </w:pPr>
      <w:r>
        <w:separator/>
      </w:r>
    </w:p>
  </w:footnote>
  <w:footnote w:type="continuationSeparator" w:id="0">
    <w:p w14:paraId="2C9DACF3" w14:textId="77777777" w:rsidR="007335EF" w:rsidRDefault="007335EF" w:rsidP="009F3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8829" w14:textId="1ED25960" w:rsidR="009F36C3" w:rsidRDefault="009F36C3">
    <w:pPr>
      <w:pStyle w:val="Header"/>
    </w:pPr>
    <w:r w:rsidRPr="009F36C3">
      <w:rPr>
        <w:noProof/>
      </w:rPr>
      <w:drawing>
        <wp:anchor distT="0" distB="0" distL="114300" distR="114300" simplePos="0" relativeHeight="251658240" behindDoc="0" locked="0" layoutInCell="1" allowOverlap="1" wp14:anchorId="1664999A" wp14:editId="56B64B7E">
          <wp:simplePos x="0" y="0"/>
          <wp:positionH relativeFrom="column">
            <wp:posOffset>5017240</wp:posOffset>
          </wp:positionH>
          <wp:positionV relativeFrom="paragraph">
            <wp:posOffset>98136</wp:posOffset>
          </wp:positionV>
          <wp:extent cx="1177695" cy="304154"/>
          <wp:effectExtent l="0" t="0" r="3810" b="1270"/>
          <wp:wrapNone/>
          <wp:docPr id="6" name="Picture 5" descr="A purple triangle and black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D42A7F6-A0B9-F95A-A6F7-382045AAB5D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purple triangle and black text&#10;&#10;Description automatically generated">
                    <a:extLst>
                      <a:ext uri="{FF2B5EF4-FFF2-40B4-BE49-F238E27FC236}">
                        <a16:creationId xmlns:a16="http://schemas.microsoft.com/office/drawing/2014/main" id="{5D42A7F6-A0B9-F95A-A6F7-382045AAB5D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7695" cy="3041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36C3">
      <w:rPr>
        <w:noProof/>
      </w:rPr>
      <w:drawing>
        <wp:anchor distT="0" distB="0" distL="114300" distR="114300" simplePos="0" relativeHeight="251658241" behindDoc="0" locked="0" layoutInCell="1" allowOverlap="1" wp14:anchorId="472FF190" wp14:editId="5F77B83E">
          <wp:simplePos x="0" y="0"/>
          <wp:positionH relativeFrom="column">
            <wp:posOffset>4816695</wp:posOffset>
          </wp:positionH>
          <wp:positionV relativeFrom="paragraph">
            <wp:posOffset>-274089</wp:posOffset>
          </wp:positionV>
          <wp:extent cx="1622713" cy="373345"/>
          <wp:effectExtent l="0" t="0" r="3175" b="0"/>
          <wp:wrapNone/>
          <wp:docPr id="9" name="Picture 8" descr="A purple and yellow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1AEFBBE-D085-F27A-1CEA-BA7EB4D18E3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purple and yellow logo&#10;&#10;Description automatically generated">
                    <a:extLst>
                      <a:ext uri="{FF2B5EF4-FFF2-40B4-BE49-F238E27FC236}">
                        <a16:creationId xmlns:a16="http://schemas.microsoft.com/office/drawing/2014/main" id="{21AEFBBE-D085-F27A-1CEA-BA7EB4D18E3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5716" cy="38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5372"/>
    <w:multiLevelType w:val="hybridMultilevel"/>
    <w:tmpl w:val="CD70C58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1E5D49"/>
    <w:multiLevelType w:val="multilevel"/>
    <w:tmpl w:val="9C363018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3843284E"/>
    <w:multiLevelType w:val="hybridMultilevel"/>
    <w:tmpl w:val="72665638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314674"/>
    <w:multiLevelType w:val="hybridMultilevel"/>
    <w:tmpl w:val="3AF4165E"/>
    <w:lvl w:ilvl="0" w:tplc="A77A7640">
      <w:start w:val="1"/>
      <w:numFmt w:val="decimal"/>
      <w:lvlText w:val="%1."/>
      <w:lvlJc w:val="left"/>
      <w:pPr>
        <w:ind w:left="1440" w:hanging="360"/>
      </w:pPr>
      <w:rPr>
        <w:sz w:val="21"/>
        <w:szCs w:val="2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E5048"/>
    <w:multiLevelType w:val="multilevel"/>
    <w:tmpl w:val="61CC5500"/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" w15:restartNumberingAfterBreak="0">
    <w:nsid w:val="5B4D5F20"/>
    <w:multiLevelType w:val="hybridMultilevel"/>
    <w:tmpl w:val="A36046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35530"/>
    <w:multiLevelType w:val="hybridMultilevel"/>
    <w:tmpl w:val="1438E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7A7640">
      <w:start w:val="1"/>
      <w:numFmt w:val="decimal"/>
      <w:lvlText w:val="%2."/>
      <w:lvlJc w:val="left"/>
      <w:pPr>
        <w:ind w:left="1440" w:hanging="360"/>
      </w:pPr>
      <w:rPr>
        <w:sz w:val="21"/>
        <w:szCs w:val="21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725F4"/>
    <w:multiLevelType w:val="multilevel"/>
    <w:tmpl w:val="51A47A5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7654C"/>
    <w:multiLevelType w:val="hybridMultilevel"/>
    <w:tmpl w:val="BEC62A3E"/>
    <w:lvl w:ilvl="0" w:tplc="FCCE2FB0">
      <w:start w:val="4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0766A"/>
    <w:multiLevelType w:val="hybridMultilevel"/>
    <w:tmpl w:val="07222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857D2">
      <w:start w:val="1"/>
      <w:numFmt w:val="decimal"/>
      <w:lvlText w:val="%2."/>
      <w:lvlJc w:val="left"/>
      <w:pPr>
        <w:ind w:left="1440" w:hanging="360"/>
      </w:pPr>
      <w:rPr>
        <w:sz w:val="21"/>
        <w:szCs w:val="21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3AAC"/>
    <w:multiLevelType w:val="multilevel"/>
    <w:tmpl w:val="1B8E8A8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97C03"/>
    <w:multiLevelType w:val="multilevel"/>
    <w:tmpl w:val="9B4E70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81247"/>
    <w:multiLevelType w:val="multilevel"/>
    <w:tmpl w:val="D21E7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86644DF"/>
    <w:multiLevelType w:val="hybridMultilevel"/>
    <w:tmpl w:val="CD70C58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C92D2C"/>
    <w:multiLevelType w:val="hybridMultilevel"/>
    <w:tmpl w:val="40882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34A9F"/>
    <w:multiLevelType w:val="hybridMultilevel"/>
    <w:tmpl w:val="15FEFAF4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3904392">
    <w:abstractNumId w:val="12"/>
  </w:num>
  <w:num w:numId="2" w16cid:durableId="1659723690">
    <w:abstractNumId w:val="2"/>
  </w:num>
  <w:num w:numId="3" w16cid:durableId="620919055">
    <w:abstractNumId w:val="15"/>
  </w:num>
  <w:num w:numId="4" w16cid:durableId="1605530783">
    <w:abstractNumId w:val="5"/>
  </w:num>
  <w:num w:numId="5" w16cid:durableId="37752107">
    <w:abstractNumId w:val="1"/>
  </w:num>
  <w:num w:numId="6" w16cid:durableId="420562135">
    <w:abstractNumId w:val="4"/>
  </w:num>
  <w:num w:numId="7" w16cid:durableId="983659046">
    <w:abstractNumId w:val="9"/>
  </w:num>
  <w:num w:numId="8" w16cid:durableId="1015771376">
    <w:abstractNumId w:val="13"/>
  </w:num>
  <w:num w:numId="9" w16cid:durableId="2029409984">
    <w:abstractNumId w:val="6"/>
  </w:num>
  <w:num w:numId="10" w16cid:durableId="1889605838">
    <w:abstractNumId w:val="3"/>
  </w:num>
  <w:num w:numId="11" w16cid:durableId="64688314">
    <w:abstractNumId w:val="7"/>
  </w:num>
  <w:num w:numId="12" w16cid:durableId="1557813726">
    <w:abstractNumId w:val="11"/>
  </w:num>
  <w:num w:numId="13" w16cid:durableId="903029109">
    <w:abstractNumId w:val="10"/>
  </w:num>
  <w:num w:numId="14" w16cid:durableId="972101339">
    <w:abstractNumId w:val="8"/>
  </w:num>
  <w:num w:numId="15" w16cid:durableId="1066027315">
    <w:abstractNumId w:val="14"/>
  </w:num>
  <w:num w:numId="16" w16cid:durableId="1959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16"/>
    <w:rsid w:val="0000571C"/>
    <w:rsid w:val="000218C2"/>
    <w:rsid w:val="00033DDD"/>
    <w:rsid w:val="00062B23"/>
    <w:rsid w:val="000772A4"/>
    <w:rsid w:val="000B09B2"/>
    <w:rsid w:val="000D07B8"/>
    <w:rsid w:val="000F2DC4"/>
    <w:rsid w:val="00107FF5"/>
    <w:rsid w:val="0011030B"/>
    <w:rsid w:val="0013526A"/>
    <w:rsid w:val="00140D91"/>
    <w:rsid w:val="00142005"/>
    <w:rsid w:val="0015794E"/>
    <w:rsid w:val="0017115F"/>
    <w:rsid w:val="00190F9D"/>
    <w:rsid w:val="001C49C7"/>
    <w:rsid w:val="00203DAC"/>
    <w:rsid w:val="00214EDF"/>
    <w:rsid w:val="002768DC"/>
    <w:rsid w:val="00284B1D"/>
    <w:rsid w:val="0029117D"/>
    <w:rsid w:val="00293B03"/>
    <w:rsid w:val="002952C5"/>
    <w:rsid w:val="002A2FF6"/>
    <w:rsid w:val="002C070F"/>
    <w:rsid w:val="002E4F82"/>
    <w:rsid w:val="002F32D1"/>
    <w:rsid w:val="00302E11"/>
    <w:rsid w:val="00314113"/>
    <w:rsid w:val="00315296"/>
    <w:rsid w:val="00331279"/>
    <w:rsid w:val="00333E76"/>
    <w:rsid w:val="00354E79"/>
    <w:rsid w:val="00362E85"/>
    <w:rsid w:val="003658C9"/>
    <w:rsid w:val="003844AA"/>
    <w:rsid w:val="003907ED"/>
    <w:rsid w:val="003972BA"/>
    <w:rsid w:val="003C5B3B"/>
    <w:rsid w:val="003C5E9A"/>
    <w:rsid w:val="003E404E"/>
    <w:rsid w:val="003F1CDE"/>
    <w:rsid w:val="004222D6"/>
    <w:rsid w:val="00431EBC"/>
    <w:rsid w:val="00456876"/>
    <w:rsid w:val="00464B03"/>
    <w:rsid w:val="00481DCE"/>
    <w:rsid w:val="004C1F26"/>
    <w:rsid w:val="004C3323"/>
    <w:rsid w:val="004E1FF2"/>
    <w:rsid w:val="004F0DEB"/>
    <w:rsid w:val="005059A4"/>
    <w:rsid w:val="00525C9B"/>
    <w:rsid w:val="0053324C"/>
    <w:rsid w:val="00587BF7"/>
    <w:rsid w:val="0059338B"/>
    <w:rsid w:val="005D1616"/>
    <w:rsid w:val="005F4119"/>
    <w:rsid w:val="00607F41"/>
    <w:rsid w:val="00615D8E"/>
    <w:rsid w:val="00627A0A"/>
    <w:rsid w:val="00643BB1"/>
    <w:rsid w:val="0066457F"/>
    <w:rsid w:val="006648EB"/>
    <w:rsid w:val="00665E64"/>
    <w:rsid w:val="00680B1A"/>
    <w:rsid w:val="006812E3"/>
    <w:rsid w:val="0068219E"/>
    <w:rsid w:val="00684E96"/>
    <w:rsid w:val="006961A0"/>
    <w:rsid w:val="006A2AE9"/>
    <w:rsid w:val="006B73C7"/>
    <w:rsid w:val="006C6ACC"/>
    <w:rsid w:val="006D5251"/>
    <w:rsid w:val="00711F1E"/>
    <w:rsid w:val="00714FE1"/>
    <w:rsid w:val="007335EF"/>
    <w:rsid w:val="00761D41"/>
    <w:rsid w:val="007B243F"/>
    <w:rsid w:val="007E3592"/>
    <w:rsid w:val="007E55AF"/>
    <w:rsid w:val="00856557"/>
    <w:rsid w:val="00885CB3"/>
    <w:rsid w:val="008955AB"/>
    <w:rsid w:val="00896C63"/>
    <w:rsid w:val="00914E67"/>
    <w:rsid w:val="0093099C"/>
    <w:rsid w:val="00934368"/>
    <w:rsid w:val="00935965"/>
    <w:rsid w:val="00954585"/>
    <w:rsid w:val="0095546C"/>
    <w:rsid w:val="00965895"/>
    <w:rsid w:val="009855AA"/>
    <w:rsid w:val="009B27FF"/>
    <w:rsid w:val="009B3E92"/>
    <w:rsid w:val="009C1935"/>
    <w:rsid w:val="009F36C3"/>
    <w:rsid w:val="009F5197"/>
    <w:rsid w:val="00A236EC"/>
    <w:rsid w:val="00A26E7F"/>
    <w:rsid w:val="00A3006E"/>
    <w:rsid w:val="00A40488"/>
    <w:rsid w:val="00A71324"/>
    <w:rsid w:val="00A80761"/>
    <w:rsid w:val="00A8411D"/>
    <w:rsid w:val="00A87665"/>
    <w:rsid w:val="00A95852"/>
    <w:rsid w:val="00AC4D52"/>
    <w:rsid w:val="00AD5368"/>
    <w:rsid w:val="00AE4595"/>
    <w:rsid w:val="00AF3388"/>
    <w:rsid w:val="00B02DE3"/>
    <w:rsid w:val="00B1342C"/>
    <w:rsid w:val="00B34A3F"/>
    <w:rsid w:val="00B76616"/>
    <w:rsid w:val="00BB6552"/>
    <w:rsid w:val="00BE09DB"/>
    <w:rsid w:val="00BE3831"/>
    <w:rsid w:val="00BE742B"/>
    <w:rsid w:val="00BF470A"/>
    <w:rsid w:val="00BF6316"/>
    <w:rsid w:val="00C028F9"/>
    <w:rsid w:val="00C128AF"/>
    <w:rsid w:val="00C26C8F"/>
    <w:rsid w:val="00C30C2A"/>
    <w:rsid w:val="00C64162"/>
    <w:rsid w:val="00C70EF7"/>
    <w:rsid w:val="00CC1C8D"/>
    <w:rsid w:val="00CD3CB7"/>
    <w:rsid w:val="00D02590"/>
    <w:rsid w:val="00DC2CA1"/>
    <w:rsid w:val="00DC6F5A"/>
    <w:rsid w:val="00DE6D5C"/>
    <w:rsid w:val="00DE77A9"/>
    <w:rsid w:val="00E01963"/>
    <w:rsid w:val="00E12758"/>
    <w:rsid w:val="00E12826"/>
    <w:rsid w:val="00E3554F"/>
    <w:rsid w:val="00E462DC"/>
    <w:rsid w:val="00E61C67"/>
    <w:rsid w:val="00E65E16"/>
    <w:rsid w:val="00E73793"/>
    <w:rsid w:val="00EA102A"/>
    <w:rsid w:val="00EC071B"/>
    <w:rsid w:val="00F067DC"/>
    <w:rsid w:val="00F26F0F"/>
    <w:rsid w:val="00F31885"/>
    <w:rsid w:val="00F40736"/>
    <w:rsid w:val="00F660A3"/>
    <w:rsid w:val="00F67B14"/>
    <w:rsid w:val="00F7135C"/>
    <w:rsid w:val="00F80F07"/>
    <w:rsid w:val="00F81FC8"/>
    <w:rsid w:val="00FA2010"/>
    <w:rsid w:val="00FA4A84"/>
    <w:rsid w:val="00FB187F"/>
    <w:rsid w:val="00FB4EA9"/>
    <w:rsid w:val="00FC2653"/>
    <w:rsid w:val="00FF2DED"/>
    <w:rsid w:val="015E10D5"/>
    <w:rsid w:val="0269442B"/>
    <w:rsid w:val="04B36F40"/>
    <w:rsid w:val="08604821"/>
    <w:rsid w:val="0884F216"/>
    <w:rsid w:val="09C17843"/>
    <w:rsid w:val="09E008A2"/>
    <w:rsid w:val="0D145C55"/>
    <w:rsid w:val="0D196D72"/>
    <w:rsid w:val="0D2124D0"/>
    <w:rsid w:val="104A00B7"/>
    <w:rsid w:val="12089ED9"/>
    <w:rsid w:val="17959167"/>
    <w:rsid w:val="17CC720A"/>
    <w:rsid w:val="18329A3C"/>
    <w:rsid w:val="18583829"/>
    <w:rsid w:val="1B0D07C8"/>
    <w:rsid w:val="1BB2D43F"/>
    <w:rsid w:val="1D1BEE52"/>
    <w:rsid w:val="21D01815"/>
    <w:rsid w:val="23FE0784"/>
    <w:rsid w:val="24204196"/>
    <w:rsid w:val="24DA77BA"/>
    <w:rsid w:val="26045031"/>
    <w:rsid w:val="3191FC54"/>
    <w:rsid w:val="33C025A5"/>
    <w:rsid w:val="379D903E"/>
    <w:rsid w:val="416DD25A"/>
    <w:rsid w:val="47110AED"/>
    <w:rsid w:val="4D95DD07"/>
    <w:rsid w:val="4DFE116A"/>
    <w:rsid w:val="4F89C4AF"/>
    <w:rsid w:val="53C37954"/>
    <w:rsid w:val="570DBDB5"/>
    <w:rsid w:val="59A076B1"/>
    <w:rsid w:val="5AACA1DA"/>
    <w:rsid w:val="5BF819AA"/>
    <w:rsid w:val="5C28B734"/>
    <w:rsid w:val="5CC51B33"/>
    <w:rsid w:val="5DCD1959"/>
    <w:rsid w:val="5F87064D"/>
    <w:rsid w:val="64A17B68"/>
    <w:rsid w:val="675E5D29"/>
    <w:rsid w:val="685DDD3F"/>
    <w:rsid w:val="6884C8A4"/>
    <w:rsid w:val="6B2C831A"/>
    <w:rsid w:val="6FC06EF5"/>
    <w:rsid w:val="70A3F6E2"/>
    <w:rsid w:val="714375E9"/>
    <w:rsid w:val="747008DA"/>
    <w:rsid w:val="747F1190"/>
    <w:rsid w:val="771CC76E"/>
    <w:rsid w:val="7763D3A8"/>
    <w:rsid w:val="787D4FFF"/>
    <w:rsid w:val="7A6E1023"/>
    <w:rsid w:val="7ABE8C26"/>
    <w:rsid w:val="7C11C93F"/>
    <w:rsid w:val="7D2FB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E5F8"/>
  <w15:chartTrackingRefBased/>
  <w15:docId w15:val="{2493E8AA-9770-4DC4-B800-F86E0B9E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6C3"/>
  </w:style>
  <w:style w:type="paragraph" w:styleId="Footer">
    <w:name w:val="footer"/>
    <w:basedOn w:val="Normal"/>
    <w:link w:val="FooterChar"/>
    <w:uiPriority w:val="99"/>
    <w:unhideWhenUsed/>
    <w:rsid w:val="009F3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6C3"/>
  </w:style>
  <w:style w:type="character" w:styleId="CommentReference">
    <w:name w:val="annotation reference"/>
    <w:basedOn w:val="DefaultParagraphFont"/>
    <w:uiPriority w:val="99"/>
    <w:unhideWhenUsed/>
    <w:rsid w:val="00A236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36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36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6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6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941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8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7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51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99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810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0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0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26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50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1444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2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9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4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06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0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87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3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1082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5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4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3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82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76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0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4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638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07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45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7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93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14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023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4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22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0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0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693</Words>
  <Characters>4449</Characters>
  <Application>Microsoft Office Word</Application>
  <DocSecurity>0</DocSecurity>
  <Lines>139</Lines>
  <Paragraphs>85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Ling</dc:creator>
  <cp:keywords/>
  <dc:description/>
  <cp:lastModifiedBy>Amanda Ling</cp:lastModifiedBy>
  <cp:revision>80</cp:revision>
  <dcterms:created xsi:type="dcterms:W3CDTF">2026-01-27T13:59:00Z</dcterms:created>
  <dcterms:modified xsi:type="dcterms:W3CDTF">2026-02-10T05:38:00Z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2024-06-20T06:46:16Z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6e9235b2-dc74-4941-a263-3493937e72b2</vt:lpwstr>
  </property>
  <property fmtid="{D5CDD505-2E9C-101B-9397-08002B2CF9AE}" pid="8" name="MSIP_Label_0f488380-630a-4f55-a077-a19445e3f360_ContentBits">
    <vt:lpwstr>0</vt:lpwstr>
  </property>
</Properties>
</file>