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0" w:after="240"/>
        <w:jc w:val="center"/>
      </w:pPr>
      <w:r>
        <w:t xml:space="preserve">Advancia Pay Ledger</w:t>
      </w:r>
    </w:p>
    <w:p>
      <w:pPr>
        <w:spacing w:after="960"/>
        <w:jc w:val="center"/>
      </w:pPr>
      <w:r>
        <w:t xml:space="preserve">Revolutionizing Healthcare Payments with Blockchain Technology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Seed Funding Round: $1.5M</w:t>
      </w:r>
    </w:p>
    <w:p>
      <w:pPr>
        <w:spacing w:after="960"/>
        <w:jc w:val="center"/>
      </w:pPr>
      <w:r>
        <w:t xml:space="preserve">Confidential - January 2026</w:t>
      </w:r>
    </w:p>
    <w:p>
      <w:pPr>
        <w:pStyle w:val="Heading1"/>
        <w:spacing w:before="960" w:after="240"/>
      </w:pPr>
      <w:r>
        <w:t xml:space="preserve">Executive Summary</w:t>
      </w:r>
    </w:p>
    <w:p>
      <w:pPr>
        <w:spacing w:after="240"/>
      </w:pPr>
      <w:r>
        <w:t xml:space="preserve">Advancia Pay Ledger is a production-ready cryptocurrency payment platform specifically designed for healthcare facilities. We combine multi-blockchain payment processing across six networks (Ethereum, Polygon, BSC, Arbitrum, Optimism, Stellar) with comprehensive healthcare facility management features including bed tracking, appointment scheduling, and multi-role user systems.</w:t>
      </w:r>
    </w:p>
    <w:p>
      <w:pPr>
        <w:spacing w:after="360"/>
      </w:pPr>
      <w:r>
        <w:t xml:space="preserve">Our platform addresses the $496 billion annually wasted on payment processing inefficiencies in healthcare while positioning at the intersection of the $4.3T healthcare market and the $2T cryptocurrency market.</w:t>
      </w:r>
    </w:p>
    <w:p>
      <w:pPr>
        <w:pStyle w:val="Heading1"/>
        <w:spacing w:before="480" w:after="240"/>
      </w:pPr>
      <w:r>
        <w:t xml:space="preserve">The Problem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Healthcare Payment Friction:</w:t>
      </w:r>
    </w:p>
    <w:p>
      <w:pPr>
        <w:spacing w:after="120"/>
      </w:pPr>
      <w:r>
        <w:rPr>
          <w:b/>
          <w:bCs/>
        </w:rPr>
        <w:t xml:space="preserve">• $496B wasted annually</w:t>
      </w:r>
      <w:r>
        <w:t xml:space="preserve"> on payment processing inefficiencies</w:t>
      </w:r>
    </w:p>
    <w:p>
      <w:pPr>
        <w:spacing w:after="120"/>
      </w:pPr>
      <w:r>
        <w:rPr>
          <w:b/>
          <w:bCs/>
        </w:rPr>
        <w:t xml:space="preserve">• 68% of patients</w:t>
      </w:r>
      <w:r>
        <w:t xml:space="preserve"> struggle with medical bill payments</w:t>
      </w:r>
    </w:p>
    <w:p>
      <w:pPr>
        <w:spacing w:after="240"/>
      </w:pPr>
      <w:r>
        <w:rPr>
          <w:b/>
          <w:bCs/>
        </w:rPr>
        <w:t xml:space="preserve">• 45-90 days average</w:t>
      </w:r>
      <w:r>
        <w:t xml:space="preserve"> for claim processing and settlement</w:t>
      </w:r>
    </w:p>
    <w:p>
      <w:pPr>
        <w:spacing w:after="120"/>
      </w:pPr>
      <w:r>
        <w:t xml:space="preserve">Cryptocurrency Adoption Barriers:</w:t>
      </w:r>
    </w:p>
    <w:p>
      <w:pPr>
        <w:spacing w:after="120"/>
      </w:pPr>
      <w:r>
        <w:t xml:space="preserve">• Complex wallet management across multiple blockchains</w:t>
      </w:r>
    </w:p>
    <w:p>
      <w:pPr>
        <w:spacing w:after="120"/>
      </w:pPr>
      <w:r>
        <w:t xml:space="preserve">• Lack of integration with traditional healthcare systems</w:t>
      </w:r>
    </w:p>
    <w:p>
      <w:pPr>
        <w:spacing w:after="360"/>
      </w:pPr>
      <w:r>
        <w:t xml:space="preserve">• No unified platform for crypto-enabled healthcare facilities</w:t>
      </w:r>
    </w:p>
    <w:p>
      <w:pPr>
        <w:pStyle w:val="Heading1"/>
        <w:spacing w:before="480" w:after="240"/>
      </w:pPr>
      <w:r>
        <w:t xml:space="preserve">Our Solution</w:t>
      </w:r>
    </w:p>
    <w:p>
      <w:pPr>
        <w:pStyle w:val="Heading2"/>
        <w:spacing w:after="180"/>
      </w:pPr>
      <w:r>
        <w:t xml:space="preserve">Multi-Blockchain Payment Processing:</w:t>
      </w:r>
    </w:p>
    <w:p>
      <w:pPr>
        <w:spacing w:after="120"/>
      </w:pPr>
      <w:r>
        <w:t xml:space="preserve">• 6 blockchain networks (Ethereum, Polygon, BSC, Arbitrum, Optimism, Stellar)</w:t>
      </w:r>
    </w:p>
    <w:p>
      <w:pPr>
        <w:spacing w:after="120"/>
      </w:pPr>
      <w:r>
        <w:t xml:space="preserve">• Instant settlement vs 45-90 days traditional</w:t>
      </w:r>
    </w:p>
    <w:p>
      <w:pPr>
        <w:spacing w:after="120"/>
      </w:pPr>
      <w:r>
        <w:t xml:space="preserve">• 0.5% transaction fees vs 2.9% for Stripe</w:t>
      </w:r>
    </w:p>
    <w:p>
      <w:pPr>
        <w:spacing w:after="240"/>
      </w:pPr>
      <w:r>
        <w:t xml:space="preserve">• Multi-signature wallet security</w:t>
      </w:r>
    </w:p>
    <w:p>
      <w:pPr>
        <w:pStyle w:val="Heading2"/>
        <w:spacing w:after="180"/>
      </w:pPr>
      <w:r>
        <w:t xml:space="preserve">Healthcare Facility Management:</w:t>
      </w:r>
    </w:p>
    <w:p>
      <w:pPr>
        <w:spacing w:after="120"/>
      </w:pPr>
      <w:r>
        <w:t xml:space="preserve">• Real-time bed tracking and occupancy management</w:t>
      </w:r>
    </w:p>
    <w:p>
      <w:pPr>
        <w:spacing w:after="120"/>
      </w:pPr>
      <w:r>
        <w:t xml:space="preserve">• Appointment scheduling and patient management</w:t>
      </w:r>
    </w:p>
    <w:p>
      <w:pPr>
        <w:spacing w:after="120"/>
      </w:pPr>
      <w:r>
        <w:t xml:space="preserve">• Multi-role access control (Admin, Doctor, Nurse, Reception, Patient)</w:t>
      </w:r>
    </w:p>
    <w:p>
      <w:pPr>
        <w:spacing w:after="360"/>
      </w:pPr>
      <w:r>
        <w:t xml:space="preserve">• HIPAA-compliant data handling and audit trails</w:t>
      </w:r>
    </w:p>
    <w:p>
      <w:pPr>
        <w:pStyle w:val="Heading1"/>
        <w:pageBreakBefore/>
        <w:spacing w:after="240"/>
      </w:pPr>
      <w:r>
        <w:t xml:space="preserve">Market Opportunity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Total Addressable Market (TAM): $68B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Serviceable Addressable Market (SAM): $12B</w:t>
      </w:r>
    </w:p>
    <w:p>
      <w:pPr>
        <w:spacing w:after="360"/>
      </w:pPr>
      <w:r>
        <w:rPr>
          <w:b/>
          <w:bCs/>
          <w:sz w:val="26"/>
          <w:szCs w:val="26"/>
        </w:rPr>
        <w:t xml:space="preserve">Serviceable Obtainable Market (Year 5): $850M</w:t>
      </w:r>
    </w:p>
    <w:p>
      <w:pPr>
        <w:spacing w:after="180"/>
      </w:pPr>
      <w:r>
        <w:t xml:space="preserve">Target Segments:</w:t>
      </w:r>
    </w:p>
    <w:p>
      <w:pPr>
        <w:spacing w:after="120"/>
      </w:pPr>
      <w:r>
        <w:t xml:space="preserve">• 6,090 hospitals in the US accepting alternative payments</w:t>
      </w:r>
    </w:p>
    <w:p>
      <w:pPr>
        <w:spacing w:after="120"/>
      </w:pPr>
      <w:r>
        <w:t xml:space="preserve">• 1.2M+ physicians in private practice</w:t>
      </w:r>
    </w:p>
    <w:p>
      <w:pPr>
        <w:spacing w:after="120"/>
      </w:pPr>
      <w:r>
        <w:t xml:space="preserve">• Growing medical tourism sector seeking crypto payment options</w:t>
      </w:r>
    </w:p>
    <w:p>
      <w:pPr>
        <w:spacing w:after="360"/>
      </w:pPr>
      <w:r>
        <w:t xml:space="preserve">• International expansion to 15+ countries by Year 3</w:t>
      </w:r>
    </w:p>
    <w:p>
      <w:pPr>
        <w:pStyle w:val="Heading1"/>
        <w:spacing w:before="480" w:after="240"/>
      </w:pPr>
      <w:r>
        <w:t xml:space="preserve">Business Model &amp; Revenue Streams</w:t>
      </w:r>
    </w:p>
    <w:p>
      <w:pPr>
        <w:spacing w:after="180"/>
      </w:pPr>
      <w:r>
        <w:rPr>
          <w:b/>
          <w:bCs/>
        </w:rPr>
        <w:t xml:space="preserve">1. Transaction Fees (0.5% per crypto transaction)</w:t>
      </w:r>
    </w:p>
    <w:p>
      <w:pPr>
        <w:spacing w:after="240"/>
      </w:pPr>
      <w:r>
        <w:t xml:space="preserve">Primary revenue source from payment processing. Volume-based discounts for enterprise clients.</w:t>
      </w:r>
    </w:p>
    <w:p>
      <w:pPr>
        <w:spacing w:after="180"/>
      </w:pPr>
      <w:r>
        <w:rPr>
          <w:b/>
          <w:bCs/>
        </w:rPr>
        <w:t xml:space="preserve">2. SaaS Subscriptions</w:t>
      </w:r>
    </w:p>
    <w:p>
      <w:pPr>
        <w:spacing w:after="120"/>
      </w:pPr>
      <w:r>
        <w:t xml:space="preserve">• Basic: $199/month - Small clinics and individual practitioners</w:t>
      </w:r>
    </w:p>
    <w:p>
      <w:pPr>
        <w:spacing w:after="120"/>
      </w:pPr>
      <w:r>
        <w:t xml:space="preserve">• Professional: $599/month - Mid-size facilities</w:t>
      </w:r>
    </w:p>
    <w:p>
      <w:pPr>
        <w:spacing w:after="240"/>
      </w:pPr>
      <w:r>
        <w:t xml:space="preserve">• Enterprise: $1,999/month - Large hospitals and healthcare systems</w:t>
      </w:r>
    </w:p>
    <w:p>
      <w:pPr>
        <w:spacing w:after="180"/>
      </w:pPr>
      <w:r>
        <w:rPr>
          <w:b/>
          <w:bCs/>
        </w:rPr>
        <w:t xml:space="preserve">3. Premium AI Features ($0.10 per task)</w:t>
      </w:r>
    </w:p>
    <w:p>
      <w:pPr>
        <w:spacing w:after="240"/>
      </w:pPr>
      <w:r>
        <w:t xml:space="preserve">Advanced fraud detection, predictive analytics, and custom AI agent training.</w:t>
      </w:r>
    </w:p>
    <w:p>
      <w:pPr>
        <w:spacing w:after="180"/>
      </w:pPr>
      <w:r>
        <w:rPr>
          <w:b/>
          <w:bCs/>
        </w:rPr>
        <w:t xml:space="preserve">4. White-Label Solutions (Starting at $50K setup + revenue share)</w:t>
      </w:r>
    </w:p>
    <w:p>
      <w:pPr>
        <w:spacing w:after="360"/>
      </w:pPr>
      <w:r>
        <w:t xml:space="preserve">Custom branding, API integration packages, and dedicated support for large healthcare networks.</w:t>
      </w:r>
    </w:p>
    <w:p>
      <w:pPr>
        <w:pStyle w:val="Heading1"/>
        <w:pageBreakBefore/>
        <w:spacing w:after="240"/>
      </w:pPr>
      <w:r>
        <w:t xml:space="preserve">Financial Projections (5 Years)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F4F8"/>
          </w:tcPr>
          <w:p>
            <w:r>
              <w:t xml:space="preserve">Metric</w:t>
            </w:r>
          </w:p>
        </w:tc>
        <w:tc>
          <w:tcPr>
            <w:shd w:fill="E8F4F8"/>
          </w:tcPr>
          <w:p>
            <w:r>
              <w:t xml:space="preserve">Year 1</w:t>
            </w:r>
          </w:p>
        </w:tc>
        <w:tc>
          <w:tcPr>
            <w:shd w:fill="E8F4F8"/>
          </w:tcPr>
          <w:p>
            <w:r>
              <w:t xml:space="preserve">Year 2</w:t>
            </w:r>
          </w:p>
        </w:tc>
        <w:tc>
          <w:tcPr>
            <w:shd w:fill="E8F4F8"/>
          </w:tcPr>
          <w:p>
            <w:r>
              <w:t xml:space="preserve">Year 3</w:t>
            </w:r>
          </w:p>
        </w:tc>
        <w:tc>
          <w:tcPr>
            <w:shd w:fill="E8F4F8"/>
          </w:tcPr>
          <w:p>
            <w:r>
              <w:t xml:space="preserve">Year 4</w:t>
            </w:r>
          </w:p>
        </w:tc>
        <w:tc>
          <w:tcPr>
            <w:shd w:fill="E8F4F8"/>
          </w:tcPr>
          <w:p>
            <w:r>
              <w:t xml:space="preserve">Year 5</w:t>
            </w:r>
          </w:p>
        </w:tc>
      </w:tr>
      <w:tr>
        <w:tc>
          <w:p>
            <w:r>
              <w:t xml:space="preserve">Revenue</w:t>
            </w:r>
          </w:p>
        </w:tc>
        <w:tc>
          <w:p>
            <w:r>
              <w:t xml:space="preserve">$0.5M</w:t>
            </w:r>
          </w:p>
        </w:tc>
        <w:tc>
          <w:p>
            <w:r>
              <w:t xml:space="preserve">$3.2M</w:t>
            </w:r>
          </w:p>
        </w:tc>
        <w:tc>
          <w:p>
            <w:r>
              <w:t xml:space="preserve">$12.5M</w:t>
            </w:r>
          </w:p>
        </w:tc>
        <w:tc>
          <w:p>
            <w:r>
              <w:t xml:space="preserve">$35M</w:t>
            </w:r>
          </w:p>
        </w:tc>
        <w:tc>
          <w:p>
            <w:r>
              <w:t xml:space="preserve">$78M</w:t>
            </w:r>
          </w:p>
        </w:tc>
      </w:tr>
      <w:tr>
        <w:tc>
          <w:p>
            <w:r>
              <w:t xml:space="preserve">Gross Margin</w:t>
            </w:r>
          </w:p>
        </w:tc>
        <w:tc>
          <w:p>
            <w:r>
              <w:t xml:space="preserve">62%</w:t>
            </w:r>
          </w:p>
        </w:tc>
        <w:tc>
          <w:p>
            <w:r>
              <w:t xml:space="preserve">68%</w:t>
            </w:r>
          </w:p>
        </w:tc>
        <w:tc>
          <w:p>
            <w:r>
              <w:t xml:space="preserve">72%</w:t>
            </w:r>
          </w:p>
        </w:tc>
        <w:tc>
          <w:p>
            <w:r>
              <w:t xml:space="preserve">74%</w:t>
            </w:r>
          </w:p>
        </w:tc>
        <w:tc>
          <w:p>
            <w:r>
              <w:t xml:space="preserve">75%</w:t>
            </w:r>
          </w:p>
        </w:tc>
      </w:tr>
      <w:tr>
        <w:tc>
          <w:p>
            <w:r>
              <w:t xml:space="preserve">Customers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1,200</w:t>
            </w:r>
          </w:p>
        </w:tc>
        <w:tc>
          <w:p>
            <w:r>
              <w:t xml:space="preserve">2,500</w:t>
            </w:r>
          </w:p>
        </w:tc>
      </w:tr>
    </w:tbl>
    <w:p>
      <w:pPr>
        <w:pStyle w:val="Heading1"/>
        <w:spacing w:before="720" w:after="240"/>
      </w:pPr>
      <w:r>
        <w:t xml:space="preserve">Investment Ask</w:t>
      </w:r>
    </w:p>
    <w:p>
      <w:pPr>
        <w:spacing w:after="180"/>
      </w:pPr>
      <w:r>
        <w:rPr>
          <w:b/>
          <w:bCs/>
          <w:color w:val="0066CC"/>
          <w:sz w:val="28"/>
          <w:szCs w:val="28"/>
        </w:rPr>
        <w:t xml:space="preserve">Raising: $1.5M Seed Round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Pre-money Valuation: $10M</w:t>
      </w:r>
    </w:p>
    <w:p>
      <w:pPr>
        <w:pStyle w:val="Heading2"/>
        <w:spacing w:after="180"/>
      </w:pPr>
      <w:r>
        <w:t xml:space="preserve">Use of Funds:</w:t>
      </w:r>
    </w:p>
    <w:p>
      <w:pPr>
        <w:spacing w:after="120"/>
      </w:pPr>
      <w:r>
        <w:t xml:space="preserve">• Engineering &amp; Product (40% - $600K): Scale infrastructure, mobile app development, advanced AI features</w:t>
      </w:r>
    </w:p>
    <w:p>
      <w:pPr>
        <w:spacing w:after="120"/>
      </w:pPr>
      <w:r>
        <w:t xml:space="preserve">• Sales &amp; Marketing (30% - $450K): Healthcare facility partnerships, marketing campaigns, sales team expansion</w:t>
      </w:r>
    </w:p>
    <w:p>
      <w:pPr>
        <w:spacing w:after="120"/>
      </w:pPr>
      <w:r>
        <w:t xml:space="preserve">• Compliance &amp; Legal (15% - $225K): SOC 2 Type II certification, HIPAA audit, multi-state licensing</w:t>
      </w:r>
    </w:p>
    <w:p>
      <w:pPr>
        <w:spacing w:after="360"/>
      </w:pPr>
      <w:r>
        <w:t xml:space="preserve">• Operations &amp; Reserves (15% - $225K): Customer support infrastructure, working capital, contingency fund</w:t>
      </w:r>
    </w:p>
    <w:p>
      <w:pPr>
        <w:spacing w:after="480"/>
      </w:pPr>
      <w:r>
        <w:rPr>
          <w:b/>
          <w:bCs/>
          <w:sz w:val="24"/>
          <w:szCs w:val="24"/>
        </w:rPr>
        <w:t xml:space="preserve">Runway: 18 months to profitability</w:t>
      </w:r>
    </w:p>
    <w:p>
      <w:pPr>
        <w:pStyle w:val="Heading1"/>
        <w:pageBreakBefore/>
        <w:spacing w:after="240"/>
      </w:pPr>
      <w:r>
        <w:t xml:space="preserve">Contact Information</w:t>
      </w:r>
    </w:p>
    <w:p>
      <w:pPr>
        <w:spacing w:after="120"/>
      </w:pPr>
      <w:r>
        <w:t xml:space="preserve">Advancia Pay Ledger</w:t>
      </w:r>
    </w:p>
    <w:p>
      <w:pPr>
        <w:spacing w:after="120"/>
      </w:pPr>
      <w:r>
        <w:t xml:space="preserve">Website: advanciapayledger.com</w:t>
      </w:r>
    </w:p>
    <w:p>
      <w:pPr>
        <w:spacing w:after="360"/>
      </w:pPr>
      <w:r>
        <w:t xml:space="preserve">Email: contact@advanciapayledger.com</w:t>
      </w:r>
    </w:p>
    <w:p>
      <w:pPr>
        <w:spacing w:after="480"/>
      </w:pPr>
      <w:r>
        <w:t xml:space="preserve">For more information, please contact us to schedule a platform demonstration and technical deep-dive.</w:t>
      </w:r>
    </w:p>
    <w:p>
      <w:pPr>
        <w:jc w:val="center"/>
      </w:pPr>
      <w:r>
        <w:t xml:space="preserve">Confidential &amp; Proprietary - Do Not Distribute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66C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2026-01-14T07:53:04.216Z</dcterms:created>
  <dcterms:modified xsi:type="dcterms:W3CDTF">2026-01-14T07:53:04.216Z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