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高校何以成为行政诉讼条件被告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行政行为（教育）的合法性条件--程度和实体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校规的合法性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学术自治的法律界限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论文2000到3000,下面是要求：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51375" cy="3579495"/>
            <wp:effectExtent l="0" t="0" r="12065" b="1905"/>
            <wp:docPr id="1" name="图片 1" descr="788569369214695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885693692146952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案件检索不可以写百度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案件也可以选择《依法治教典型案例选编》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学位法：学术性和非学术性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学术授予标准的合法性问题（批判性思维）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喻胜诉中南大学案（可做期末作业进行批判）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教授兼职，从学校内部管理，劳动者兼职，如何界定上班时间，界定上班时间是否合法，如果纯坐班怎么讲授课程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如何看待学区房现象，如何确定什么是就近入学，怎么确定最近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家庭教育缺失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专门学校的建设情况，专门矫治学校和专门学校的区别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劳动权：父母的犯罪行为限制孩子的就业，自责自负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在事实和法规范中权衡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推荐书籍：高等教育行政纠纷裁判规则类型化研究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国家法律法规数据库（可查案件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155 215 161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135 220 159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BB8D8"/>
    <w:multiLevelType w:val="singleLevel"/>
    <w:tmpl w:val="A7BBB8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32B7849"/>
    <w:rsid w:val="032B7849"/>
    <w:rsid w:val="664C086B"/>
    <w:rsid w:val="7137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2025-02-24T10:53:00Z</dcterms:created>
  <dc:creator>WPS_1643976050</dc:creator>
  <cp:lastModifiedBy>WPS_1643976050</cp:lastModifiedBy>
  <dcterms:modified xsi:type="dcterms:W3CDTF">2025-03-26T01:46:30Z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81C6E428F5A043ACA202DFECE68BDF87_11</vt:lpwstr>
  </property>
</Properties>
</file>