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AE04AA">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AE04AA">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AE04AA">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3987EC1C"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Según Young Kwak</w:t>
      </w:r>
      <w:r w:rsidR="00772022">
        <w:rPr>
          <w:rFonts w:ascii="Arial" w:hAnsi="Arial" w:cs="Arial"/>
          <w:color w:val="000000" w:themeColor="text1"/>
          <w:sz w:val="22"/>
          <w:szCs w:val="22"/>
          <w:lang w:val="es-ES_tradnl" w:eastAsia="es-ES"/>
        </w:rPr>
        <w:t xml:space="preserve"> y Frank A</w:t>
      </w:r>
      <w:r w:rsidRPr="00EB3782">
        <w:rPr>
          <w:rFonts w:ascii="Arial" w:hAnsi="Arial" w:cs="Arial"/>
          <w:color w:val="000000" w:themeColor="text1"/>
          <w:sz w:val="22"/>
          <w:szCs w:val="22"/>
          <w:lang w:val="es-ES_tradnl" w:eastAsia="es-ES"/>
        </w:rPr>
        <w:t>nbari (2011)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77777777"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Pr>
          <w:color w:val="000000" w:themeColor="text1"/>
        </w:rPr>
        <w:t xml:space="preserve">, </w:t>
      </w:r>
      <w:commentRangeStart w:id="29"/>
      <w:r>
        <w:rPr>
          <w:color w:val="000000" w:themeColor="text1"/>
        </w:rPr>
        <w:t>sin embargo el origen de EVM no se relaciona directamente a la misma.</w:t>
      </w:r>
      <w:commentRangeEnd w:id="29"/>
      <w:r w:rsidR="00CA67C5">
        <w:rPr>
          <w:rStyle w:val="CommentReference"/>
        </w:rPr>
        <w:commentReference w:id="29"/>
      </w:r>
    </w:p>
    <w:p w14:paraId="4122893B" w14:textId="77777777" w:rsidR="00EB3782" w:rsidRPr="000C4445" w:rsidRDefault="00EB3782" w:rsidP="00EB3782">
      <w:pPr>
        <w:jc w:val="both"/>
        <w:rPr>
          <w:color w:val="000000" w:themeColor="text1"/>
        </w:rPr>
      </w:pPr>
    </w:p>
    <w:p w14:paraId="64F775BF" w14:textId="77777777" w:rsidR="00EB3782" w:rsidRDefault="00EB3782" w:rsidP="00EB3782">
      <w:pPr>
        <w:jc w:val="both"/>
        <w:rPr>
          <w:color w:val="000000" w:themeColor="text1"/>
        </w:rPr>
      </w:pPr>
      <w:commentRangeStart w:id="30"/>
      <w:r w:rsidRPr="000C4445">
        <w:rPr>
          <w:color w:val="000000" w:themeColor="text1"/>
        </w:rPr>
        <w:t>Según Cândido</w:t>
      </w:r>
      <w:commentRangeEnd w:id="30"/>
      <w:r w:rsidR="00CA67C5">
        <w:rPr>
          <w:rStyle w:val="CommentReference"/>
        </w:rPr>
        <w:commentReference w:id="30"/>
      </w:r>
      <w:r w:rsidRPr="000C4445">
        <w:rPr>
          <w:color w:val="000000" w:themeColor="text1"/>
        </w:rPr>
        <w:t xml:space="preserve">,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Pr>
          <w:color w:val="000000" w:themeColor="text1"/>
        </w:rPr>
        <w:t xml:space="preserve">Con esto se puede concluir que las técnicas PERT/COST eran los predecesores de EVM, 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77777777" w:rsidR="00EB3782" w:rsidRDefault="00EB3782" w:rsidP="00EB3782">
      <w:pPr>
        <w:jc w:val="both"/>
        <w:rPr>
          <w:color w:val="000000" w:themeColor="text1"/>
        </w:rPr>
      </w:pPr>
      <w:commentRangeStart w:id="31"/>
      <w:r>
        <w:rPr>
          <w:color w:val="000000" w:themeColor="text1"/>
        </w:rPr>
        <w:lastRenderedPageBreak/>
        <w:t xml:space="preserve">Como lo describe Wayne (2000) 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w:t>
      </w:r>
      <w:commentRangeEnd w:id="31"/>
      <w:r w:rsidR="00D25508">
        <w:rPr>
          <w:rStyle w:val="CommentReference"/>
        </w:rPr>
        <w:commentReference w:id="31"/>
      </w:r>
      <w:r>
        <w:rPr>
          <w:color w:val="000000" w:themeColor="text1"/>
        </w:rPr>
        <w:t>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49365BD7"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commentRangeStart w:id="32"/>
      <w:r w:rsidR="00D25508">
        <w:rPr>
          <w:color w:val="000000" w:themeColor="text1"/>
        </w:rPr>
        <w:t>Young Kwak y Frank A</w:t>
      </w:r>
      <w:r w:rsidRPr="00EB3782">
        <w:rPr>
          <w:color w:val="000000" w:themeColor="text1"/>
        </w:rPr>
        <w:t xml:space="preserve">nbari </w:t>
      </w:r>
      <w:commentRangeEnd w:id="32"/>
      <w:r w:rsidR="00F547C2">
        <w:rPr>
          <w:rStyle w:val="CommentReference"/>
        </w:rPr>
        <w:commentReference w:id="32"/>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32784186" w:rsidR="00EB3782" w:rsidRDefault="00EB3782" w:rsidP="00EB3782">
      <w:pPr>
        <w:jc w:val="both"/>
        <w:rPr>
          <w:color w:val="000000" w:themeColor="text1"/>
        </w:rPr>
      </w:pPr>
      <w:commentRangeStart w:id="33"/>
      <w:r>
        <w:rPr>
          <w:color w:val="000000" w:themeColor="text1"/>
        </w:rPr>
        <w:t xml:space="preserve">De manera más históricamente específica </w:t>
      </w:r>
      <w:commentRangeEnd w:id="33"/>
      <w:r w:rsidR="00F316DF">
        <w:rPr>
          <w:rStyle w:val="CommentReference"/>
        </w:rPr>
        <w:commentReference w:id="33"/>
      </w:r>
      <w:r>
        <w:rPr>
          <w:color w:val="000000" w:themeColor="text1"/>
        </w:rPr>
        <w:t xml:space="preserve">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w:t>
      </w:r>
      <w:r>
        <w:rPr>
          <w:color w:val="000000" w:themeColor="text1"/>
        </w:rPr>
        <w:lastRenderedPageBreak/>
        <w:t xml:space="preserve">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77777777" w:rsidR="00EB3782" w:rsidRPr="00EB3782" w:rsidRDefault="00EB3782" w:rsidP="00EB3782">
      <w:pPr>
        <w:jc w:val="both"/>
        <w:rPr>
          <w:color w:val="000000" w:themeColor="text1"/>
        </w:rPr>
      </w:pPr>
      <w:commentRangeStart w:id="34"/>
      <w:r>
        <w:rPr>
          <w:color w:val="000000" w:themeColor="text1"/>
        </w:rPr>
        <w:t>A pesar de la ansiedad de la industria y la falta de unicidad de parte del Departamento de Defensa de los Estados Unidos respecto a un método integral de gestión de proyectos que se pudiera reflejar en un mismo y genérico conjunto de requisitos para los contratos y así también  para la gestión interna de los proyectos lo cual facilitaría la comparación y evaluación de los mismos, se hacía presente una necesidad por lo cual se pudo llegar a una iniciativa que con la cual se pretendía cubrir algunos de estos puntos.</w:t>
      </w:r>
      <w:commentRangeEnd w:id="34"/>
      <w:r w:rsidR="00676452">
        <w:rPr>
          <w:rStyle w:val="CommentReference"/>
        </w:rPr>
        <w:commentReference w:id="34"/>
      </w:r>
      <w:r>
        <w:rPr>
          <w:color w:val="000000" w:themeColor="text1"/>
        </w:rPr>
        <w:t xml:space="preserve"> Finalmente se hace conocer una metodología con una relación más directa con la Gestión del Valor Ganado. S</w:t>
      </w:r>
      <w:r w:rsidRPr="00EB3782">
        <w:rPr>
          <w:color w:val="000000" w:themeColor="text1"/>
        </w:rPr>
        <w:t xml:space="preserve">egún Young Kwak y Frank Anbari (2011)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9516986"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w:t>
      </w:r>
      <w:commentRangeStart w:id="35"/>
      <w:r>
        <w:rPr>
          <w:color w:val="000000" w:themeColor="text1"/>
        </w:rPr>
        <w:t>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w:t>
      </w:r>
      <w:commentRangeEnd w:id="35"/>
      <w:r w:rsidR="00213959">
        <w:rPr>
          <w:rStyle w:val="CommentReference"/>
        </w:rPr>
        <w:commentReference w:id="35"/>
      </w:r>
      <w:r>
        <w:rPr>
          <w:color w:val="000000" w:themeColor="text1"/>
        </w:rPr>
        <w:t xml:space="preserve">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0346F75"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Según Young Kwak y Frank A</w:t>
      </w:r>
      <w:r w:rsidR="00EB3782" w:rsidRPr="00EB3782">
        <w:rPr>
          <w:rFonts w:ascii="Arial" w:hAnsi="Arial" w:cs="Arial"/>
          <w:color w:val="000000" w:themeColor="text1"/>
          <w:sz w:val="22"/>
          <w:szCs w:val="22"/>
          <w:lang w:val="es-ES_tradnl" w:eastAsia="es-ES"/>
        </w:rPr>
        <w:t xml:space="preserve">nbari (2011)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6" w:name="_Toc464123250"/>
      <w:r>
        <w:rPr>
          <w:rFonts w:eastAsia="Times New Roman"/>
          <w:b/>
          <w:bCs/>
          <w:lang w:val="es-ES_tradnl"/>
        </w:rPr>
        <w:t>Primeros desafíos</w:t>
      </w:r>
      <w:r w:rsidRPr="00536125">
        <w:rPr>
          <w:rFonts w:eastAsia="Times New Roman"/>
          <w:b/>
          <w:bCs/>
          <w:lang w:val="es-ES_tradnl"/>
        </w:rPr>
        <w:t>:</w:t>
      </w:r>
      <w:bookmarkEnd w:id="36"/>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2B782362" w:rsidR="00EB3782" w:rsidRDefault="00EB3782" w:rsidP="00EB3782">
      <w:pPr>
        <w:jc w:val="both"/>
        <w:rPr>
          <w:color w:val="000000" w:themeColor="text1"/>
        </w:rPr>
      </w:pPr>
      <w:r>
        <w:rPr>
          <w:color w:val="000000" w:themeColor="text1"/>
        </w:rPr>
        <w:t xml:space="preserve">Como se puede notar dadas las </w:t>
      </w:r>
      <w:commentRangeStart w:id="37"/>
      <w:r>
        <w:rPr>
          <w:color w:val="000000" w:themeColor="text1"/>
        </w:rPr>
        <w:t xml:space="preserve">diferentes </w:t>
      </w:r>
      <w:commentRangeEnd w:id="37"/>
      <w:r w:rsidR="008F4593">
        <w:rPr>
          <w:rStyle w:val="CommentReference"/>
        </w:rPr>
        <w:commentReference w:id="37"/>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77777777" w:rsidR="00EB3782" w:rsidRDefault="00EB3782" w:rsidP="00EB3782">
      <w:pPr>
        <w:jc w:val="both"/>
        <w:rPr>
          <w:color w:val="000000" w:themeColor="text1"/>
        </w:rPr>
      </w:pPr>
      <w:commentRangeStart w:id="38"/>
      <w:r>
        <w:rPr>
          <w:color w:val="000000" w:themeColor="text1"/>
        </w:rPr>
        <w:t xml:space="preserve">Según </w:t>
      </w:r>
      <w:commentRangeEnd w:id="38"/>
      <w:r w:rsidR="00941F8A">
        <w:rPr>
          <w:rStyle w:val="CommentReference"/>
        </w:rPr>
        <w:commentReference w:id="38"/>
      </w:r>
      <w:r>
        <w:rPr>
          <w:color w:val="000000" w:themeColor="text1"/>
        </w:rPr>
        <w:t>Wayne (2000) en Junio de 1970 se realizó una reunión en Andrews Air Force Base</w:t>
      </w:r>
      <w:r w:rsidRPr="00D33B6E">
        <w:rPr>
          <w:color w:val="000000" w:themeColor="text1"/>
        </w:rPr>
        <w:t xml:space="preserve"> </w:t>
      </w:r>
      <w:r>
        <w:rPr>
          <w:color w:val="000000" w:themeColor="text1"/>
        </w:rPr>
        <w:t xml:space="preserve"> donde </w:t>
      </w:r>
      <w:r w:rsidRPr="00D33B6E">
        <w:rPr>
          <w:color w:val="000000" w:themeColor="text1"/>
        </w:rPr>
        <w:t>conferenciantes</w:t>
      </w:r>
      <w:r>
        <w:rPr>
          <w:color w:val="000000" w:themeColor="text1"/>
        </w:rPr>
        <w:t xml:space="preserve"> tanto de parte de la industria como de parte del gobierno pudieron </w:t>
      </w:r>
      <w:r>
        <w:rPr>
          <w:color w:val="000000" w:themeColor="text1"/>
        </w:rPr>
        <w:lastRenderedPageBreak/>
        <w:t>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196EC7C6" w:rsidR="00EB3782" w:rsidRDefault="00EB3782" w:rsidP="00EB3782">
      <w:pPr>
        <w:jc w:val="both"/>
        <w:rPr>
          <w:color w:val="000000" w:themeColor="text1"/>
        </w:rPr>
      </w:pPr>
      <w:commentRangeStart w:id="39"/>
      <w:r>
        <w:rPr>
          <w:color w:val="000000" w:themeColor="text1"/>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combatiente Raptor F-22 de la Fuerza Aérea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Pr>
          <w:color w:val="000000" w:themeColor="text1"/>
        </w:rPr>
        <w:t>, al no tener precios establecidos en el mercado. Este tipo de entorno propició el éxito de EVM, según Wayne (2000), la manera más efectiva conocida, de integrar el alcance del trabajo, los cronogramas y recursos con el riesgo de gestión (p. 2).</w:t>
      </w:r>
      <w:commentRangeEnd w:id="39"/>
      <w:r w:rsidR="00F27F92">
        <w:rPr>
          <w:rStyle w:val="CommentReference"/>
        </w:rPr>
        <w:commentReference w:id="39"/>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40" w:name="_Toc464123251"/>
      <w:r>
        <w:rPr>
          <w:rFonts w:eastAsia="Times New Roman"/>
          <w:b/>
          <w:bCs/>
          <w:lang w:val="es-ES_tradnl"/>
        </w:rPr>
        <w:t>Evolución</w:t>
      </w:r>
      <w:r w:rsidRPr="00536125">
        <w:rPr>
          <w:rFonts w:eastAsia="Times New Roman"/>
          <w:b/>
          <w:bCs/>
          <w:lang w:val="es-ES_tradnl"/>
        </w:rPr>
        <w:t>:</w:t>
      </w:r>
      <w:bookmarkEnd w:id="4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77777777" w:rsidR="00EB3782" w:rsidRDefault="00EB3782" w:rsidP="00EB3782">
      <w:pPr>
        <w:jc w:val="both"/>
        <w:rPr>
          <w:color w:val="000000" w:themeColor="text1"/>
        </w:rPr>
      </w:pPr>
      <w:r>
        <w:rPr>
          <w:color w:val="000000" w:themeColor="text1"/>
        </w:rPr>
        <w:lastRenderedPageBreak/>
        <w:t xml:space="preserve">Así fue como la típica política con bases en supervisión afectó negativamente incluso al C/SCSC, sin embargo, según Wayne (2000) a inicios de los años 1980, </w:t>
      </w:r>
      <w:commentRangeStart w:id="41"/>
      <w:r>
        <w:rPr>
          <w:color w:val="000000" w:themeColor="text1"/>
        </w:rPr>
        <w:t xml:space="preserve">el señor Christle </w:t>
      </w:r>
      <w:commentRangeEnd w:id="41"/>
      <w:r w:rsidR="00A809A8">
        <w:rPr>
          <w:rStyle w:val="CommentReference"/>
        </w:rPr>
        <w:commentReference w:id="41"/>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42" w:name="_Toc464123252"/>
      <w:r>
        <w:rPr>
          <w:rFonts w:eastAsia="Times New Roman"/>
          <w:b/>
          <w:bCs/>
          <w:lang w:val="es-ES_tradnl"/>
        </w:rPr>
        <w:t>Políticas, legislaciones y documentaciones</w:t>
      </w:r>
      <w:r w:rsidRPr="00536125">
        <w:rPr>
          <w:rFonts w:eastAsia="Times New Roman"/>
          <w:b/>
          <w:bCs/>
          <w:lang w:val="es-ES_tradnl"/>
        </w:rPr>
        <w:t>:</w:t>
      </w:r>
      <w:bookmarkEnd w:id="42"/>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77777777"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Young Kwak y Frank Anbari (2011) mencionan que la Oficina de Gestión y Presupuesto, conocida también como OMB por sus siglas en inglés de Office of Management and Budget, requiere el uso de EVM para reportar el desempeño de proyectos federales en los Estados Unidos. </w:t>
      </w:r>
    </w:p>
    <w:p w14:paraId="3C025F42" w14:textId="2A5DCB2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Young Kwak y Frank Anbari (2011)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Young Kwak y Frank Anbari (2011)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Por otro lado respecto a guías y documentaciones, Young Kwak y Frank Anbari (2011)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43" w:name="_Toc464123253"/>
      <w:r>
        <w:rPr>
          <w:rFonts w:eastAsia="Times New Roman"/>
          <w:b/>
          <w:bCs/>
          <w:lang w:val="es-ES_tradnl"/>
        </w:rPr>
        <w:t>Inserción en la industria y adopción</w:t>
      </w:r>
      <w:r w:rsidRPr="00536125">
        <w:rPr>
          <w:rFonts w:eastAsia="Times New Roman"/>
          <w:b/>
          <w:bCs/>
          <w:lang w:val="es-ES_tradnl"/>
        </w:rPr>
        <w:t>:</w:t>
      </w:r>
      <w:bookmarkEnd w:id="43"/>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1289D0A8"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el </w:t>
      </w:r>
      <w:commentRangeStart w:id="44"/>
      <w:r>
        <w:rPr>
          <w:color w:val="000000" w:themeColor="text1"/>
        </w:rPr>
        <w:t xml:space="preserve">cancelamiento </w:t>
      </w:r>
      <w:commentRangeEnd w:id="44"/>
      <w:r w:rsidR="000A28BD">
        <w:rPr>
          <w:rStyle w:val="CommentReference"/>
        </w:rPr>
        <w:commentReference w:id="44"/>
      </w:r>
      <w:r>
        <w:rPr>
          <w:color w:val="000000" w:themeColor="text1"/>
        </w:rPr>
        <w:t>del mismo fue considerado seriamente y tanto la carrera como la reputación de civiles y militantes fue dañada 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1284E0F2" w:rsidR="00EB3782" w:rsidRPr="00EB3782" w:rsidRDefault="002A0C82"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Young Kwak y Frank A</w:t>
      </w:r>
      <w:r w:rsidR="00EB3782" w:rsidRPr="00EB3782">
        <w:rPr>
          <w:rFonts w:ascii="Arial" w:hAnsi="Arial" w:cs="Arial"/>
          <w:color w:val="000000" w:themeColor="text1"/>
          <w:sz w:val="22"/>
          <w:szCs w:val="22"/>
          <w:lang w:val="es-ES_tradnl" w:eastAsia="es-ES"/>
        </w:rPr>
        <w:t>nbari (2011)  mencionan que en Estados Unidos, el gobierno federal decidió descartar C/SCSC a finales de 1996, en un intento de promover el amplio uso de EVM, proponiendo como alternativa sistemas de EVM (EVMS) más flexibles (p. 3).</w:t>
      </w:r>
    </w:p>
    <w:p w14:paraId="60EF88CA"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Kwak y Frank Anbari (2011)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w:t>
      </w:r>
      <w:r w:rsidRPr="00EB3782">
        <w:rPr>
          <w:rFonts w:ascii="Arial" w:hAnsi="Arial" w:cs="Arial"/>
          <w:color w:val="000000" w:themeColor="text1"/>
          <w:sz w:val="22"/>
          <w:szCs w:val="22"/>
          <w:lang w:val="es-ES_tradnl" w:eastAsia="es-ES"/>
        </w:rPr>
        <w:lastRenderedPageBreak/>
        <w:t xml:space="preserve">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64D114BF"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Según Young Kwak y Frank A</w:t>
      </w:r>
      <w:r w:rsidR="00EB3782" w:rsidRPr="00EB3782">
        <w:rPr>
          <w:rFonts w:ascii="Arial" w:hAnsi="Arial" w:cs="Arial"/>
          <w:color w:val="000000" w:themeColor="text1"/>
          <w:sz w:val="22"/>
          <w:szCs w:val="22"/>
          <w:lang w:val="es-ES_tradnl" w:eastAsia="es-ES"/>
        </w:rPr>
        <w:t>nbari (2011)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Young Kwak y Frank Anbari (2011)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lastRenderedPageBreak/>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 xml:space="preserve">Seguido a una exhaustiva búsqueda mundial por las mejores prácticas, oficiales del Ministerio de Construcción de los Estados Unidos en febrero de </w:t>
      </w:r>
      <w:commentRangeStart w:id="45"/>
      <w:r>
        <w:rPr>
          <w:color w:val="000000" w:themeColor="text1"/>
        </w:rPr>
        <w:t>1999</w:t>
      </w:r>
      <w:commentRangeEnd w:id="45"/>
      <w:r w:rsidRPr="00EB3782">
        <w:rPr>
          <w:color w:val="000000" w:themeColor="text1"/>
        </w:rPr>
        <w:commentReference w:id="45"/>
      </w:r>
      <w:r>
        <w:rPr>
          <w:color w:val="000000" w:themeColor="text1"/>
        </w:rPr>
        <w:t>,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Young Kwak y Frank anbari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43B1CC97"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commentRangeStart w:id="46"/>
      <w:r w:rsidRPr="00EB3782">
        <w:rPr>
          <w:rFonts w:ascii="Arial" w:hAnsi="Arial" w:cs="Arial"/>
          <w:color w:val="000000" w:themeColor="text1"/>
          <w:sz w:val="22"/>
          <w:szCs w:val="22"/>
          <w:lang w:val="es-ES_tradnl" w:eastAsia="es-ES"/>
        </w:rPr>
        <w:t xml:space="preserve">Young H. Kwak y Frank T. Anbari </w:t>
      </w:r>
      <w:commentRangeEnd w:id="46"/>
      <w:r w:rsidR="001F180A">
        <w:rPr>
          <w:rStyle w:val="CommentReference"/>
          <w:rFonts w:ascii="Arial" w:hAnsi="Arial" w:cs="Arial"/>
          <w:color w:val="000000"/>
          <w:lang w:val="es-ES_tradnl" w:eastAsia="es-ES"/>
        </w:rPr>
        <w:commentReference w:id="46"/>
      </w:r>
      <w:r w:rsidRPr="00EB3782">
        <w:rPr>
          <w:rFonts w:ascii="Arial" w:hAnsi="Arial" w:cs="Arial"/>
          <w:color w:val="000000" w:themeColor="text1"/>
          <w:sz w:val="22"/>
          <w:szCs w:val="22"/>
          <w:lang w:val="es-ES_tradnl" w:eastAsia="es-ES"/>
        </w:rPr>
        <w:t>(2011) hoy en día es obligatorio en muchos de programas y proyectos del gobierno de los Estados Unidos (p. 2).</w:t>
      </w:r>
    </w:p>
    <w:p w14:paraId="1702A708"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commentRangeStart w:id="47"/>
      <w:r w:rsidRPr="00EB3782">
        <w:rPr>
          <w:rFonts w:ascii="Arial" w:hAnsi="Arial" w:cs="Arial"/>
          <w:color w:val="000000" w:themeColor="text1"/>
          <w:sz w:val="22"/>
          <w:szCs w:val="22"/>
          <w:lang w:val="es-ES_tradnl" w:eastAsia="es-ES"/>
        </w:rPr>
        <w:t>Dado su énfasis en la medición del rendimiento en el gobierno (de los Estados Unidos) se incrementa, apoyado por imposiciones obligatorias de parte de leyes gubernamentales e incluso de la presión del público</w:t>
      </w:r>
      <w:commentRangeEnd w:id="47"/>
      <w:r w:rsidR="005714C3">
        <w:rPr>
          <w:rStyle w:val="CommentReference"/>
          <w:rFonts w:ascii="Arial" w:hAnsi="Arial" w:cs="Arial"/>
          <w:color w:val="000000"/>
          <w:lang w:val="es-ES_tradnl" w:eastAsia="es-ES"/>
        </w:rPr>
        <w:commentReference w:id="47"/>
      </w:r>
      <w:r w:rsidRPr="00EB3782">
        <w:rPr>
          <w:rFonts w:ascii="Arial" w:hAnsi="Arial" w:cs="Arial"/>
          <w:color w:val="000000" w:themeColor="text1"/>
          <w:sz w:val="22"/>
          <w:szCs w:val="22"/>
          <w:lang w:val="es-ES_tradnl" w:eastAsia="es-ES"/>
        </w:rPr>
        <w:t xml:space="preserve">. </w:t>
      </w:r>
    </w:p>
    <w:p w14:paraId="5BCEA024"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Kwak y Frank Anbari (2011) mencionan que existen ejemplos de visible fallas en grandes proyectos o programas públicos. En Estados Unidos, en el año 2008 se reportó que de 840 grandes e importantes proyectos gubernamentales relacionados a las tecnologías de la información, más de 300 han sido reportados como mal planificados, algunos incluso al punto de ser evaluados como inaceptables (p. 2). </w:t>
      </w:r>
    </w:p>
    <w:p w14:paraId="20E274CC"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Young Kwak y Frank Anbari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2AA78948" w14:textId="77777777" w:rsidR="00EB3782" w:rsidRPr="006D56AC" w:rsidRDefault="00EB3782" w:rsidP="00EB3782">
      <w:pPr>
        <w:jc w:val="both"/>
        <w:rPr>
          <w:rFonts w:ascii="MSTT31c6cb" w:hAnsi="MSTT31c6cb"/>
          <w:sz w:val="20"/>
          <w:szCs w:val="20"/>
        </w:rPr>
      </w:pPr>
    </w:p>
    <w:p w14:paraId="79F61136" w14:textId="77777777" w:rsidR="00232D4F" w:rsidRDefault="00232D4F" w:rsidP="00232D4F">
      <w:pPr>
        <w:rPr>
          <w:color w:val="000000" w:themeColor="text1"/>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49" w:name="_Toc464123254"/>
      <w:r>
        <w:rPr>
          <w:rFonts w:eastAsia="Times New Roman"/>
          <w:b/>
          <w:bCs/>
          <w:color w:val="000000" w:themeColor="text1"/>
          <w:lang w:val="es-ES_tradnl"/>
        </w:rPr>
        <w:t>Herramientas de Gestión de Proyectos y Tareas</w:t>
      </w:r>
      <w:bookmarkEnd w:id="49"/>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232D4F">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232D4F">
      <w:pPr>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232D4F">
      <w:pPr>
        <w:pStyle w:val="Normal1"/>
        <w:jc w:val="both"/>
        <w:rPr>
          <w:color w:val="000000" w:themeColor="text1"/>
          <w:sz w:val="24"/>
          <w:szCs w:val="24"/>
          <w:lang w:val="es-ES_tradnl"/>
        </w:rPr>
      </w:pPr>
    </w:p>
    <w:p w14:paraId="10DD2AEB" w14:textId="77777777" w:rsidR="00232D4F" w:rsidRPr="00536125" w:rsidRDefault="00232D4F" w:rsidP="00232D4F">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50"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50"/>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51" w:name="_Toc464123256"/>
      <w:r w:rsidRPr="00536125">
        <w:rPr>
          <w:rFonts w:eastAsia="Times New Roman"/>
          <w:b/>
          <w:bCs/>
          <w:color w:val="000000" w:themeColor="text1"/>
          <w:lang w:val="es-ES_tradnl"/>
        </w:rPr>
        <w:t>Herramientas</w:t>
      </w:r>
      <w:bookmarkEnd w:id="51"/>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52" w:name="_Toc464123257"/>
      <w:r w:rsidRPr="00536125">
        <w:rPr>
          <w:rFonts w:eastAsia="Times New Roman"/>
          <w:b/>
          <w:bCs/>
          <w:color w:val="000000" w:themeColor="text1"/>
          <w:lang w:val="es-ES_tradnl"/>
        </w:rPr>
        <w:t>Planeamiento de Sprints</w:t>
      </w:r>
      <w:bookmarkEnd w:id="52"/>
    </w:p>
    <w:p w14:paraId="5FB02616" w14:textId="77777777" w:rsidR="0092328F" w:rsidRPr="00536125" w:rsidRDefault="0092328F" w:rsidP="0092328F">
      <w:pPr>
        <w:pStyle w:val="Heading3"/>
        <w:jc w:val="both"/>
        <w:rPr>
          <w:rFonts w:eastAsia="Times New Roman"/>
          <w:lang w:val="es-ES_tradnl"/>
        </w:rPr>
      </w:pPr>
      <w:bookmarkStart w:id="53" w:name="_Toc464123258"/>
      <w:r w:rsidRPr="00536125">
        <w:rPr>
          <w:rFonts w:eastAsia="Times New Roman"/>
          <w:b/>
          <w:bCs/>
          <w:lang w:val="es-ES_tradnl"/>
        </w:rPr>
        <w:t>Sprint #1</w:t>
      </w:r>
      <w:bookmarkEnd w:id="53"/>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54" w:name="_Toc464123259"/>
      <w:r w:rsidRPr="00536125">
        <w:rPr>
          <w:rFonts w:eastAsia="Times New Roman"/>
          <w:b/>
          <w:bCs/>
          <w:lang w:val="es-ES_tradnl"/>
        </w:rPr>
        <w:t>Sprint #2</w:t>
      </w:r>
      <w:bookmarkEnd w:id="54"/>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55" w:name="_Toc464123260"/>
      <w:r w:rsidRPr="00536125">
        <w:rPr>
          <w:rFonts w:eastAsia="Times New Roman"/>
          <w:b/>
          <w:bCs/>
          <w:lang w:val="es-ES_tradnl"/>
        </w:rPr>
        <w:t>Sprint #3</w:t>
      </w:r>
      <w:bookmarkEnd w:id="55"/>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56" w:name="_Toc464123261"/>
      <w:r w:rsidRPr="00536125">
        <w:rPr>
          <w:rFonts w:eastAsia="Times New Roman"/>
          <w:b/>
          <w:bCs/>
          <w:lang w:val="es-ES_tradnl"/>
        </w:rPr>
        <w:t>Sprint #</w:t>
      </w:r>
      <w:r w:rsidR="000C796C" w:rsidRPr="00536125">
        <w:rPr>
          <w:rFonts w:eastAsia="Times New Roman"/>
          <w:b/>
          <w:bCs/>
          <w:lang w:val="es-ES_tradnl"/>
        </w:rPr>
        <w:t>4</w:t>
      </w:r>
      <w:bookmarkEnd w:id="56"/>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57" w:name="_Toc464123262"/>
      <w:r w:rsidRPr="00536125">
        <w:rPr>
          <w:rFonts w:eastAsia="Times New Roman"/>
          <w:b/>
          <w:bCs/>
          <w:lang w:val="es-ES_tradnl"/>
        </w:rPr>
        <w:t>Sprint #5</w:t>
      </w:r>
      <w:bookmarkEnd w:id="57"/>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58" w:name="_Toc464123263"/>
      <w:r w:rsidRPr="00536125">
        <w:rPr>
          <w:rFonts w:eastAsia="Times New Roman"/>
          <w:b/>
          <w:bCs/>
          <w:lang w:val="es-ES_tradnl"/>
        </w:rPr>
        <w:t>Sprint #6</w:t>
      </w:r>
      <w:bookmarkEnd w:id="58"/>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9" w:name="_Toc464123264"/>
      <w:r w:rsidRPr="00536125">
        <w:rPr>
          <w:rFonts w:eastAsia="Times New Roman"/>
          <w:b/>
          <w:bCs/>
          <w:lang w:val="es-ES_tradnl"/>
        </w:rPr>
        <w:t>Sprint #</w:t>
      </w:r>
      <w:r w:rsidR="008C43EA" w:rsidRPr="00536125">
        <w:rPr>
          <w:rFonts w:eastAsia="Times New Roman"/>
          <w:b/>
          <w:bCs/>
          <w:lang w:val="es-ES_tradnl"/>
        </w:rPr>
        <w:t>7</w:t>
      </w:r>
      <w:bookmarkEnd w:id="59"/>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60" w:name="_Toc464123265"/>
      <w:r w:rsidRPr="00536125">
        <w:rPr>
          <w:rFonts w:eastAsia="Times New Roman"/>
          <w:b/>
          <w:bCs/>
          <w:lang w:val="es-ES_tradnl"/>
        </w:rPr>
        <w:t>Sprint #</w:t>
      </w:r>
      <w:r w:rsidR="008C43EA" w:rsidRPr="00536125">
        <w:rPr>
          <w:rFonts w:eastAsia="Times New Roman"/>
          <w:b/>
          <w:bCs/>
          <w:lang w:val="es-ES_tradnl"/>
        </w:rPr>
        <w:t>8</w:t>
      </w:r>
      <w:bookmarkEnd w:id="60"/>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61" w:name="_Toc464123266"/>
      <w:r w:rsidRPr="00536125">
        <w:rPr>
          <w:rFonts w:eastAsia="Times New Roman"/>
          <w:b/>
          <w:bCs/>
          <w:lang w:val="es-ES_tradnl"/>
        </w:rPr>
        <w:t>Sprint #9</w:t>
      </w:r>
      <w:bookmarkEnd w:id="61"/>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62"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62"/>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63"/>
      <w:r>
        <w:rPr>
          <w:rFonts w:ascii="Arial" w:hAnsi="Arial" w:cs="Arial"/>
          <w:color w:val="000000"/>
          <w:lang w:val="es-ES_tradnl"/>
        </w:rPr>
        <w:t xml:space="preserve">Adición </w:t>
      </w:r>
      <w:commentRangeEnd w:id="63"/>
      <w:r>
        <w:rPr>
          <w:rStyle w:val="CommentReference"/>
          <w:rFonts w:ascii="Arial" w:hAnsi="Arial" w:cs="Arial"/>
          <w:color w:val="000000"/>
          <w:lang w:val="es-ES_tradnl" w:eastAsia="es-ES"/>
        </w:rPr>
        <w:commentReference w:id="63"/>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64"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64"/>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65" w:name="_Toc464123269"/>
      <w:r w:rsidRPr="00536125">
        <w:rPr>
          <w:rFonts w:eastAsia="Times New Roman"/>
          <w:b/>
          <w:bCs/>
          <w:lang w:val="es-ES_tradnl"/>
        </w:rPr>
        <w:lastRenderedPageBreak/>
        <w:t>Sprint #1</w:t>
      </w:r>
      <w:r w:rsidR="00844917">
        <w:rPr>
          <w:rFonts w:eastAsia="Times New Roman"/>
          <w:b/>
          <w:bCs/>
          <w:lang w:val="es-ES_tradnl"/>
        </w:rPr>
        <w:t>2</w:t>
      </w:r>
      <w:bookmarkEnd w:id="65"/>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66"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66"/>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Mejoras en las configuraciones por defecto (separación de seeds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67" w:name="_Toc464123271"/>
      <w:r w:rsidRPr="00536125">
        <w:rPr>
          <w:rFonts w:eastAsia="Times New Roman"/>
          <w:b/>
          <w:bCs/>
          <w:lang w:val="es-ES_tradnl"/>
        </w:rPr>
        <w:lastRenderedPageBreak/>
        <w:t>Datos iniciales</w:t>
      </w:r>
      <w:bookmarkEnd w:id="67"/>
    </w:p>
    <w:p w14:paraId="7F3BF696" w14:textId="77777777" w:rsidR="00AE061E" w:rsidRPr="00536125" w:rsidRDefault="00AE061E" w:rsidP="00AE061E">
      <w:pPr>
        <w:pStyle w:val="Heading2"/>
        <w:jc w:val="center"/>
        <w:rPr>
          <w:rFonts w:eastAsia="Times New Roman"/>
          <w:lang w:val="es-ES_tradnl"/>
        </w:rPr>
      </w:pPr>
      <w:bookmarkStart w:id="68" w:name="_Toc464123272"/>
      <w:r w:rsidRPr="00536125">
        <w:rPr>
          <w:rFonts w:eastAsia="Times New Roman"/>
          <w:b/>
          <w:bCs/>
          <w:lang w:val="es-ES_tradnl"/>
        </w:rPr>
        <w:t>Roles iniciales</w:t>
      </w:r>
      <w:bookmarkEnd w:id="68"/>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9" w:name="_Toc464123273"/>
      <w:r w:rsidRPr="00536125">
        <w:rPr>
          <w:rFonts w:eastAsia="Times New Roman"/>
          <w:b/>
          <w:bCs/>
          <w:lang w:val="es-ES_tradnl"/>
        </w:rPr>
        <w:t>Director de proyecto:</w:t>
      </w:r>
      <w:bookmarkEnd w:id="69"/>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0" w:name="_Toc464123274"/>
      <w:r w:rsidRPr="00536125">
        <w:rPr>
          <w:rFonts w:eastAsia="Times New Roman"/>
          <w:b/>
          <w:bCs/>
          <w:lang w:val="es-ES_tradnl"/>
        </w:rPr>
        <w:lastRenderedPageBreak/>
        <w:t>Interesado</w:t>
      </w:r>
      <w:bookmarkEnd w:id="70"/>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71" w:name="_Toc464123275"/>
      <w:r w:rsidRPr="00536125">
        <w:rPr>
          <w:rFonts w:eastAsia="Times New Roman"/>
          <w:b/>
          <w:bCs/>
          <w:lang w:val="es-ES_tradnl"/>
        </w:rPr>
        <w:t>Gestor de recursos humanos (RRHH)</w:t>
      </w:r>
      <w:bookmarkEnd w:id="71"/>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2" w:name="_Toc464123276"/>
      <w:r w:rsidRPr="00536125">
        <w:rPr>
          <w:rFonts w:eastAsia="Times New Roman"/>
          <w:b/>
          <w:bCs/>
          <w:lang w:val="es-ES_tradnl"/>
        </w:rPr>
        <w:t>Supervisor</w:t>
      </w:r>
      <w:bookmarkEnd w:id="72"/>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3" w:name="_Toc464123277"/>
      <w:r w:rsidRPr="00536125">
        <w:rPr>
          <w:rFonts w:eastAsia="Times New Roman"/>
          <w:b/>
          <w:bCs/>
          <w:lang w:val="es-ES_tradnl"/>
        </w:rPr>
        <w:t>Realizador</w:t>
      </w:r>
      <w:bookmarkEnd w:id="73"/>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74" w:name="_Toc464123278"/>
      <w:r>
        <w:rPr>
          <w:rFonts w:eastAsia="Times New Roman"/>
          <w:b/>
          <w:bCs/>
          <w:lang w:val="es-ES_tradnl"/>
        </w:rPr>
        <w:t>Administrador</w:t>
      </w:r>
      <w:bookmarkEnd w:id="74"/>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75" w:name="_Toc464123279"/>
      <w:r w:rsidRPr="00536125">
        <w:rPr>
          <w:rFonts w:eastAsia="Times New Roman"/>
          <w:b/>
          <w:bCs/>
          <w:lang w:val="es-ES_tradnl"/>
        </w:rPr>
        <w:t>Organización de la estructura de desglose del trabajo (EDT) inicial</w:t>
      </w:r>
      <w:bookmarkEnd w:id="75"/>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76" w:name="_Toc464123280"/>
      <w:r w:rsidRPr="00536125">
        <w:rPr>
          <w:rFonts w:eastAsia="Times New Roman"/>
          <w:b/>
          <w:bCs/>
          <w:lang w:val="es-ES_tradnl"/>
        </w:rPr>
        <w:t>Hitos</w:t>
      </w:r>
      <w:bookmarkEnd w:id="76"/>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77" w:name="_Toc464123281"/>
      <w:r w:rsidRPr="00536125">
        <w:rPr>
          <w:rFonts w:eastAsia="Times New Roman"/>
          <w:b/>
          <w:bCs/>
          <w:lang w:val="es-ES_tradnl"/>
        </w:rPr>
        <w:t>Tareas</w:t>
      </w:r>
      <w:bookmarkEnd w:id="77"/>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78" w:name="_Toc464123282"/>
      <w:r w:rsidRPr="00536125">
        <w:rPr>
          <w:rFonts w:eastAsia="Times New Roman"/>
          <w:b/>
          <w:bCs/>
          <w:lang w:val="es-ES_tradnl"/>
        </w:rPr>
        <w:t>Estados iniciales</w:t>
      </w:r>
      <w:bookmarkEnd w:id="78"/>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9" w:name="_Toc464123283"/>
      <w:r w:rsidRPr="00536125">
        <w:rPr>
          <w:rFonts w:eastAsia="Times New Roman"/>
          <w:b/>
          <w:bCs/>
          <w:lang w:val="es-ES_tradnl"/>
        </w:rPr>
        <w:t>Nueva</w:t>
      </w:r>
      <w:bookmarkEnd w:id="79"/>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80" w:name="_Toc464123284"/>
      <w:r w:rsidRPr="00536125">
        <w:rPr>
          <w:rFonts w:eastAsia="Times New Roman"/>
          <w:b/>
          <w:bCs/>
          <w:lang w:val="es-ES_tradnl"/>
        </w:rPr>
        <w:t>En progreso</w:t>
      </w:r>
      <w:bookmarkEnd w:id="80"/>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81" w:name="_Toc464123285"/>
      <w:r w:rsidRPr="00536125">
        <w:rPr>
          <w:rFonts w:eastAsia="Times New Roman"/>
          <w:b/>
          <w:bCs/>
          <w:lang w:val="es-ES_tradnl"/>
        </w:rPr>
        <w:t>En evaluación</w:t>
      </w:r>
      <w:bookmarkEnd w:id="81"/>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82" w:name="_Toc464123286"/>
      <w:r w:rsidRPr="00536125">
        <w:rPr>
          <w:rFonts w:eastAsia="Times New Roman"/>
          <w:b/>
          <w:bCs/>
          <w:lang w:val="es-ES_tradnl"/>
        </w:rPr>
        <w:t>Cerrada</w:t>
      </w:r>
      <w:bookmarkEnd w:id="82"/>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83" w:name="_Toc464123287"/>
      <w:r w:rsidRPr="00536125">
        <w:rPr>
          <w:rFonts w:eastAsia="Times New Roman"/>
          <w:b/>
          <w:bCs/>
          <w:lang w:val="es-ES_tradnl"/>
        </w:rPr>
        <w:t>Rechazada</w:t>
      </w:r>
      <w:bookmarkEnd w:id="83"/>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84" w:name="_Toc464123288"/>
      <w:r w:rsidRPr="00536125">
        <w:rPr>
          <w:rFonts w:eastAsia="Times New Roman"/>
          <w:b/>
          <w:bCs/>
          <w:lang w:val="es-ES_tradnl"/>
        </w:rPr>
        <w:t>Prioridades iniciales</w:t>
      </w:r>
      <w:bookmarkEnd w:id="84"/>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85" w:name="_Toc464123289"/>
      <w:r w:rsidRPr="00536125">
        <w:rPr>
          <w:rFonts w:eastAsia="Times New Roman"/>
          <w:b/>
          <w:bCs/>
          <w:lang w:val="es-ES_tradnl"/>
        </w:rPr>
        <w:t>Tipo de actividades iniciales</w:t>
      </w:r>
      <w:bookmarkEnd w:id="85"/>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86" w:name="_Toc464123290"/>
      <w:r w:rsidRPr="00536125">
        <w:rPr>
          <w:rFonts w:eastAsia="Times New Roman"/>
          <w:b/>
          <w:bCs/>
          <w:color w:val="000000" w:themeColor="text1"/>
          <w:lang w:val="es-ES_tradnl"/>
        </w:rPr>
        <w:lastRenderedPageBreak/>
        <w:t>Gestión del Valor Ganado</w:t>
      </w:r>
      <w:bookmarkEnd w:id="86"/>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87" w:name="_Toc464123291"/>
      <w:r w:rsidRPr="00536125">
        <w:rPr>
          <w:rFonts w:eastAsia="Times New Roman"/>
          <w:b/>
          <w:bCs/>
          <w:color w:val="000000" w:themeColor="text1"/>
          <w:lang w:val="es-ES_tradnl"/>
        </w:rPr>
        <w:lastRenderedPageBreak/>
        <w:t>Valor Planificado</w:t>
      </w:r>
      <w:bookmarkEnd w:id="87"/>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8" w:name="_Toc464123292"/>
      <w:r w:rsidRPr="00536125">
        <w:rPr>
          <w:rFonts w:eastAsia="Times New Roman"/>
          <w:b/>
          <w:bCs/>
          <w:color w:val="000000" w:themeColor="text1"/>
          <w:lang w:val="es-ES_tradnl"/>
        </w:rPr>
        <w:t>Valor Ganado</w:t>
      </w:r>
      <w:bookmarkEnd w:id="88"/>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9" w:name="_Toc464123293"/>
      <w:r w:rsidRPr="00536125">
        <w:rPr>
          <w:rFonts w:eastAsia="Times New Roman"/>
          <w:b/>
          <w:bCs/>
          <w:color w:val="000000" w:themeColor="text1"/>
          <w:lang w:val="es-ES_tradnl"/>
        </w:rPr>
        <w:lastRenderedPageBreak/>
        <w:t>Costo Real</w:t>
      </w:r>
      <w:bookmarkEnd w:id="89"/>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90" w:name="_Toc464123294"/>
      <w:r w:rsidRPr="00536125">
        <w:rPr>
          <w:rFonts w:eastAsia="Times New Roman"/>
          <w:b/>
          <w:bCs/>
          <w:color w:val="000000" w:themeColor="text1"/>
          <w:lang w:val="es-ES_tradnl"/>
        </w:rPr>
        <w:t>Técnicas de medición del Valor Ganado</w:t>
      </w:r>
      <w:bookmarkEnd w:id="90"/>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91" w:name="_Toc464123295"/>
      <w:r w:rsidRPr="00536125">
        <w:rPr>
          <w:rFonts w:eastAsia="Times New Roman"/>
          <w:b/>
          <w:bCs/>
          <w:color w:val="000000" w:themeColor="text1"/>
          <w:lang w:val="es-ES_tradnl"/>
        </w:rPr>
        <w:t>Fórmula fija</w:t>
      </w:r>
      <w:bookmarkEnd w:id="91"/>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92" w:name="_Toc464123296"/>
      <w:r w:rsidRPr="00536125">
        <w:rPr>
          <w:rFonts w:eastAsia="Times New Roman"/>
          <w:b/>
          <w:bCs/>
          <w:color w:val="000000" w:themeColor="text1"/>
          <w:lang w:val="es-ES_tradnl"/>
        </w:rPr>
        <w:t>Hito ponderado</w:t>
      </w:r>
      <w:bookmarkEnd w:id="92"/>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93" w:name="_Toc464123297"/>
      <w:r w:rsidRPr="00536125">
        <w:rPr>
          <w:rFonts w:eastAsia="Times New Roman"/>
          <w:b/>
          <w:bCs/>
          <w:color w:val="000000" w:themeColor="text1"/>
          <w:lang w:val="es-ES_tradnl"/>
        </w:rPr>
        <w:lastRenderedPageBreak/>
        <w:t>Porcentaje completo</w:t>
      </w:r>
      <w:bookmarkEnd w:id="93"/>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94" w:name="_Toc464123298"/>
      <w:r w:rsidRPr="00536125">
        <w:rPr>
          <w:rFonts w:eastAsia="Times New Roman"/>
          <w:b/>
          <w:bCs/>
          <w:color w:val="000000" w:themeColor="text1"/>
          <w:lang w:val="es-ES_tradnl"/>
        </w:rPr>
        <w:t>Esfuerzo prorrateado</w:t>
      </w:r>
      <w:bookmarkEnd w:id="94"/>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95" w:name="_Toc464123299"/>
      <w:r w:rsidRPr="00536125">
        <w:rPr>
          <w:rFonts w:eastAsia="Times New Roman"/>
          <w:b/>
          <w:bCs/>
          <w:color w:val="000000" w:themeColor="text1"/>
          <w:lang w:val="es-ES_tradnl"/>
        </w:rPr>
        <w:t>Nivel de esfuerzo</w:t>
      </w:r>
      <w:bookmarkEnd w:id="95"/>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96" w:name="_Toc464123300"/>
      <w:r w:rsidRPr="00536125">
        <w:rPr>
          <w:rFonts w:eastAsia="Times New Roman"/>
          <w:b/>
          <w:bCs/>
          <w:color w:val="000000" w:themeColor="text1"/>
          <w:lang w:val="es-ES_tradnl"/>
        </w:rPr>
        <w:lastRenderedPageBreak/>
        <w:t>Relación entre los elementos fundamentales del Valor Ganado</w:t>
      </w:r>
      <w:bookmarkEnd w:id="96"/>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97" w:name="_Toc464123301"/>
      <w:r w:rsidRPr="00536125">
        <w:rPr>
          <w:rFonts w:eastAsia="Times New Roman"/>
          <w:b/>
          <w:bCs/>
          <w:color w:val="000000" w:themeColor="text1"/>
          <w:lang w:val="es-ES_tradnl"/>
        </w:rPr>
        <w:t>Variaciones, índices y proyecciones</w:t>
      </w:r>
      <w:bookmarkEnd w:id="97"/>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8" w:name="_Toc464123302"/>
      <w:r w:rsidRPr="00536125">
        <w:rPr>
          <w:rFonts w:eastAsia="Times New Roman"/>
          <w:b/>
          <w:bCs/>
          <w:color w:val="000000" w:themeColor="text1"/>
          <w:lang w:val="es-ES_tradnl"/>
        </w:rPr>
        <w:t>Variaciones</w:t>
      </w:r>
      <w:bookmarkEnd w:id="98"/>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9" w:name="_Toc464123303"/>
      <w:r w:rsidRPr="00536125">
        <w:rPr>
          <w:rFonts w:eastAsia="Times New Roman"/>
          <w:b/>
          <w:bCs/>
          <w:color w:val="000000" w:themeColor="text1"/>
          <w:lang w:val="es-ES_tradnl"/>
        </w:rPr>
        <w:t>Índices</w:t>
      </w:r>
      <w:bookmarkEnd w:id="99"/>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100" w:name="_Toc464123304"/>
      <w:r w:rsidRPr="00536125">
        <w:rPr>
          <w:rFonts w:eastAsia="Times New Roman"/>
          <w:b/>
          <w:bCs/>
          <w:color w:val="000000" w:themeColor="text1"/>
          <w:lang w:val="es-ES_tradnl"/>
        </w:rPr>
        <w:t>Proyecciones</w:t>
      </w:r>
      <w:bookmarkEnd w:id="100"/>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101" w:name="_Toc464123305"/>
      <w:r w:rsidRPr="00536125">
        <w:rPr>
          <w:rFonts w:eastAsia="Times New Roman"/>
          <w:b/>
          <w:bCs/>
          <w:color w:val="000000" w:themeColor="text1"/>
          <w:lang w:val="es-ES_tradnl"/>
        </w:rPr>
        <w:t>Índice de desempeño del trabajo por completar</w:t>
      </w:r>
      <w:bookmarkEnd w:id="101"/>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2" w:name="_Toc464123306"/>
      <w:r w:rsidRPr="00536125">
        <w:rPr>
          <w:rFonts w:eastAsia="Times New Roman"/>
          <w:b/>
          <w:bCs/>
          <w:lang w:val="es-ES_tradnl"/>
        </w:rPr>
        <w:lastRenderedPageBreak/>
        <w:t>Recopilación de datos para EVM</w:t>
      </w:r>
      <w:bookmarkEnd w:id="102"/>
    </w:p>
    <w:p w14:paraId="64D3D8A3" w14:textId="5AAF17E8" w:rsidR="00982698" w:rsidRPr="00536125" w:rsidRDefault="00982698" w:rsidP="00982698">
      <w:pPr>
        <w:pStyle w:val="Heading2"/>
        <w:jc w:val="center"/>
        <w:rPr>
          <w:rFonts w:eastAsia="Times New Roman"/>
          <w:lang w:val="es-ES_tradnl"/>
        </w:rPr>
      </w:pPr>
      <w:bookmarkStart w:id="103" w:name="_Toc464123307"/>
      <w:r w:rsidRPr="00536125">
        <w:rPr>
          <w:rFonts w:eastAsia="Times New Roman"/>
          <w:b/>
          <w:bCs/>
          <w:lang w:val="es-ES_tradnl"/>
        </w:rPr>
        <w:t>Gestión de tareas</w:t>
      </w:r>
      <w:bookmarkEnd w:id="103"/>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4"/>
      <w:r w:rsidR="00861D32" w:rsidRPr="00536125">
        <w:rPr>
          <w:rFonts w:ascii="Arial" w:hAnsi="Arial" w:cs="Arial"/>
          <w:color w:val="000000"/>
          <w:lang w:val="es-ES_tradnl"/>
        </w:rPr>
        <w:t xml:space="preserve">eliminar </w:t>
      </w:r>
      <w:commentRangeEnd w:id="104"/>
      <w:r w:rsidR="003654AC">
        <w:rPr>
          <w:rStyle w:val="CommentReference"/>
          <w:rFonts w:ascii="Arial" w:hAnsi="Arial" w:cs="Arial"/>
          <w:color w:val="000000"/>
          <w:lang w:val="es-ES_tradnl" w:eastAsia="es-ES"/>
        </w:rPr>
        <w:commentReference w:id="104"/>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5" w:name="_Toc464123308"/>
      <w:r w:rsidRPr="00536125">
        <w:rPr>
          <w:rStyle w:val="CommentReference"/>
          <w:color w:val="000000"/>
          <w:lang w:val="es-ES_tradnl"/>
        </w:rPr>
        <w:commentReference w:id="106"/>
      </w:r>
      <w:r w:rsidRPr="00536125">
        <w:rPr>
          <w:rFonts w:eastAsia="Times New Roman"/>
          <w:b/>
          <w:bCs/>
          <w:lang w:val="es-ES_tradnl"/>
        </w:rPr>
        <w:t>Valor Planificado:</w:t>
      </w:r>
      <w:bookmarkEnd w:id="105"/>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107"/>
      <w:r w:rsidRPr="00536125">
        <w:rPr>
          <w:rFonts w:ascii="Arial" w:hAnsi="Arial" w:cs="Arial"/>
          <w:color w:val="000000"/>
          <w:lang w:val="es-ES_tradnl"/>
        </w:rPr>
        <w:t>la herramienta</w:t>
      </w:r>
      <w:commentRangeEnd w:id="107"/>
      <w:r w:rsidRPr="00536125">
        <w:rPr>
          <w:rStyle w:val="CommentReference"/>
          <w:rFonts w:ascii="Arial" w:hAnsi="Arial" w:cs="Arial"/>
          <w:color w:val="000000"/>
          <w:lang w:val="es-ES_tradnl" w:eastAsia="es-ES"/>
        </w:rPr>
        <w:commentReference w:id="107"/>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8"/>
      <w:r w:rsidR="007F73EA" w:rsidRPr="00536125">
        <w:rPr>
          <w:rFonts w:ascii="Arial" w:hAnsi="Arial" w:cs="Arial"/>
          <w:color w:val="000000"/>
          <w:lang w:val="es-ES_tradnl"/>
        </w:rPr>
        <w:t xml:space="preserve">concebir </w:t>
      </w:r>
      <w:commentRangeEnd w:id="108"/>
      <w:r w:rsidR="005234BB">
        <w:rPr>
          <w:rStyle w:val="CommentReference"/>
          <w:rFonts w:ascii="Arial" w:hAnsi="Arial" w:cs="Arial"/>
          <w:color w:val="000000"/>
          <w:lang w:val="es-ES_tradnl" w:eastAsia="es-ES"/>
        </w:rPr>
        <w:commentReference w:id="108"/>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9" w:name="_Toc464123309"/>
      <w:r w:rsidRPr="00536125">
        <w:rPr>
          <w:rFonts w:eastAsia="Times New Roman"/>
          <w:b/>
          <w:bCs/>
          <w:lang w:val="es-ES_tradnl"/>
        </w:rPr>
        <w:t>Registros y Costo Real:</w:t>
      </w:r>
      <w:bookmarkEnd w:id="109"/>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10" w:name="_Toc464123310"/>
      <w:r w:rsidRPr="00536125">
        <w:rPr>
          <w:rFonts w:eastAsia="Times New Roman"/>
          <w:b/>
          <w:bCs/>
          <w:lang w:val="es-ES_tradnl"/>
        </w:rPr>
        <w:t>Valor Ganado:</w:t>
      </w:r>
      <w:bookmarkEnd w:id="110"/>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11" w:name="_Toc464123311"/>
      <w:r>
        <w:rPr>
          <w:rFonts w:eastAsia="Times New Roman"/>
          <w:b/>
          <w:bCs/>
          <w:lang w:val="es-ES_tradnl"/>
        </w:rPr>
        <w:t>P</w:t>
      </w:r>
      <w:r w:rsidR="007746CD" w:rsidRPr="00536125">
        <w:rPr>
          <w:rFonts w:eastAsia="Times New Roman"/>
          <w:b/>
          <w:bCs/>
          <w:lang w:val="es-ES_tradnl"/>
        </w:rPr>
        <w:t>rocesamiento y almacenamiento:</w:t>
      </w:r>
      <w:bookmarkEnd w:id="111"/>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12"/>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12"/>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12"/>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AE04AA"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Microsoft Office User" w:date="2016-10-16T22:44:00Z" w:initials="MOU">
    <w:p w14:paraId="52F90EA6" w14:textId="0B166CA8" w:rsidR="00AE04AA" w:rsidRDefault="00AE04AA">
      <w:pPr>
        <w:pStyle w:val="CommentText"/>
      </w:pPr>
      <w:r>
        <w:rPr>
          <w:rStyle w:val="CommentReference"/>
        </w:rPr>
        <w:annotationRef/>
      </w:r>
      <w:r>
        <w:t>Me parece un poco irrelevante</w:t>
      </w:r>
    </w:p>
  </w:comment>
  <w:comment w:id="30" w:author="Microsoft Office User" w:date="2016-10-16T22:45:00Z" w:initials="MOU">
    <w:p w14:paraId="191CD335" w14:textId="7179D34C" w:rsidR="00AE04AA" w:rsidRDefault="00AE04AA">
      <w:pPr>
        <w:pStyle w:val="CommentText"/>
      </w:pPr>
      <w:r>
        <w:rPr>
          <w:rStyle w:val="CommentReference"/>
        </w:rPr>
        <w:annotationRef/>
      </w:r>
      <w:r>
        <w:t>Este párrafo y el anterior parecen totalmente aislados.</w:t>
      </w:r>
    </w:p>
  </w:comment>
  <w:comment w:id="31" w:author="Microsoft Office User" w:date="2016-10-16T22:46:00Z" w:initials="MOU">
    <w:p w14:paraId="640B8FA3" w14:textId="3737C556" w:rsidR="00AE04AA" w:rsidRDefault="00AE04AA">
      <w:pPr>
        <w:pStyle w:val="CommentText"/>
      </w:pPr>
      <w:r>
        <w:rPr>
          <w:rStyle w:val="CommentReference"/>
        </w:rPr>
        <w:annotationRef/>
      </w:r>
      <w:r>
        <w:t>Podría ser:</w:t>
      </w:r>
      <w:r>
        <w:br/>
      </w:r>
      <w:r>
        <w:rPr>
          <w:color w:val="000000" w:themeColor="text1"/>
        </w:rPr>
        <w:t>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Wayne (2000)</w:t>
      </w:r>
      <w:r>
        <w:rPr>
          <w:color w:val="000000" w:themeColor="text1"/>
        </w:rPr>
        <w:br/>
        <w:t>para no empezar nuevamente con el autor</w:t>
      </w:r>
    </w:p>
  </w:comment>
  <w:comment w:id="32" w:author="Microsoft Office User" w:date="2016-10-16T22:47:00Z" w:initials="MOU">
    <w:p w14:paraId="167600EC" w14:textId="6FC04FE0" w:rsidR="00AE04AA" w:rsidRDefault="00AE04AA">
      <w:pPr>
        <w:pStyle w:val="CommentText"/>
      </w:pPr>
      <w:r>
        <w:rPr>
          <w:rStyle w:val="CommentReference"/>
        </w:rPr>
        <w:annotationRef/>
      </w:r>
      <w:r>
        <w:t>Creo que se puede citar solo los apellidos ya que ams arriba ya se citaron los nombres</w:t>
      </w:r>
    </w:p>
  </w:comment>
  <w:comment w:id="33" w:author="Microsoft Office User" w:date="2016-10-16T22:48:00Z" w:initials="MOU">
    <w:p w14:paraId="0DB6A489" w14:textId="50AA3460" w:rsidR="00AE04AA" w:rsidRDefault="00AE04AA">
      <w:pPr>
        <w:pStyle w:val="CommentText"/>
      </w:pPr>
      <w:r>
        <w:rPr>
          <w:rStyle w:val="CommentReference"/>
        </w:rPr>
        <w:annotationRef/>
      </w:r>
      <w:r>
        <w:t>Esta rara la frase.. Tal vez podría ser  directamente solo Historicamente</w:t>
      </w:r>
    </w:p>
  </w:comment>
  <w:comment w:id="34" w:author="Microsoft Office User" w:date="2016-10-16T22:50:00Z" w:initials="MOU">
    <w:p w14:paraId="650AE32A" w14:textId="5A49EF72" w:rsidR="00AE04AA" w:rsidRDefault="00AE04AA">
      <w:pPr>
        <w:pStyle w:val="CommentText"/>
      </w:pPr>
      <w:r>
        <w:rPr>
          <w:rStyle w:val="CommentReference"/>
        </w:rPr>
        <w:annotationRef/>
      </w:r>
      <w:r>
        <w:t>Parece un poco repetitivo esta parte porque ya se habla mas arriba de la necesidad de un método para la gestión de proyectos</w:t>
      </w:r>
    </w:p>
  </w:comment>
  <w:comment w:id="35" w:author="Microsoft Office User" w:date="2016-10-16T22:52:00Z" w:initials="MOU">
    <w:p w14:paraId="234A297A" w14:textId="6C54D5F0" w:rsidR="00AE04AA" w:rsidRDefault="00AE04AA">
      <w:pPr>
        <w:pStyle w:val="CommentText"/>
      </w:pPr>
      <w:r>
        <w:rPr>
          <w:rStyle w:val="CommentReference"/>
        </w:rPr>
        <w:annotationRef/>
      </w:r>
      <w:r>
        <w:t>Esto de que no se ponían de acuerdo parece muy de relleno</w:t>
      </w:r>
    </w:p>
  </w:comment>
  <w:comment w:id="37" w:author="Microsoft Office User" w:date="2016-10-16T22:52:00Z" w:initials="MOU">
    <w:p w14:paraId="5D6CA9E8" w14:textId="32E3985F" w:rsidR="00AE04AA" w:rsidRDefault="00AE04AA">
      <w:pPr>
        <w:pStyle w:val="CommentText"/>
      </w:pPr>
      <w:r>
        <w:rPr>
          <w:rStyle w:val="CommentReference"/>
        </w:rPr>
        <w:annotationRef/>
      </w:r>
      <w:r>
        <w:t>Usar un sinónimo: distintas</w:t>
      </w:r>
    </w:p>
  </w:comment>
  <w:comment w:id="38" w:author="Microsoft Office User" w:date="2016-10-16T22:53:00Z" w:initials="MOU">
    <w:p w14:paraId="329FEB39" w14:textId="2067F241" w:rsidR="00AE04AA" w:rsidRDefault="00AE04AA">
      <w:pPr>
        <w:pStyle w:val="CommentText"/>
      </w:pPr>
      <w:r>
        <w:rPr>
          <w:rStyle w:val="CommentReference"/>
        </w:rPr>
        <w:annotationRef/>
      </w:r>
      <w:r>
        <w:t xml:space="preserve">Cambiar por De acuerdo a, </w:t>
      </w:r>
    </w:p>
  </w:comment>
  <w:comment w:id="39" w:author="Microsoft Office User" w:date="2016-10-16T22:54:00Z" w:initials="MOU">
    <w:p w14:paraId="6F99A961" w14:textId="324735C4" w:rsidR="00F27F92" w:rsidRDefault="00F27F92">
      <w:pPr>
        <w:pStyle w:val="CommentText"/>
      </w:pPr>
      <w:r>
        <w:rPr>
          <w:rStyle w:val="CommentReference"/>
        </w:rPr>
        <w:annotationRef/>
      </w:r>
      <w:r>
        <w:t>No estoy segura acerca del ejemplo, es un poco confuso y no aporta mucho a mi parecer</w:t>
      </w:r>
    </w:p>
  </w:comment>
  <w:comment w:id="41" w:author="Microsoft Office User" w:date="2016-10-16T22:57:00Z" w:initials="MOU">
    <w:p w14:paraId="4006FC8A" w14:textId="600C3EFC" w:rsidR="00A809A8" w:rsidRDefault="00A809A8">
      <w:pPr>
        <w:pStyle w:val="CommentText"/>
      </w:pPr>
      <w:r>
        <w:rPr>
          <w:rStyle w:val="CommentReference"/>
        </w:rPr>
        <w:annotationRef/>
      </w:r>
      <w:r>
        <w:t>Quien es?</w:t>
      </w:r>
    </w:p>
  </w:comment>
  <w:comment w:id="44" w:author="Microsoft Office User" w:date="2016-10-16T22:58:00Z" w:initials="MOU">
    <w:p w14:paraId="4C167680" w14:textId="0C658FEC" w:rsidR="000A28BD" w:rsidRDefault="000A28BD">
      <w:pPr>
        <w:pStyle w:val="CommentText"/>
      </w:pPr>
      <w:r>
        <w:rPr>
          <w:rStyle w:val="CommentReference"/>
        </w:rPr>
        <w:annotationRef/>
      </w:r>
      <w:r>
        <w:t xml:space="preserve">Creo que es la cancelación </w:t>
      </w:r>
    </w:p>
  </w:comment>
  <w:comment w:id="45" w:author="Microsoft Office User" w:date="2016-10-03T16:13:00Z" w:initials="Office">
    <w:p w14:paraId="7B05F8E2" w14:textId="77777777" w:rsidR="00AE04AA" w:rsidRDefault="00AE04AA" w:rsidP="00EB3782">
      <w:pPr>
        <w:pStyle w:val="CommentText"/>
      </w:pPr>
      <w:r>
        <w:rPr>
          <w:rStyle w:val="CommentReference"/>
        </w:rPr>
        <w:annotationRef/>
      </w:r>
      <w:r>
        <w:t>fecha</w:t>
      </w:r>
    </w:p>
  </w:comment>
  <w:comment w:id="46" w:author="Microsoft Office User" w:date="2016-10-16T22:59:00Z" w:initials="MOU">
    <w:p w14:paraId="5CFB6A43" w14:textId="55DA8AEC" w:rsidR="001F180A" w:rsidRDefault="001F180A">
      <w:pPr>
        <w:pStyle w:val="CommentText"/>
      </w:pPr>
      <w:r>
        <w:rPr>
          <w:rStyle w:val="CommentReference"/>
        </w:rPr>
        <w:annotationRef/>
      </w:r>
      <w:r>
        <w:t>porque aca se incluyen las iniciales de los segundos nombres de los autors y antes no?</w:t>
      </w:r>
    </w:p>
  </w:comment>
  <w:comment w:id="47" w:author="Microsoft Office User" w:date="2016-10-16T23:00:00Z" w:initials="MOU">
    <w:p w14:paraId="28B6341F" w14:textId="73123F71" w:rsidR="005714C3" w:rsidRDefault="005714C3">
      <w:pPr>
        <w:pStyle w:val="CommentText"/>
      </w:pPr>
      <w:r>
        <w:rPr>
          <w:rStyle w:val="CommentReference"/>
        </w:rPr>
        <w:annotationRef/>
      </w:r>
      <w:r>
        <w:t>Este párrafo esta un poco confuso, tal vez deba ser punto seguido con el anterior</w:t>
      </w:r>
      <w:bookmarkStart w:id="48" w:name="_GoBack"/>
      <w:bookmarkEnd w:id="48"/>
    </w:p>
  </w:comment>
  <w:comment w:id="63" w:author="Microsoft Office User" w:date="2016-09-11T18:09:00Z" w:initials="MOU">
    <w:p w14:paraId="14D52DB7" w14:textId="6FC0CB94" w:rsidR="00AE04AA" w:rsidRDefault="00AE04AA">
      <w:pPr>
        <w:pStyle w:val="CommentText"/>
      </w:pPr>
      <w:r>
        <w:rPr>
          <w:rStyle w:val="CommentReference"/>
        </w:rPr>
        <w:annotationRef/>
      </w:r>
      <w:r>
        <w:t>Necesito un sinonimo</w:t>
      </w:r>
    </w:p>
  </w:comment>
  <w:comment w:id="104" w:author="Microsoft Office User" w:date="2016-09-06T09:34:00Z" w:initials="MOU">
    <w:p w14:paraId="0B8343E1" w14:textId="7973838A" w:rsidR="00AE04AA" w:rsidRDefault="00AE04AA">
      <w:pPr>
        <w:pStyle w:val="CommentText"/>
      </w:pPr>
      <w:r>
        <w:rPr>
          <w:rStyle w:val="CommentReference"/>
        </w:rPr>
        <w:annotationRef/>
      </w:r>
      <w:r>
        <w:t>Definir si se podrán o no eliminar. Creo que se debería poder, gitlab creo que no permite (a modo comparativo).</w:t>
      </w:r>
    </w:p>
  </w:comment>
  <w:comment w:id="106" w:author="Microsoft Office User" w:date="2016-08-28T10:30:00Z" w:initials="Office">
    <w:p w14:paraId="1C3D9D4E" w14:textId="502B947D" w:rsidR="00AE04AA" w:rsidRDefault="00AE04AA">
      <w:pPr>
        <w:pStyle w:val="CommentText"/>
      </w:pPr>
      <w:r>
        <w:rPr>
          <w:rStyle w:val="CommentReference"/>
        </w:rPr>
        <w:annotationRef/>
      </w:r>
      <w:r>
        <w:t>Peticiones o tareas? Vamo a decidirno</w:t>
      </w:r>
    </w:p>
  </w:comment>
  <w:comment w:id="107" w:author="Microsoft Office User" w:date="2016-08-30T20:41:00Z" w:initials="Office">
    <w:p w14:paraId="27025A7A" w14:textId="218336C4" w:rsidR="00AE04AA" w:rsidRDefault="00AE04AA">
      <w:pPr>
        <w:pStyle w:val="CommentText"/>
      </w:pPr>
      <w:r>
        <w:rPr>
          <w:rStyle w:val="CommentReference"/>
        </w:rPr>
        <w:annotationRef/>
      </w:r>
      <w:r>
        <w:t>La herramienta ok</w:t>
      </w:r>
    </w:p>
  </w:comment>
  <w:comment w:id="108" w:author="Microsoft Office User" w:date="2016-09-06T09:39:00Z" w:initials="MOU">
    <w:p w14:paraId="3988940C" w14:textId="3B989AD3" w:rsidR="00AE04AA" w:rsidRDefault="00AE04AA">
      <w:pPr>
        <w:pStyle w:val="CommentText"/>
      </w:pPr>
      <w:r>
        <w:rPr>
          <w:rStyle w:val="CommentReference"/>
        </w:rPr>
        <w:annotationRef/>
      </w:r>
      <w:r>
        <w:t>Algún sinónimo? Definir, implementar, algo asi.</w:t>
      </w:r>
    </w:p>
  </w:comment>
  <w:comment w:id="112" w:author="Microsoft Office User" w:date="2016-09-04T16:26:00Z" w:initials="Office">
    <w:p w14:paraId="1A6CB773" w14:textId="77777777" w:rsidR="00AE04AA" w:rsidRDefault="00AE04AA">
      <w:pPr>
        <w:pStyle w:val="CommentText"/>
      </w:pPr>
      <w:r>
        <w:rPr>
          <w:rStyle w:val="CommentReference"/>
        </w:rPr>
        <w:annotationRef/>
      </w:r>
      <w:r>
        <w:t xml:space="preserve">Esto debería ser otro capítulo </w:t>
      </w:r>
    </w:p>
    <w:p w14:paraId="55F930A7" w14:textId="57C674AB" w:rsidR="00AE04AA" w:rsidRDefault="00AE04AA">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90EA6" w15:done="0"/>
  <w15:commentEx w15:paraId="191CD335" w15:done="0"/>
  <w15:commentEx w15:paraId="640B8FA3" w15:done="0"/>
  <w15:commentEx w15:paraId="167600EC" w15:done="0"/>
  <w15:commentEx w15:paraId="0DB6A489" w15:done="0"/>
  <w15:commentEx w15:paraId="650AE32A" w15:done="0"/>
  <w15:commentEx w15:paraId="234A297A" w15:done="0"/>
  <w15:commentEx w15:paraId="5D6CA9E8" w15:done="0"/>
  <w15:commentEx w15:paraId="329FEB39" w15:done="0"/>
  <w15:commentEx w15:paraId="6F99A961" w15:done="0"/>
  <w15:commentEx w15:paraId="4006FC8A" w15:done="0"/>
  <w15:commentEx w15:paraId="4C167680" w15:done="0"/>
  <w15:commentEx w15:paraId="7B05F8E2" w15:done="0"/>
  <w15:commentEx w15:paraId="5CFB6A43" w15:done="0"/>
  <w15:commentEx w15:paraId="28B6341F"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0F36C" w14:textId="77777777" w:rsidR="00CF723F" w:rsidRDefault="00CF723F">
      <w:pPr>
        <w:spacing w:line="240" w:lineRule="auto"/>
      </w:pPr>
      <w:r>
        <w:separator/>
      </w:r>
    </w:p>
  </w:endnote>
  <w:endnote w:type="continuationSeparator" w:id="0">
    <w:p w14:paraId="127EEB34" w14:textId="77777777" w:rsidR="00CF723F" w:rsidRDefault="00CF7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AE04AA" w:rsidRDefault="00AE04AA"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AE04AA" w:rsidRDefault="00AE04AA"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AE04AA" w:rsidRDefault="00AE04AA"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14C3">
      <w:rPr>
        <w:rStyle w:val="PageNumber"/>
        <w:noProof/>
      </w:rPr>
      <w:t>24</w:t>
    </w:r>
    <w:r>
      <w:rPr>
        <w:rStyle w:val="PageNumber"/>
      </w:rPr>
      <w:fldChar w:fldCharType="end"/>
    </w:r>
  </w:p>
  <w:p w14:paraId="6415E656" w14:textId="77777777" w:rsidR="00AE04AA" w:rsidRDefault="00AE04AA"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4539F" w14:textId="77777777" w:rsidR="00CF723F" w:rsidRDefault="00CF723F">
      <w:pPr>
        <w:spacing w:line="240" w:lineRule="auto"/>
      </w:pPr>
      <w:r>
        <w:separator/>
      </w:r>
    </w:p>
  </w:footnote>
  <w:footnote w:type="continuationSeparator" w:id="0">
    <w:p w14:paraId="4D6C6919" w14:textId="77777777" w:rsidR="00CF723F" w:rsidRDefault="00CF723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28B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180A"/>
    <w:rsid w:val="001F36E6"/>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10FA7"/>
    <w:rsid w:val="0032134E"/>
    <w:rsid w:val="003250AF"/>
    <w:rsid w:val="00331B7F"/>
    <w:rsid w:val="0033376C"/>
    <w:rsid w:val="00333ED7"/>
    <w:rsid w:val="003455CE"/>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2733A"/>
    <w:rsid w:val="005355CF"/>
    <w:rsid w:val="00536125"/>
    <w:rsid w:val="005362EF"/>
    <w:rsid w:val="00536D65"/>
    <w:rsid w:val="005408E5"/>
    <w:rsid w:val="005714C3"/>
    <w:rsid w:val="00586F4F"/>
    <w:rsid w:val="005A7EE7"/>
    <w:rsid w:val="005B6A91"/>
    <w:rsid w:val="005C1B34"/>
    <w:rsid w:val="005E5DF5"/>
    <w:rsid w:val="005F03B4"/>
    <w:rsid w:val="005F76C8"/>
    <w:rsid w:val="00600BDE"/>
    <w:rsid w:val="0060695B"/>
    <w:rsid w:val="00611ABD"/>
    <w:rsid w:val="0061465A"/>
    <w:rsid w:val="00620A70"/>
    <w:rsid w:val="00621359"/>
    <w:rsid w:val="00660AF9"/>
    <w:rsid w:val="00675281"/>
    <w:rsid w:val="00675BDA"/>
    <w:rsid w:val="00676452"/>
    <w:rsid w:val="00681E23"/>
    <w:rsid w:val="006853D9"/>
    <w:rsid w:val="00693D71"/>
    <w:rsid w:val="0069735B"/>
    <w:rsid w:val="006A375E"/>
    <w:rsid w:val="006C03CD"/>
    <w:rsid w:val="006C2544"/>
    <w:rsid w:val="006D3811"/>
    <w:rsid w:val="006E306B"/>
    <w:rsid w:val="006E47BA"/>
    <w:rsid w:val="006F3672"/>
    <w:rsid w:val="00701312"/>
    <w:rsid w:val="00701718"/>
    <w:rsid w:val="00732E34"/>
    <w:rsid w:val="0075042F"/>
    <w:rsid w:val="00753AB1"/>
    <w:rsid w:val="00754BFC"/>
    <w:rsid w:val="00772022"/>
    <w:rsid w:val="007729F8"/>
    <w:rsid w:val="007746CD"/>
    <w:rsid w:val="00794510"/>
    <w:rsid w:val="007A0169"/>
    <w:rsid w:val="007C2DED"/>
    <w:rsid w:val="007D1A02"/>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1F17"/>
    <w:rsid w:val="008B66A0"/>
    <w:rsid w:val="008C1D6B"/>
    <w:rsid w:val="008C43EA"/>
    <w:rsid w:val="008C4872"/>
    <w:rsid w:val="008D6D4B"/>
    <w:rsid w:val="008E398E"/>
    <w:rsid w:val="008F4593"/>
    <w:rsid w:val="008F4BF5"/>
    <w:rsid w:val="008F65A7"/>
    <w:rsid w:val="00900336"/>
    <w:rsid w:val="00905E92"/>
    <w:rsid w:val="0092328F"/>
    <w:rsid w:val="00925436"/>
    <w:rsid w:val="00927DB0"/>
    <w:rsid w:val="009325EA"/>
    <w:rsid w:val="00941F8A"/>
    <w:rsid w:val="00942276"/>
    <w:rsid w:val="00963111"/>
    <w:rsid w:val="00964804"/>
    <w:rsid w:val="00982698"/>
    <w:rsid w:val="0098379F"/>
    <w:rsid w:val="009A289A"/>
    <w:rsid w:val="009A31D6"/>
    <w:rsid w:val="009B50B6"/>
    <w:rsid w:val="009C02EA"/>
    <w:rsid w:val="00A108CB"/>
    <w:rsid w:val="00A14FC1"/>
    <w:rsid w:val="00A24320"/>
    <w:rsid w:val="00A2636B"/>
    <w:rsid w:val="00A27E17"/>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34D6C"/>
    <w:rsid w:val="00B64F80"/>
    <w:rsid w:val="00B66F74"/>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5508"/>
    <w:rsid w:val="00D26224"/>
    <w:rsid w:val="00D50646"/>
    <w:rsid w:val="00D61E7A"/>
    <w:rsid w:val="00D97A5E"/>
    <w:rsid w:val="00DA0A64"/>
    <w:rsid w:val="00DA2BBB"/>
    <w:rsid w:val="00DB1974"/>
    <w:rsid w:val="00DB4BFA"/>
    <w:rsid w:val="00DC47BA"/>
    <w:rsid w:val="00DD5415"/>
    <w:rsid w:val="00E15E23"/>
    <w:rsid w:val="00E55D03"/>
    <w:rsid w:val="00E76EBC"/>
    <w:rsid w:val="00E950B9"/>
    <w:rsid w:val="00E955DE"/>
    <w:rsid w:val="00E956C6"/>
    <w:rsid w:val="00EA0F52"/>
    <w:rsid w:val="00EA2CAD"/>
    <w:rsid w:val="00EA4946"/>
    <w:rsid w:val="00EB3782"/>
    <w:rsid w:val="00EC559B"/>
    <w:rsid w:val="00ED16C6"/>
    <w:rsid w:val="00EE0DC3"/>
    <w:rsid w:val="00EE169B"/>
    <w:rsid w:val="00EE6996"/>
    <w:rsid w:val="00EE7295"/>
    <w:rsid w:val="00EF0B8E"/>
    <w:rsid w:val="00F138DA"/>
    <w:rsid w:val="00F22840"/>
    <w:rsid w:val="00F27F92"/>
    <w:rsid w:val="00F316DF"/>
    <w:rsid w:val="00F472EC"/>
    <w:rsid w:val="00F547C2"/>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1DAAA-20A1-EA48-B33D-535ABBD8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66</Pages>
  <Words>24434</Words>
  <Characters>139274</Characters>
  <Application>Microsoft Macintosh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67</cp:revision>
  <dcterms:created xsi:type="dcterms:W3CDTF">2016-09-04T21:49:00Z</dcterms:created>
  <dcterms:modified xsi:type="dcterms:W3CDTF">2016-10-17T02:00:00Z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