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cuarto lugar, con alrededor de 2.500.000 de usuarios se encuentra Podio, que ofrece manejo de tareas, trabajo colaborativo, reporte de errores, archivos compartidos, manejo de costos en el tiempo, entre otras funcionalidades (Barrish,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Las herramientas Atlassian Jira, Basecamp, Podio y Trello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 se dirige el enfoque hacia las 5 herramientas de gestión de proyectos con más clientes (Barrish,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w:t>
      </w:r>
      <w:r w:rsidRPr="00536125">
        <w:rPr>
          <w:color w:val="000000" w:themeColor="text1"/>
          <w:sz w:val="24"/>
          <w:szCs w:val="24"/>
          <w:lang w:eastAsia="en-US"/>
        </w:rPr>
        <w:lastRenderedPageBreak/>
        <w:t>naturaleza enfocada a proyectos de software unicamente,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lang w:eastAsia="en-US"/>
        </w:rPr>
        <w:t>Nai-Chieh, W., Chiao-Ping, B., Shun-Yuan, Y., &amp; Pao-Sheng,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Planeamiento de Sprints</w:t>
      </w:r>
      <w:bookmarkEnd w:id="27"/>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5C55A84"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evm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8"/>
      <w:r>
        <w:rPr>
          <w:rFonts w:ascii="Arial" w:hAnsi="Arial" w:cs="Arial"/>
          <w:color w:val="000000"/>
          <w:lang w:val="es-ES_tradnl"/>
        </w:rPr>
        <w:t xml:space="preserve">Adición </w:t>
      </w:r>
      <w:commentRangeEnd w:id="38"/>
      <w:r>
        <w:rPr>
          <w:rStyle w:val="CommentReference"/>
          <w:rFonts w:ascii="Arial" w:hAnsi="Arial" w:cs="Arial"/>
          <w:color w:val="000000"/>
          <w:lang w:val="es-ES_tradnl" w:eastAsia="es-ES"/>
        </w:rPr>
        <w:commentReference w:id="38"/>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Despliegue de la versión </w:t>
      </w:r>
      <w:r>
        <w:rPr>
          <w:rFonts w:ascii="Arial" w:hAnsi="Arial" w:cs="Arial"/>
          <w:color w:val="000000"/>
          <w:lang w:val="es-ES_tradnl"/>
        </w:rPr>
        <w:t>0.1.3</w:t>
      </w:r>
      <w:r>
        <w:rPr>
          <w:rFonts w:ascii="Arial" w:hAnsi="Arial" w:cs="Arial"/>
          <w:color w:val="000000"/>
          <w:lang w:val="es-ES_tradnl"/>
        </w:rPr>
        <w:t xml:space="preserve"> de la herramienta en el servidor de pruebas.</w:t>
      </w:r>
      <w:bookmarkStart w:id="39" w:name="_GoBack"/>
      <w:bookmarkEnd w:id="39"/>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0"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Definición e implementación de transición de estados para </w:t>
      </w:r>
      <w:r>
        <w:rPr>
          <w:rFonts w:ascii="Arial" w:hAnsi="Arial" w:cs="Arial"/>
          <w:color w:val="000000"/>
          <w:lang w:val="es-ES_tradnl"/>
        </w:rPr>
        <w:t>hitos</w:t>
      </w:r>
      <w:r>
        <w:rPr>
          <w:rFonts w:ascii="Arial" w:hAnsi="Arial" w:cs="Arial"/>
          <w:color w:val="000000"/>
          <w:lang w:val="es-ES_tradnl"/>
        </w:rPr>
        <w:t>.</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Documentación de la transición </w:t>
      </w:r>
      <w:r>
        <w:rPr>
          <w:rFonts w:ascii="Arial" w:hAnsi="Arial" w:cs="Arial"/>
          <w:color w:val="000000"/>
          <w:lang w:val="es-ES_tradnl"/>
        </w:rPr>
        <w:t>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Pr>
          <w:rFonts w:ascii="Arial" w:hAnsi="Arial" w:cs="Arial"/>
          <w:color w:val="000000"/>
          <w:lang w:val="es-ES_tradnl"/>
        </w:rPr>
        <w:t xml:space="preserve">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 xml:space="preserve">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6FC8ACDB" w14:textId="3C05911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10</w:t>
      </w:r>
      <w:r>
        <w:rPr>
          <w:rFonts w:ascii="Arial" w:hAnsi="Arial" w:cs="Arial"/>
          <w:color w:val="000000"/>
          <w:lang w:val="es-ES_tradnl"/>
        </w:rPr>
        <w:t xml:space="preserve"> de </w:t>
      </w:r>
      <w:r>
        <w:rPr>
          <w:rFonts w:ascii="Arial" w:hAnsi="Arial" w:cs="Arial"/>
          <w:color w:val="000000"/>
          <w:lang w:val="es-ES_tradnl"/>
        </w:rPr>
        <w:t>septiembre</w:t>
      </w:r>
      <w:r w:rsidRPr="00536125">
        <w:rPr>
          <w:rFonts w:ascii="Arial" w:hAnsi="Arial" w:cs="Arial"/>
          <w:color w:val="000000"/>
          <w:lang w:val="es-ES_tradnl"/>
        </w:rPr>
        <w:t xml:space="preserve"> de 2016.</w:t>
      </w:r>
    </w:p>
    <w:p w14:paraId="009C3A6F" w14:textId="3C9B8D99"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3C880813" w:rsidR="0092328F" w:rsidRPr="00536125" w:rsidRDefault="0092328F" w:rsidP="0092328F">
      <w:pPr>
        <w:pStyle w:val="Heading3"/>
        <w:jc w:val="both"/>
        <w:rPr>
          <w:rFonts w:eastAsia="Times New Roman"/>
          <w:lang w:val="es-ES_tradnl"/>
        </w:rPr>
      </w:pPr>
      <w:bookmarkStart w:id="41" w:name="_Toc460774650"/>
      <w:r w:rsidRPr="00536125">
        <w:rPr>
          <w:rFonts w:eastAsia="Times New Roman"/>
          <w:b/>
          <w:bCs/>
          <w:lang w:val="es-ES_tradnl"/>
        </w:rPr>
        <w:t>Sprint #</w:t>
      </w:r>
      <w:r w:rsidR="005408E5" w:rsidRPr="00536125">
        <w:rPr>
          <w:rFonts w:eastAsia="Times New Roman"/>
          <w:b/>
          <w:bCs/>
          <w:lang w:val="es-ES_tradnl"/>
        </w:rPr>
        <w:t>1</w:t>
      </w:r>
      <w:bookmarkEnd w:id="41"/>
      <w:r w:rsidR="002D1361">
        <w:rPr>
          <w:rFonts w:eastAsia="Times New Roman"/>
          <w:b/>
          <w:bCs/>
          <w:lang w:val="es-ES_tradnl"/>
        </w:rPr>
        <w:t>3</w:t>
      </w: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2" w:name="_Toc460774651"/>
      <w:r w:rsidRPr="00536125">
        <w:rPr>
          <w:rFonts w:eastAsia="Times New Roman"/>
          <w:b/>
          <w:bCs/>
          <w:lang w:val="es-ES_tradnl"/>
        </w:rPr>
        <w:lastRenderedPageBreak/>
        <w:t>Datos iniciales</w:t>
      </w:r>
      <w:bookmarkEnd w:id="42"/>
    </w:p>
    <w:p w14:paraId="7F3BF696" w14:textId="77777777" w:rsidR="00AE061E" w:rsidRPr="00536125" w:rsidRDefault="00AE061E" w:rsidP="00AE061E">
      <w:pPr>
        <w:pStyle w:val="Heading2"/>
        <w:jc w:val="center"/>
        <w:rPr>
          <w:rFonts w:eastAsia="Times New Roman"/>
          <w:lang w:val="es-ES_tradnl"/>
        </w:rPr>
      </w:pPr>
      <w:bookmarkStart w:id="43" w:name="_Toc460774652"/>
      <w:r w:rsidRPr="00536125">
        <w:rPr>
          <w:rFonts w:eastAsia="Times New Roman"/>
          <w:b/>
          <w:bCs/>
          <w:lang w:val="es-ES_tradnl"/>
        </w:rPr>
        <w:t>Roles iniciales</w:t>
      </w:r>
      <w:bookmarkEnd w:id="4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4" w:name="_Toc460774653"/>
      <w:r w:rsidRPr="00536125">
        <w:rPr>
          <w:rFonts w:eastAsia="Times New Roman"/>
          <w:b/>
          <w:bCs/>
          <w:lang w:val="es-ES_tradnl"/>
        </w:rPr>
        <w:t>Director de proyecto:</w:t>
      </w:r>
      <w:bookmarkEnd w:id="4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4"/>
      <w:r w:rsidRPr="00536125">
        <w:rPr>
          <w:rFonts w:eastAsia="Times New Roman"/>
          <w:b/>
          <w:bCs/>
          <w:lang w:val="es-ES_tradnl"/>
        </w:rPr>
        <w:lastRenderedPageBreak/>
        <w:t>Interesado</w:t>
      </w:r>
      <w:bookmarkEnd w:id="4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6" w:name="_Toc460774655"/>
      <w:r w:rsidRPr="00536125">
        <w:rPr>
          <w:rFonts w:eastAsia="Times New Roman"/>
          <w:b/>
          <w:bCs/>
          <w:lang w:val="es-ES_tradnl"/>
        </w:rPr>
        <w:t>Gestor de recursos humanos (RRHH)</w:t>
      </w:r>
      <w:bookmarkEnd w:id="4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6"/>
      <w:r w:rsidRPr="00536125">
        <w:rPr>
          <w:rFonts w:eastAsia="Times New Roman"/>
          <w:b/>
          <w:bCs/>
          <w:lang w:val="es-ES_tradnl"/>
        </w:rPr>
        <w:t>Supervisor</w:t>
      </w:r>
      <w:bookmarkEnd w:id="4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8" w:name="_Toc460774657"/>
      <w:r w:rsidRPr="00536125">
        <w:rPr>
          <w:rFonts w:eastAsia="Times New Roman"/>
          <w:b/>
          <w:bCs/>
          <w:lang w:val="es-ES_tradnl"/>
        </w:rPr>
        <w:t>Realizador</w:t>
      </w:r>
      <w:bookmarkEnd w:id="4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lastRenderedPageBreak/>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F975CC"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icrosoft Office User" w:date="2016-09-11T18:09:00Z" w:initials="MOU">
    <w:p w14:paraId="14D52DB7" w14:textId="6FC0CB94" w:rsidR="00F975CC" w:rsidRDefault="00F975CC">
      <w:pPr>
        <w:pStyle w:val="CommentText"/>
      </w:pPr>
      <w:r>
        <w:rPr>
          <w:rStyle w:val="CommentReference"/>
        </w:rPr>
        <w:annotationRef/>
      </w:r>
      <w:r>
        <w:t>Necesito un sinonimo</w:t>
      </w:r>
    </w:p>
  </w:comment>
  <w:comment w:id="78" w:author="Microsoft Office User" w:date="2016-09-06T09:34:00Z" w:initials="MOU">
    <w:p w14:paraId="0B8343E1" w14:textId="7973838A" w:rsidR="00F975CC" w:rsidRDefault="00F975CC">
      <w:pPr>
        <w:pStyle w:val="CommentText"/>
      </w:pPr>
      <w:r>
        <w:rPr>
          <w:rStyle w:val="CommentReference"/>
        </w:rPr>
        <w:annotationRef/>
      </w:r>
      <w:r>
        <w:t>Definir si se podrán o no eliminar. Creo que se debería poder, gitlab creo que no permite (a modo comparativo).</w:t>
      </w:r>
    </w:p>
  </w:comment>
  <w:comment w:id="80" w:author="Microsoft Office User" w:date="2016-08-28T10:30:00Z" w:initials="Office">
    <w:p w14:paraId="1C3D9D4E" w14:textId="502B947D" w:rsidR="00F975CC" w:rsidRDefault="00F975CC">
      <w:pPr>
        <w:pStyle w:val="CommentText"/>
      </w:pPr>
      <w:r>
        <w:rPr>
          <w:rStyle w:val="CommentReference"/>
        </w:rPr>
        <w:annotationRef/>
      </w:r>
      <w:r>
        <w:t>Peticiones o tareas? Vamo a decidirno</w:t>
      </w:r>
    </w:p>
  </w:comment>
  <w:comment w:id="81" w:author="Microsoft Office User" w:date="2016-08-30T20:41:00Z" w:initials="Office">
    <w:p w14:paraId="27025A7A" w14:textId="218336C4" w:rsidR="00F975CC" w:rsidRDefault="00F975CC">
      <w:pPr>
        <w:pStyle w:val="CommentText"/>
      </w:pPr>
      <w:r>
        <w:rPr>
          <w:rStyle w:val="CommentReference"/>
        </w:rPr>
        <w:annotationRef/>
      </w:r>
      <w:r>
        <w:t>La herramienta ok</w:t>
      </w:r>
    </w:p>
  </w:comment>
  <w:comment w:id="82" w:author="Microsoft Office User" w:date="2016-09-06T09:39:00Z" w:initials="MOU">
    <w:p w14:paraId="3988940C" w14:textId="3B989AD3" w:rsidR="00F975CC" w:rsidRDefault="00F975CC">
      <w:pPr>
        <w:pStyle w:val="CommentText"/>
      </w:pPr>
      <w:r>
        <w:rPr>
          <w:rStyle w:val="CommentReference"/>
        </w:rPr>
        <w:annotationRef/>
      </w:r>
      <w:r>
        <w:t>Algún sinónimo? Definir, implementar, algo asi.</w:t>
      </w:r>
    </w:p>
  </w:comment>
  <w:comment w:id="86" w:author="Microsoft Office User" w:date="2016-09-04T16:26:00Z" w:initials="Office">
    <w:p w14:paraId="1A6CB773" w14:textId="77777777" w:rsidR="00F975CC" w:rsidRDefault="00F975CC">
      <w:pPr>
        <w:pStyle w:val="CommentText"/>
      </w:pPr>
      <w:r>
        <w:rPr>
          <w:rStyle w:val="CommentReference"/>
        </w:rPr>
        <w:annotationRef/>
      </w:r>
      <w:r>
        <w:t xml:space="preserve">Esto debería ser otro capítulo </w:t>
      </w:r>
    </w:p>
    <w:p w14:paraId="55F930A7" w14:textId="57C674AB" w:rsidR="00F975CC" w:rsidRDefault="00F975C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31FC9" w14:textId="77777777" w:rsidR="00E33D07" w:rsidRDefault="00E33D07">
      <w:pPr>
        <w:spacing w:line="240" w:lineRule="auto"/>
      </w:pPr>
      <w:r>
        <w:separator/>
      </w:r>
    </w:p>
  </w:endnote>
  <w:endnote w:type="continuationSeparator" w:id="0">
    <w:p w14:paraId="10591EAD" w14:textId="77777777" w:rsidR="00E33D07" w:rsidRDefault="00E33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F975CC" w:rsidRDefault="00F975CC"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1EB3">
      <w:rPr>
        <w:rStyle w:val="PageNumber"/>
        <w:noProof/>
      </w:rPr>
      <w:t>23</w:t>
    </w:r>
    <w:r>
      <w:rPr>
        <w:rStyle w:val="PageNumber"/>
      </w:rPr>
      <w:fldChar w:fldCharType="end"/>
    </w:r>
  </w:p>
  <w:p w14:paraId="6415E656" w14:textId="77777777" w:rsidR="00F975CC" w:rsidRDefault="00F975CC"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5E017" w14:textId="77777777" w:rsidR="00E33D07" w:rsidRDefault="00E33D07">
      <w:pPr>
        <w:spacing w:line="240" w:lineRule="auto"/>
      </w:pPr>
      <w:r>
        <w:separator/>
      </w:r>
    </w:p>
  </w:footnote>
  <w:footnote w:type="continuationSeparator" w:id="0">
    <w:p w14:paraId="560BEA02" w14:textId="77777777" w:rsidR="00E33D07" w:rsidRDefault="00E33D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2C28"/>
    <w:rsid w:val="002B7F7E"/>
    <w:rsid w:val="002D09FE"/>
    <w:rsid w:val="002D1361"/>
    <w:rsid w:val="002D6CCE"/>
    <w:rsid w:val="00301989"/>
    <w:rsid w:val="00301C74"/>
    <w:rsid w:val="00310FA7"/>
    <w:rsid w:val="0032134E"/>
    <w:rsid w:val="003250AF"/>
    <w:rsid w:val="00333ED7"/>
    <w:rsid w:val="003473CF"/>
    <w:rsid w:val="003621CB"/>
    <w:rsid w:val="003637F3"/>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3E8A"/>
    <w:rsid w:val="004D6A15"/>
    <w:rsid w:val="004E0AF0"/>
    <w:rsid w:val="004E38D4"/>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A0169"/>
    <w:rsid w:val="007C2DED"/>
    <w:rsid w:val="007E4C95"/>
    <w:rsid w:val="007E6C69"/>
    <w:rsid w:val="007F03E8"/>
    <w:rsid w:val="007F73EA"/>
    <w:rsid w:val="008008CE"/>
    <w:rsid w:val="00803C5F"/>
    <w:rsid w:val="00806395"/>
    <w:rsid w:val="00806AC2"/>
    <w:rsid w:val="008164EE"/>
    <w:rsid w:val="00822035"/>
    <w:rsid w:val="00842139"/>
    <w:rsid w:val="00844917"/>
    <w:rsid w:val="00861D32"/>
    <w:rsid w:val="00864A1B"/>
    <w:rsid w:val="008973EA"/>
    <w:rsid w:val="008A401A"/>
    <w:rsid w:val="008B66A0"/>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67D68"/>
    <w:rsid w:val="00BA0FD1"/>
    <w:rsid w:val="00BA4C54"/>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33D07"/>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96716-A110-8D46-BF5F-10086430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56</Pages>
  <Words>19209</Words>
  <Characters>109497</Characters>
  <Application>Microsoft Macintosh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30</cp:revision>
  <dcterms:created xsi:type="dcterms:W3CDTF">2016-09-04T21:49:00Z</dcterms:created>
  <dcterms:modified xsi:type="dcterms:W3CDTF">2016-09-11T22:29:00Z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