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B73"/>
          <w:sz w:val="80"/>
        </w:rPr>
        <w:t>NetSentinel</w:t>
      </w:r>
    </w:p>
    <w:p>
      <w:pPr>
        <w:jc w:val="center"/>
      </w:pPr>
      <w:r>
        <w:rPr>
          <w:b w:val="0"/>
          <w:i w:val="0"/>
          <w:color w:val="595959"/>
          <w:sz w:val="36"/>
        </w:rPr>
        <w:t>Network Intrusion &amp; Monitoring System (NIMS)</w:t>
      </w:r>
    </w:p>
    <w:p/>
    <w:p>
      <w:pPr>
        <w:jc w:val="center"/>
      </w:pPr>
      <w:r>
        <w:rPr>
          <w:b/>
          <w:i w:val="0"/>
          <w:sz w:val="32"/>
        </w:rPr>
        <w:t>Technical Project Report</w:t>
      </w:r>
    </w:p>
    <w:p>
      <w:pPr>
        <w:jc w:val="center"/>
      </w:pPr>
      <w:r>
        <w:rPr>
          <w:b w:val="0"/>
          <w:i w:val="0"/>
          <w:color w:val="595959"/>
          <w:sz w:val="22"/>
        </w:rPr>
        <w:t>System Architecture · Technology Stack · Machine Learning Pipelines · Module Implementation</w:t>
      </w:r>
    </w:p>
    <w:p/>
    <w:p/>
    <w:p/>
    <w:p/>
    <w:p/>
    <w:p/>
    <w:p/>
    <w:p/>
    <w:p/>
    <w:p/>
    <w:p>
      <w:pPr>
        <w:jc w:val="center"/>
      </w:pPr>
      <w:r>
        <w:rPr>
          <w:b w:val="0"/>
          <w:i w:val="0"/>
          <w:sz w:val="22"/>
        </w:rPr>
        <w:t>Version 1.0  ·  July 2026</w:t>
      </w:r>
    </w:p>
    <w:p>
      <w:r>
        <w:br w:type="page"/>
      </w:r>
    </w:p>
    <w:p>
      <w:r>
        <w:rPr>
          <w:b/>
          <w:i w:val="0"/>
          <w:color w:val="1F3B73"/>
          <w:sz w:val="32"/>
        </w:rPr>
        <w:t>Contents</w:t>
      </w:r>
    </w:p>
    <w:p>
      <w:r>
        <w:fldChar w:fldCharType="begin"/>
        <w:instrText xml:space="preserve">TOC \o "1-2" \h \z \u</w:instrText>
        <w:fldChar w:fldCharType="separate"/>
        <w:t>Table of contents — right-click and choose 'Update Field' in Word to populate.</w:t>
        <w:fldChar w:fldCharType="end"/>
      </w:r>
    </w:p>
    <w:p>
      <w:r>
        <w:br w:type="page"/>
      </w:r>
    </w:p>
    <w:p>
      <w:pPr>
        <w:pStyle w:val="Heading1"/>
      </w:pPr>
      <w:r>
        <w:t>1. Executive Summary</w:t>
      </w:r>
    </w:p>
    <w:p>
      <w:r>
        <w:rPr>
          <w:b w:val="0"/>
          <w:i w:val="0"/>
        </w:rPr>
        <w:t>NetSentinel (NIMS) is a production-grade platform that unifies three network-analysis domains — cyber intrusion detection, network-health prediction and network-configuration intelligence — and correlates their outputs into unified, explainable operational incidents. It was engineered end-to-end as industrial software: modular packages, configuration-driven behaviour, typed dataclasses, structured logging, reproducible experiments and a test suite of more than seventy modules that runs entirely offline.</w:t>
      </w:r>
    </w:p>
    <w:p>
      <w:r>
        <w:rPr>
          <w:b w:val="0"/>
          <w:i w:val="0"/>
        </w:rPr>
        <w:t>The platform delivers:</w:t>
      </w:r>
    </w:p>
    <w:p>
      <w:pPr>
        <w:pStyle w:val="ListBullet"/>
        <w:spacing w:after="40"/>
      </w:pPr>
      <w:r>
        <w:t>Engine A — seven benchmarked intrusion-detection models (XGBoost, LightGBM, Isolation Forest, MLP, 1D-CNN, LSTM, Transformer) trained and evaluated on NSL-KDD, UNSW-NB15 and CIC-IDS2017, with XGBoost promoted to production for every dataset (test F1 0.9925 / 0.9244 / 0.9988 respectively).</w:t>
      </w:r>
    </w:p>
    <w:p>
      <w:pPr>
        <w:pStyle w:val="ListBullet"/>
        <w:spacing w:after="40"/>
      </w:pPr>
      <w:r>
        <w:t>Engine B — a leakage-free network-health pipeline over SNMP/MIB telemetry with configuration-driven dataset adapters, chronological splitting, causal rolling features and an Isolation Forest baseline (recall 1.0, ROC-AUC 0.97 on telemetry with injected interface degradation).</w:t>
      </w:r>
    </w:p>
    <w:p>
      <w:pPr>
        <w:pStyle w:val="ListBullet"/>
        <w:spacing w:after="40"/>
      </w:pPr>
      <w:r>
        <w:t>Engine C — an offline, read-only configuration-intelligence pipeline that parses saved Cisco IOS and Huawei VRP command output into a typed inventory, derives an LLDP/CDP/MAC/STP topology, evaluates YAML-defined rules into structured findings, and generates dry-run remediation plans in which every action carries a rollback, a verification step and a risk level.</w:t>
      </w:r>
    </w:p>
    <w:p>
      <w:pPr>
        <w:pStyle w:val="ListBullet"/>
        <w:spacing w:after="40"/>
      </w:pPr>
      <w:r>
        <w:t>A deterministic correlation engine that fuses Engine A/B/C signals and industrial-switch syslog evidence into severity- and confidence-scored incidents with full evidence trails.</w:t>
      </w:r>
    </w:p>
    <w:p>
      <w:pPr>
        <w:pStyle w:val="ListBullet"/>
        <w:spacing w:after="40"/>
      </w:pPr>
      <w:r>
        <w:t>A read-only live-ingestion layer for real devices — Hirschmann SNMPv3 polling, SNMP traps, read-only SSH configuration retrieval, Sophos Firewall syslog and the Sophos Central SIEM API, plus Huawei VRP retrieval feeding Engine C — validated in the field against a production Huawei S5720 switch over read-only SNMPv3.</w:t>
      </w:r>
    </w:p>
    <w:p>
      <w:pPr>
        <w:pStyle w:val="ListBullet"/>
        <w:spacing w:after="40"/>
      </w:pPr>
      <w:r>
        <w:t>Three user-facing surfaces: a React web console backed by a Node/Express artifact API, a FastAPI batch-inference service, and a Streamlit operations dashboard.</w:t>
      </w:r>
    </w:p>
    <w:p>
      <w:r>
        <w:rPr>
          <w:b w:val="0"/>
          <w:i w:val="0"/>
        </w:rPr>
        <w:t>All models were trained manually on local hardware (NVIDIA GeForce RTX 4060 Laptop GPU, CUDA-enabled PyTorch). Safety is a construction principle rather than a feature: no code path in the repository can modify a network device, execute a remediation command or leak a credential, and a static safety audit enforces this on every run of the test suite.</w:t>
      </w:r>
    </w:p>
    <w:p>
      <w:pPr>
        <w:pStyle w:val="Heading1"/>
      </w:pPr>
      <w:r>
        <w:t>2. Project Overview</w:t>
      </w:r>
    </w:p>
    <w:p>
      <w:pPr>
        <w:pStyle w:val="Heading2"/>
      </w:pPr>
      <w:r>
        <w:t>2.1 Problem Statement</w:t>
      </w:r>
    </w:p>
    <w:p>
      <w:r>
        <w:rPr>
          <w:b w:val="0"/>
          <w:i w:val="0"/>
        </w:rPr>
        <w:t>Network operations teams face three traditionally separate problems: detecting cyber attacks in traffic, predicting hardware/link degradation before failure, and finding configuration errors that create outages or security exposure. Tooling for each exists in isolation; the operational reality — a DDoS attack that manifests as CPU saturation and CRC errors, or a loop caused by a mis-configured trunk — spans all three. NetSentinel was built to close that gap with one platform that observes all three domains and reasons across them.</w:t>
      </w:r>
    </w:p>
    <w:p>
      <w:pPr>
        <w:pStyle w:val="Heading2"/>
      </w:pPr>
      <w:r>
        <w:t>2.2 Objectives</w:t>
      </w:r>
    </w:p>
    <w:p>
      <w:pPr>
        <w:pStyle w:val="ListBullet"/>
        <w:spacing w:after="40"/>
      </w:pPr>
      <w:r>
        <w:t>Detect and classify cyber attacks across heterogeneous benchmark datasets with production-quality precision/recall trade-offs.</w:t>
      </w:r>
    </w:p>
    <w:p>
      <w:pPr>
        <w:pStyle w:val="ListBullet"/>
        <w:spacing w:after="40"/>
      </w:pPr>
      <w:r>
        <w:t>Predict network degradation from device telemetry using strictly causal features.</w:t>
      </w:r>
    </w:p>
    <w:p>
      <w:pPr>
        <w:pStyle w:val="ListBullet"/>
        <w:spacing w:after="40"/>
      </w:pPr>
      <w:r>
        <w:t>Understand real infrastructure state — devices, interfaces, VLANs, PoE, STP, topology — from device configuration and command output.</w:t>
      </w:r>
    </w:p>
    <w:p>
      <w:pPr>
        <w:pStyle w:val="ListBullet"/>
        <w:spacing w:after="40"/>
      </w:pPr>
      <w:r>
        <w:t>Correlate cyber, health and configuration evidence into unified incidents with explanations and recommended actions.</w:t>
      </w:r>
    </w:p>
    <w:p>
      <w:pPr>
        <w:pStyle w:val="ListBullet"/>
        <w:spacing w:after="40"/>
      </w:pPr>
      <w:r>
        <w:t>Remain operationally safe: read-only by default, remediation as reviewed plans only, every proposed change reversible and auditable.</w:t>
      </w:r>
    </w:p>
    <w:p>
      <w:pPr>
        <w:pStyle w:val="ListBullet"/>
        <w:spacing w:after="40"/>
      </w:pPr>
      <w:r>
        <w:t>Be reproducible and maintainable: configuration-driven, seeded, tested, typed and documented.</w:t>
      </w:r>
    </w:p>
    <w:p>
      <w:pPr>
        <w:pStyle w:val="Heading2"/>
      </w:pPr>
      <w:r>
        <w:t>2.3 Scope and Target Environment</w:t>
      </w:r>
    </w:p>
    <w:p>
      <w:r>
        <w:rPr>
          <w:b w:val="0"/>
          <w:i w:val="0"/>
        </w:rPr>
        <w:t>The platform targets enterprise and critical-infrastructure networks (the design reference is airport-class operational infrastructure) built from managed switches, routers and firewalls. Supported evidence sources span offline benchmark datasets, saved device snapshots, industrial-switch syslog exports and live read-only telemetry from Hirschmann, Huawei and Sophos equipment. Configuration modification is intentionally outside the platform's capabilities: NetSentinel proposes, explains and verifies changes but never executes them.</w:t>
      </w:r>
    </w:p>
    <w:p>
      <w:pPr>
        <w:pStyle w:val="Heading1"/>
      </w:pPr>
      <w:r>
        <w:t>3. System Architecture</w:t>
      </w:r>
    </w:p>
    <w:p>
      <w:pPr>
        <w:pStyle w:val="Heading2"/>
      </w:pPr>
      <w:r>
        <w:t>3.1 Layered Design</w:t>
      </w:r>
    </w:p>
    <w:p>
      <w:r>
        <w:rPr>
          <w:b w:val="0"/>
          <w:i w:val="0"/>
        </w:rPr>
        <w:t>The repository is organised into five isolated layers. Layers communicate only through clearly defined interfaces and persisted artifacts; no layer is ever bypassed.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9"/>
              </w:rPr>
              <w:t>Layer</w:t>
            </w:r>
          </w:p>
        </w:tc>
        <w:tc>
          <w:tcPr>
            <w:tcW w:type="dxa" w:w="3216"/>
          </w:tcPr>
          <w:p>
            <w:pPr>
              <w:spacing w:after="40"/>
            </w:pPr>
            <w:r>
              <w:rPr>
                <w:b/>
                <w:sz w:val="19"/>
              </w:rPr>
              <w:t>Responsibility</w:t>
            </w:r>
          </w:p>
        </w:tc>
        <w:tc>
          <w:tcPr>
            <w:tcW w:type="dxa" w:w="3216"/>
          </w:tcPr>
          <w:p>
            <w:pPr>
              <w:spacing w:after="40"/>
            </w:pPr>
            <w:r>
              <w:rPr>
                <w:b/>
                <w:sz w:val="19"/>
              </w:rPr>
              <w:t>Key Packages</w:t>
            </w:r>
          </w:p>
        </w:tc>
      </w:tr>
      <w:tr>
        <w:tc>
          <w:tcPr>
            <w:tcW w:type="dxa" w:w="3216"/>
          </w:tcPr>
          <w:p>
            <w:pPr>
              <w:spacing w:after="40"/>
            </w:pPr>
            <w:r>
              <w:rPr>
                <w:sz w:val="19"/>
              </w:rPr>
              <w:t>1 — Data</w:t>
            </w:r>
          </w:p>
        </w:tc>
        <w:tc>
          <w:tcPr>
            <w:tcW w:type="dxa" w:w="3216"/>
          </w:tcPr>
          <w:p>
            <w:pPr>
              <w:spacing w:after="40"/>
            </w:pPr>
            <w:r>
              <w:rPr>
                <w:sz w:val="19"/>
              </w:rPr>
              <w:t>Dataset registry, loading, validation, auditing, cleaning, encoding, scaling, splitting</w:t>
            </w:r>
          </w:p>
        </w:tc>
        <w:tc>
          <w:tcPr>
            <w:tcW w:type="dxa" w:w="3216"/>
          </w:tcPr>
          <w:p>
            <w:pPr>
              <w:spacing w:after="40"/>
            </w:pPr>
            <w:r>
              <w:rPr>
                <w:sz w:val="19"/>
              </w:rPr>
              <w:t>src/data, src/network_health, src/syslog_ingestion, src/live_logging</w:t>
            </w:r>
          </w:p>
        </w:tc>
      </w:tr>
      <w:tr>
        <w:tc>
          <w:tcPr>
            <w:tcW w:type="dxa" w:w="3216"/>
          </w:tcPr>
          <w:p>
            <w:pPr>
              <w:spacing w:after="40"/>
            </w:pPr>
            <w:r>
              <w:rPr>
                <w:sz w:val="19"/>
              </w:rPr>
              <w:t>2 — Feature Engineering</w:t>
            </w:r>
          </w:p>
        </w:tc>
        <w:tc>
          <w:tcPr>
            <w:tcW w:type="dxa" w:w="3216"/>
          </w:tcPr>
          <w:p>
            <w:pPr>
              <w:spacing w:after="40"/>
            </w:pPr>
            <w:r>
              <w:rPr>
                <w:sz w:val="19"/>
              </w:rPr>
              <w:t>Statistical selection, importance ranking, dimensionality reduction, causal telemetry features</w:t>
            </w:r>
          </w:p>
        </w:tc>
        <w:tc>
          <w:tcPr>
            <w:tcW w:type="dxa" w:w="3216"/>
          </w:tcPr>
          <w:p>
            <w:pPr>
              <w:spacing w:after="40"/>
            </w:pPr>
            <w:r>
              <w:rPr>
                <w:sz w:val="19"/>
              </w:rPr>
              <w:t>src/features, src/network_health/features</w:t>
            </w:r>
          </w:p>
        </w:tc>
      </w:tr>
      <w:tr>
        <w:tc>
          <w:tcPr>
            <w:tcW w:type="dxa" w:w="3216"/>
          </w:tcPr>
          <w:p>
            <w:pPr>
              <w:spacing w:after="40"/>
            </w:pPr>
            <w:r>
              <w:rPr>
                <w:sz w:val="19"/>
              </w:rPr>
              <w:t>3 — Model Training</w:t>
            </w:r>
          </w:p>
        </w:tc>
        <w:tc>
          <w:tcPr>
            <w:tcW w:type="dxa" w:w="3216"/>
          </w:tcPr>
          <w:p>
            <w:pPr>
              <w:spacing w:after="40"/>
            </w:pPr>
            <w:r>
              <w:rPr>
                <w:sz w:val="19"/>
              </w:rPr>
              <w:t>Model wrappers, training engines, experiment tracking, hyperparameter optimization</w:t>
            </w:r>
          </w:p>
        </w:tc>
        <w:tc>
          <w:tcPr>
            <w:tcW w:type="dxa" w:w="3216"/>
          </w:tcPr>
          <w:p>
            <w:pPr>
              <w:spacing w:after="40"/>
            </w:pPr>
            <w:r>
              <w:rPr>
                <w:sz w:val="19"/>
              </w:rPr>
              <w:t>src/models, src/training, src/optimization</w:t>
            </w:r>
          </w:p>
        </w:tc>
      </w:tr>
      <w:tr>
        <w:tc>
          <w:tcPr>
            <w:tcW w:type="dxa" w:w="3216"/>
          </w:tcPr>
          <w:p>
            <w:pPr>
              <w:spacing w:after="40"/>
            </w:pPr>
            <w:r>
              <w:rPr>
                <w:sz w:val="19"/>
              </w:rPr>
              <w:t>4 — Evaluation</w:t>
            </w:r>
          </w:p>
        </w:tc>
        <w:tc>
          <w:tcPr>
            <w:tcW w:type="dxa" w:w="3216"/>
          </w:tcPr>
          <w:p>
            <w:pPr>
              <w:spacing w:after="40"/>
            </w:pPr>
            <w:r>
              <w:rPr>
                <w:sz w:val="19"/>
              </w:rPr>
              <w:t>Metrics, explainability, error analysis, visualization, validation reporting</w:t>
            </w:r>
          </w:p>
        </w:tc>
        <w:tc>
          <w:tcPr>
            <w:tcW w:type="dxa" w:w="3216"/>
          </w:tcPr>
          <w:p>
            <w:pPr>
              <w:spacing w:after="40"/>
            </w:pPr>
            <w:r>
              <w:rPr>
                <w:sz w:val="19"/>
              </w:rPr>
              <w:t>src/training/metrics, src/explainability, src/error_analysis, src/visualization</w:t>
            </w:r>
          </w:p>
        </w:tc>
      </w:tr>
      <w:tr>
        <w:tc>
          <w:tcPr>
            <w:tcW w:type="dxa" w:w="3216"/>
          </w:tcPr>
          <w:p>
            <w:pPr>
              <w:spacing w:after="40"/>
            </w:pPr>
            <w:r>
              <w:rPr>
                <w:sz w:val="19"/>
              </w:rPr>
              <w:t>5 — Deployment</w:t>
            </w:r>
          </w:p>
        </w:tc>
        <w:tc>
          <w:tcPr>
            <w:tcW w:type="dxa" w:w="3216"/>
          </w:tcPr>
          <w:p>
            <w:pPr>
              <w:spacing w:after="40"/>
            </w:pPr>
            <w:r>
              <w:rPr>
                <w:sz w:val="19"/>
              </w:rPr>
              <w:t>Model registry, inference API, dashboards, correlation, streaming</w:t>
            </w:r>
          </w:p>
        </w:tc>
        <w:tc>
          <w:tcPr>
            <w:tcW w:type="dxa" w:w="3216"/>
          </w:tcPr>
          <w:p>
            <w:pPr>
              <w:spacing w:after="40"/>
            </w:pPr>
            <w:r>
              <w:rPr>
                <w:sz w:val="19"/>
              </w:rPr>
              <w:t>src/registry, src/api, src/correlation, src/streaming, src/dashboard, webapp/</w:t>
            </w:r>
          </w:p>
        </w:tc>
      </w:tr>
    </w:tbl>
    <w:p>
      <w:pPr>
        <w:spacing w:after="40"/>
      </w:pPr>
    </w:p>
    <w:p>
      <w:pPr>
        <w:pStyle w:val="Heading2"/>
      </w:pPr>
      <w:r>
        <w:t>3.2 Engine Composition</w:t>
      </w:r>
    </w:p>
    <w:p>
      <w:r>
        <w:rPr>
          <w:b w:val="0"/>
          <w:i w:val="0"/>
        </w:rPr>
        <w:t>Three analysis engines and a correlation layer sit on top of the layered core:</w:t>
      </w:r>
    </w:p>
    <w:p>
      <w:pPr>
        <w:pStyle w:val="ListBullet"/>
        <w:spacing w:after="40"/>
      </w:pPr>
      <w:r>
        <w:t>Engine A (Cyber Intrusion Detection) — classifies traffic records from NSL-KDD, UNSW-NB15 and CIC-IDS2017 with classical and deep models behind one model interface.</w:t>
      </w:r>
    </w:p>
    <w:p>
      <w:pPr>
        <w:pStyle w:val="ListBullet"/>
        <w:spacing w:after="40"/>
      </w:pPr>
      <w:r>
        <w:t>Engine B (Network Health Prediction) — scores SNMP/MIB telemetry series for anomalies and degradation probability per (device, interface).</w:t>
      </w:r>
    </w:p>
    <w:p>
      <w:pPr>
        <w:pStyle w:val="ListBullet"/>
        <w:spacing w:after="40"/>
      </w:pPr>
      <w:r>
        <w:t>Engine C (Configuration Intelligence) — parses device snapshots into inventory, topology, findings and dry-run remediation plans.</w:t>
      </w:r>
    </w:p>
    <w:p>
      <w:pPr>
        <w:pStyle w:val="ListBullet"/>
        <w:spacing w:after="40"/>
      </w:pPr>
      <w:r>
        <w:t>Correlation Engine — reads the persisted artifacts of all engines plus syslog evidence and groups related signals into unified incidents.</w:t>
      </w:r>
    </w:p>
    <w:p>
      <w:pPr>
        <w:pStyle w:val="Heading2"/>
      </w:pPr>
      <w:r>
        <w:t>3.3 Artifact-Driven Integration</w:t>
      </w:r>
    </w:p>
    <w:p>
      <w:r>
        <w:rPr>
          <w:b w:val="0"/>
          <w:i w:val="0"/>
        </w:rPr>
        <w:t>Every stage persists its results as versioned artifacts (Parquet, JSON, CSV, Markdown, joblib) under outputs/. Downstream consumers — the correlation engine, the dashboards, the inference API, the web console — only read those artifacts. They never re-run an upstream pipeline, never recompute a metric and never mutate a source file. This gives the platform clean failure isolation, trivially reproducible demonstrations and a natural audit trail.</w:t>
      </w:r>
    </w:p>
    <w:p>
      <w:pPr>
        <w:pStyle w:val="Heading2"/>
      </w:pPr>
      <w:r>
        <w:t>3.4 Data Flow</w:t>
      </w:r>
    </w:p>
    <w:p>
      <w:pPr>
        <w:spacing w:after="0"/>
        <w:ind w:left="360"/>
      </w:pPr>
      <w:r>
        <w:rPr>
          <w:rFonts w:ascii="Consolas" w:hAnsi="Consolas"/>
          <w:sz w:val="18"/>
          <w:rFonts w:ascii="Consolas" w:hAnsi="Consolas"/>
        </w:rPr>
        <w:t>raw datasets ─▶ validation/audit ─▶ preprocessing ─▶ feature engineering ─▶ training</w:t>
      </w:r>
    </w:p>
    <w:p>
      <w:pPr>
        <w:spacing w:after="0"/>
        <w:ind w:left="360"/>
      </w:pPr>
      <w:r>
        <w:rPr>
          <w:rFonts w:ascii="Consolas" w:hAnsi="Consolas"/>
          <w:sz w:val="18"/>
          <w:rFonts w:ascii="Consolas" w:hAnsi="Consolas"/>
        </w:rPr>
        <w:t xml:space="preserve">                                                                            │</w:t>
      </w:r>
    </w:p>
    <w:p>
      <w:pPr>
        <w:spacing w:after="0"/>
        <w:ind w:left="360"/>
      </w:pPr>
      <w:r>
        <w:rPr>
          <w:rFonts w:ascii="Consolas" w:hAnsi="Consolas"/>
          <w:sz w:val="18"/>
          <w:rFonts w:ascii="Consolas" w:hAnsi="Consolas"/>
        </w:rPr>
        <w:t xml:space="preserve">         registry ◀─ promotion ◀─ validation report ◀─ experiments ◀────────┘</w:t>
      </w:r>
    </w:p>
    <w:p>
      <w:pPr>
        <w:spacing w:after="0"/>
        <w:ind w:left="360"/>
      </w:pPr>
      <w:r>
        <w:rPr>
          <w:rFonts w:ascii="Consolas" w:hAnsi="Consolas"/>
          <w:sz w:val="18"/>
          <w:rFonts w:ascii="Consolas" w:hAnsi="Consolas"/>
        </w:rPr>
        <w:t xml:space="preserve">            │                                                                </w:t>
      </w:r>
    </w:p>
    <w:p>
      <w:pPr>
        <w:spacing w:after="0"/>
        <w:ind w:left="360"/>
      </w:pPr>
      <w:r>
        <w:rPr>
          <w:rFonts w:ascii="Consolas" w:hAnsi="Consolas"/>
          <w:sz w:val="18"/>
          <w:rFonts w:ascii="Consolas" w:hAnsi="Consolas"/>
        </w:rPr>
        <w:t xml:space="preserve">            ├─▶ FastAPI batch inference (replays saved transforms)           </w:t>
      </w:r>
    </w:p>
    <w:p>
      <w:pPr>
        <w:spacing w:after="0"/>
        <w:ind w:left="360"/>
      </w:pPr>
      <w:r>
        <w:rPr>
          <w:rFonts w:ascii="Consolas" w:hAnsi="Consolas"/>
          <w:sz w:val="18"/>
          <w:rFonts w:ascii="Consolas" w:hAnsi="Consolas"/>
        </w:rPr>
        <w:t xml:space="preserve">            ▼                                                                </w:t>
      </w:r>
    </w:p>
    <w:p>
      <w:pPr>
        <w:spacing w:after="0"/>
        <w:ind w:left="360"/>
      </w:pPr>
      <w:r>
        <w:rPr>
          <w:rFonts w:ascii="Consolas" w:hAnsi="Consolas"/>
          <w:sz w:val="18"/>
          <w:rFonts w:ascii="Consolas" w:hAnsi="Consolas"/>
        </w:rPr>
        <w:t xml:space="preserve">  Engine A signals ─┐                                                        </w:t>
      </w:r>
    </w:p>
    <w:p>
      <w:pPr>
        <w:spacing w:after="0"/>
        <w:ind w:left="360"/>
      </w:pPr>
      <w:r>
        <w:rPr>
          <w:rFonts w:ascii="Consolas" w:hAnsi="Consolas"/>
          <w:sz w:val="18"/>
          <w:rFonts w:ascii="Consolas" w:hAnsi="Consolas"/>
        </w:rPr>
        <w:t xml:space="preserve">  Engine B signals ─┼─▶ correlation engine ─▶ incidents ─▶ web console /     </w:t>
      </w:r>
    </w:p>
    <w:p>
      <w:pPr>
        <w:spacing w:after="0"/>
        <w:ind w:left="360"/>
      </w:pPr>
      <w:r>
        <w:rPr>
          <w:rFonts w:ascii="Consolas" w:hAnsi="Consolas"/>
          <w:sz w:val="18"/>
          <w:rFonts w:ascii="Consolas" w:hAnsi="Consolas"/>
        </w:rPr>
        <w:t xml:space="preserve">  Engine C findings ─┤                                     dashboard /       </w:t>
      </w:r>
    </w:p>
    <w:p>
      <w:pPr>
        <w:spacing w:after="0"/>
        <w:ind w:left="360"/>
      </w:pPr>
      <w:r>
        <w:rPr>
          <w:rFonts w:ascii="Consolas" w:hAnsi="Consolas"/>
          <w:sz w:val="18"/>
          <w:rFonts w:ascii="Consolas" w:hAnsi="Consolas"/>
        </w:rPr>
        <w:t xml:space="preserve">  syslog evidence  ──┘                                     streaming monitor </w:t>
      </w:r>
    </w:p>
    <w:p>
      <w:pPr>
        <w:spacing w:after="40"/>
      </w:pPr>
    </w:p>
    <w:p>
      <w:pPr>
        <w:pStyle w:val="Heading2"/>
      </w:pPr>
      <w:r>
        <w:t>3.5 Design Invariants</w:t>
      </w:r>
    </w:p>
    <w:p>
      <w:pPr>
        <w:pStyle w:val="ListBullet"/>
        <w:spacing w:after="40"/>
      </w:pPr>
      <w:r>
        <w:t>Configuration over code — every path, threshold, hyperparameter, rule and filename is defined in configs/*.yaml; site policy never lives in Python.</w:t>
      </w:r>
    </w:p>
    <w:p>
      <w:pPr>
        <w:pStyle w:val="ListBullet"/>
        <w:spacing w:after="40"/>
      </w:pPr>
      <w:r>
        <w:t>No data leakage — encoders, scalers, selectors and PCA fit on the training split only; Engine B splits are chronological; a pre-fit feature audit verifies column names, order, dtypes and integrity before every model fit.</w:t>
      </w:r>
    </w:p>
    <w:p>
      <w:pPr>
        <w:pStyle w:val="ListBullet"/>
        <w:spacing w:after="40"/>
      </w:pPr>
      <w:r>
        <w:t>Determinism — content-addressed identifiers for findings, signals and incidents; seeded random state for every stochastic component.</w:t>
      </w:r>
    </w:p>
    <w:p>
      <w:pPr>
        <w:pStyle w:val="ListBullet"/>
        <w:spacing w:after="40"/>
      </w:pPr>
      <w:r>
        <w:t>Separation of detection and action — no detection component can invoke an execution path; remediation output is a reviewed document, not an operation.</w:t>
      </w:r>
    </w:p>
    <w:p>
      <w:pPr>
        <w:pStyle w:val="ListBullet"/>
        <w:spacing w:after="40"/>
      </w:pPr>
      <w:r>
        <w:t>Single-responsibility modules — focused files, typed dataclasses, no module duplicating hardware detection, path resolution or logging setup.</w:t>
      </w:r>
    </w:p>
    <w:p>
      <w:pPr>
        <w:pStyle w:val="Heading1"/>
      </w:pPr>
      <w:r>
        <w:t>4. Technology Stack</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tcPr>
          <w:p>
            <w:pPr>
              <w:spacing w:after="40"/>
            </w:pPr>
            <w:r>
              <w:rPr>
                <w:b/>
                <w:sz w:val="19"/>
              </w:rPr>
              <w:t>Category</w:t>
            </w:r>
          </w:p>
        </w:tc>
        <w:tc>
          <w:tcPr>
            <w:tcW w:type="dxa" w:w="3744"/>
          </w:tcPr>
          <w:p>
            <w:pPr>
              <w:spacing w:after="40"/>
            </w:pPr>
            <w:r>
              <w:rPr>
                <w:b/>
                <w:sz w:val="19"/>
              </w:rPr>
              <w:t>Technology</w:t>
            </w:r>
          </w:p>
        </w:tc>
        <w:tc>
          <w:tcPr>
            <w:tcW w:type="dxa" w:w="3744"/>
          </w:tcPr>
          <w:p>
            <w:pPr>
              <w:spacing w:after="40"/>
            </w:pPr>
            <w:r>
              <w:rPr>
                <w:b/>
                <w:sz w:val="19"/>
              </w:rPr>
              <w:t>Role</w:t>
            </w:r>
          </w:p>
        </w:tc>
      </w:tr>
      <w:tr>
        <w:tc>
          <w:tcPr>
            <w:tcW w:type="dxa" w:w="2304"/>
          </w:tcPr>
          <w:p>
            <w:pPr>
              <w:spacing w:after="40"/>
            </w:pPr>
            <w:r>
              <w:rPr>
                <w:sz w:val="19"/>
              </w:rPr>
              <w:t>Language / Runtime</w:t>
            </w:r>
          </w:p>
        </w:tc>
        <w:tc>
          <w:tcPr>
            <w:tcW w:type="dxa" w:w="3744"/>
          </w:tcPr>
          <w:p>
            <w:pPr>
              <w:spacing w:after="40"/>
            </w:pPr>
            <w:r>
              <w:rPr>
                <w:sz w:val="19"/>
              </w:rPr>
              <w:t>Python 3.11+ (3.13 in development)</w:t>
            </w:r>
          </w:p>
        </w:tc>
        <w:tc>
          <w:tcPr>
            <w:tcW w:type="dxa" w:w="3744"/>
          </w:tcPr>
          <w:p>
            <w:pPr>
              <w:spacing w:after="40"/>
            </w:pPr>
            <w:r>
              <w:rPr>
                <w:sz w:val="19"/>
              </w:rPr>
              <w:t>All engines, pipelines, services</w:t>
            </w:r>
          </w:p>
        </w:tc>
      </w:tr>
      <w:tr>
        <w:tc>
          <w:tcPr>
            <w:tcW w:type="dxa" w:w="2304"/>
          </w:tcPr>
          <w:p>
            <w:pPr>
              <w:spacing w:after="40"/>
            </w:pPr>
            <w:r>
              <w:rPr>
                <w:sz w:val="19"/>
              </w:rPr>
              <w:t>Data</w:t>
            </w:r>
          </w:p>
        </w:tc>
        <w:tc>
          <w:tcPr>
            <w:tcW w:type="dxa" w:w="3744"/>
          </w:tcPr>
          <w:p>
            <w:pPr>
              <w:spacing w:after="40"/>
            </w:pPr>
            <w:r>
              <w:rPr>
                <w:sz w:val="19"/>
              </w:rPr>
              <w:t>pandas, NumPy, SciPy, PyArrow</w:t>
            </w:r>
          </w:p>
        </w:tc>
        <w:tc>
          <w:tcPr>
            <w:tcW w:type="dxa" w:w="3744"/>
          </w:tcPr>
          <w:p>
            <w:pPr>
              <w:spacing w:after="40"/>
            </w:pPr>
            <w:r>
              <w:rPr>
                <w:sz w:val="19"/>
              </w:rPr>
              <w:t>Tabular processing, Parquet persistence</w:t>
            </w:r>
          </w:p>
        </w:tc>
      </w:tr>
      <w:tr>
        <w:tc>
          <w:tcPr>
            <w:tcW w:type="dxa" w:w="2304"/>
          </w:tcPr>
          <w:p>
            <w:pPr>
              <w:spacing w:after="40"/>
            </w:pPr>
            <w:r>
              <w:rPr>
                <w:sz w:val="19"/>
              </w:rPr>
              <w:t>Classical ML</w:t>
            </w:r>
          </w:p>
        </w:tc>
        <w:tc>
          <w:tcPr>
            <w:tcW w:type="dxa" w:w="3744"/>
          </w:tcPr>
          <w:p>
            <w:pPr>
              <w:spacing w:after="40"/>
            </w:pPr>
            <w:r>
              <w:rPr>
                <w:sz w:val="19"/>
              </w:rPr>
              <w:t>scikit-learn, XGBoost, LightGBM, CatBoost</w:t>
            </w:r>
          </w:p>
        </w:tc>
        <w:tc>
          <w:tcPr>
            <w:tcW w:type="dxa" w:w="3744"/>
          </w:tcPr>
          <w:p>
            <w:pPr>
              <w:spacing w:after="40"/>
            </w:pPr>
            <w:r>
              <w:rPr>
                <w:sz w:val="19"/>
              </w:rPr>
              <w:t>Boosted trees, Isolation Forest, preprocessing</w:t>
            </w:r>
          </w:p>
        </w:tc>
      </w:tr>
      <w:tr>
        <w:tc>
          <w:tcPr>
            <w:tcW w:type="dxa" w:w="2304"/>
          </w:tcPr>
          <w:p>
            <w:pPr>
              <w:spacing w:after="40"/>
            </w:pPr>
            <w:r>
              <w:rPr>
                <w:sz w:val="19"/>
              </w:rPr>
              <w:t>Deep Learning</w:t>
            </w:r>
          </w:p>
        </w:tc>
        <w:tc>
          <w:tcPr>
            <w:tcW w:type="dxa" w:w="3744"/>
          </w:tcPr>
          <w:p>
            <w:pPr>
              <w:spacing w:after="40"/>
            </w:pPr>
            <w:r>
              <w:rPr>
                <w:sz w:val="19"/>
              </w:rPr>
              <w:t>PyTorch (CUDA), torch.amp</w:t>
            </w:r>
          </w:p>
        </w:tc>
        <w:tc>
          <w:tcPr>
            <w:tcW w:type="dxa" w:w="3744"/>
          </w:tcPr>
          <w:p>
            <w:pPr>
              <w:spacing w:after="40"/>
            </w:pPr>
            <w:r>
              <w:rPr>
                <w:sz w:val="19"/>
              </w:rPr>
              <w:t>MLP / CNN / LSTM / Transformer with mixed precision</w:t>
            </w:r>
          </w:p>
        </w:tc>
      </w:tr>
      <w:tr>
        <w:tc>
          <w:tcPr>
            <w:tcW w:type="dxa" w:w="2304"/>
          </w:tcPr>
          <w:p>
            <w:pPr>
              <w:spacing w:after="40"/>
            </w:pPr>
            <w:r>
              <w:rPr>
                <w:sz w:val="19"/>
              </w:rPr>
              <w:t>Explainability</w:t>
            </w:r>
          </w:p>
        </w:tc>
        <w:tc>
          <w:tcPr>
            <w:tcW w:type="dxa" w:w="3744"/>
          </w:tcPr>
          <w:p>
            <w:pPr>
              <w:spacing w:after="40"/>
            </w:pPr>
            <w:r>
              <w:rPr>
                <w:sz w:val="19"/>
              </w:rPr>
              <w:t>SHAP (TreeExplainer)</w:t>
            </w:r>
          </w:p>
        </w:tc>
        <w:tc>
          <w:tcPr>
            <w:tcW w:type="dxa" w:w="3744"/>
          </w:tcPr>
          <w:p>
            <w:pPr>
              <w:spacing w:after="40"/>
            </w:pPr>
            <w:r>
              <w:rPr>
                <w:sz w:val="19"/>
              </w:rPr>
              <w:t>Global and per-sample attributions</w:t>
            </w:r>
          </w:p>
        </w:tc>
      </w:tr>
      <w:tr>
        <w:tc>
          <w:tcPr>
            <w:tcW w:type="dxa" w:w="2304"/>
          </w:tcPr>
          <w:p>
            <w:pPr>
              <w:spacing w:after="40"/>
            </w:pPr>
            <w:r>
              <w:rPr>
                <w:sz w:val="19"/>
              </w:rPr>
              <w:t>Optimization</w:t>
            </w:r>
          </w:p>
        </w:tc>
        <w:tc>
          <w:tcPr>
            <w:tcW w:type="dxa" w:w="3744"/>
          </w:tcPr>
          <w:p>
            <w:pPr>
              <w:spacing w:after="40"/>
            </w:pPr>
            <w:r>
              <w:rPr>
                <w:sz w:val="19"/>
              </w:rPr>
              <w:t>Optuna (TPE / random samplers)</w:t>
            </w:r>
          </w:p>
        </w:tc>
        <w:tc>
          <w:tcPr>
            <w:tcW w:type="dxa" w:w="3744"/>
          </w:tcPr>
          <w:p>
            <w:pPr>
              <w:spacing w:after="40"/>
            </w:pPr>
            <w:r>
              <w:rPr>
                <w:sz w:val="19"/>
              </w:rPr>
              <w:t>Hyperparameter studies</w:t>
            </w:r>
          </w:p>
        </w:tc>
      </w:tr>
      <w:tr>
        <w:tc>
          <w:tcPr>
            <w:tcW w:type="dxa" w:w="2304"/>
          </w:tcPr>
          <w:p>
            <w:pPr>
              <w:spacing w:after="40"/>
            </w:pPr>
            <w:r>
              <w:rPr>
                <w:sz w:val="19"/>
              </w:rPr>
              <w:t>Serving</w:t>
            </w:r>
          </w:p>
        </w:tc>
        <w:tc>
          <w:tcPr>
            <w:tcW w:type="dxa" w:w="3744"/>
          </w:tcPr>
          <w:p>
            <w:pPr>
              <w:spacing w:after="40"/>
            </w:pPr>
            <w:r>
              <w:rPr>
                <w:sz w:val="19"/>
              </w:rPr>
              <w:t>FastAPI, Uvicorn, httpx</w:t>
            </w:r>
          </w:p>
        </w:tc>
        <w:tc>
          <w:tcPr>
            <w:tcW w:type="dxa" w:w="3744"/>
          </w:tcPr>
          <w:p>
            <w:pPr>
              <w:spacing w:after="40"/>
            </w:pPr>
            <w:r>
              <w:rPr>
                <w:sz w:val="19"/>
              </w:rPr>
              <w:t>Batch inference API</w:t>
            </w:r>
          </w:p>
        </w:tc>
      </w:tr>
      <w:tr>
        <w:tc>
          <w:tcPr>
            <w:tcW w:type="dxa" w:w="2304"/>
          </w:tcPr>
          <w:p>
            <w:pPr>
              <w:spacing w:after="40"/>
            </w:pPr>
            <w:r>
              <w:rPr>
                <w:sz w:val="19"/>
              </w:rPr>
              <w:t>Dashboards</w:t>
            </w:r>
          </w:p>
        </w:tc>
        <w:tc>
          <w:tcPr>
            <w:tcW w:type="dxa" w:w="3744"/>
          </w:tcPr>
          <w:p>
            <w:pPr>
              <w:spacing w:after="40"/>
            </w:pPr>
            <w:r>
              <w:rPr>
                <w:sz w:val="19"/>
              </w:rPr>
              <w:t>Streamlit; React 18 + Vite; Node.js / Express</w:t>
            </w:r>
          </w:p>
        </w:tc>
        <w:tc>
          <w:tcPr>
            <w:tcW w:type="dxa" w:w="3744"/>
          </w:tcPr>
          <w:p>
            <w:pPr>
              <w:spacing w:after="40"/>
            </w:pPr>
            <w:r>
              <w:rPr>
                <w:sz w:val="19"/>
              </w:rPr>
              <w:t>Operations viewer; web console; artifact API</w:t>
            </w:r>
          </w:p>
        </w:tc>
      </w:tr>
      <w:tr>
        <w:tc>
          <w:tcPr>
            <w:tcW w:type="dxa" w:w="2304"/>
          </w:tcPr>
          <w:p>
            <w:pPr>
              <w:spacing w:after="40"/>
            </w:pPr>
            <w:r>
              <w:rPr>
                <w:sz w:val="19"/>
              </w:rPr>
              <w:t>Visualization</w:t>
            </w:r>
          </w:p>
        </w:tc>
        <w:tc>
          <w:tcPr>
            <w:tcW w:type="dxa" w:w="3744"/>
          </w:tcPr>
          <w:p>
            <w:pPr>
              <w:spacing w:after="40"/>
            </w:pPr>
            <w:r>
              <w:rPr>
                <w:sz w:val="19"/>
              </w:rPr>
              <w:t>matplotlib, seaborn, plotly</w:t>
            </w:r>
          </w:p>
        </w:tc>
        <w:tc>
          <w:tcPr>
            <w:tcW w:type="dxa" w:w="3744"/>
          </w:tcPr>
          <w:p>
            <w:pPr>
              <w:spacing w:after="40"/>
            </w:pPr>
            <w:r>
              <w:rPr>
                <w:sz w:val="19"/>
              </w:rPr>
              <w:t>Evaluation and dashboard charts</w:t>
            </w:r>
          </w:p>
        </w:tc>
      </w:tr>
      <w:tr>
        <w:tc>
          <w:tcPr>
            <w:tcW w:type="dxa" w:w="2304"/>
          </w:tcPr>
          <w:p>
            <w:pPr>
              <w:spacing w:after="40"/>
            </w:pPr>
            <w:r>
              <w:rPr>
                <w:sz w:val="19"/>
              </w:rPr>
              <w:t>Network (live, read-only)</w:t>
            </w:r>
          </w:p>
        </w:tc>
        <w:tc>
          <w:tcPr>
            <w:tcW w:type="dxa" w:w="3744"/>
          </w:tcPr>
          <w:p>
            <w:pPr>
              <w:spacing w:after="40"/>
            </w:pPr>
            <w:r>
              <w:rPr>
                <w:sz w:val="19"/>
              </w:rPr>
              <w:t>pysnmp 7 (SNMPv3), paramiko (SSH), stdlib UDP</w:t>
            </w:r>
          </w:p>
        </w:tc>
        <w:tc>
          <w:tcPr>
            <w:tcW w:type="dxa" w:w="3744"/>
          </w:tcPr>
          <w:p>
            <w:pPr>
              <w:spacing w:after="40"/>
            </w:pPr>
            <w:r>
              <w:rPr>
                <w:sz w:val="19"/>
              </w:rPr>
              <w:t>Polling, traps, syslog reception, config retrieval</w:t>
            </w:r>
          </w:p>
        </w:tc>
      </w:tr>
      <w:tr>
        <w:tc>
          <w:tcPr>
            <w:tcW w:type="dxa" w:w="2304"/>
          </w:tcPr>
          <w:p>
            <w:pPr>
              <w:spacing w:after="40"/>
            </w:pPr>
            <w:r>
              <w:rPr>
                <w:sz w:val="19"/>
              </w:rPr>
              <w:t>Configuration</w:t>
            </w:r>
          </w:p>
        </w:tc>
        <w:tc>
          <w:tcPr>
            <w:tcW w:type="dxa" w:w="3744"/>
          </w:tcPr>
          <w:p>
            <w:pPr>
              <w:spacing w:after="40"/>
            </w:pPr>
            <w:r>
              <w:rPr>
                <w:sz w:val="19"/>
              </w:rPr>
              <w:t>PyYAML — one file per subsystem (30+ files)</w:t>
            </w:r>
          </w:p>
        </w:tc>
        <w:tc>
          <w:tcPr>
            <w:tcW w:type="dxa" w:w="3744"/>
          </w:tcPr>
          <w:p>
            <w:pPr>
              <w:spacing w:after="40"/>
            </w:pPr>
            <w:r>
              <w:rPr>
                <w:sz w:val="19"/>
              </w:rPr>
              <w:t>All runtime behaviour</w:t>
            </w:r>
          </w:p>
        </w:tc>
      </w:tr>
      <w:tr>
        <w:tc>
          <w:tcPr>
            <w:tcW w:type="dxa" w:w="2304"/>
          </w:tcPr>
          <w:p>
            <w:pPr>
              <w:spacing w:after="40"/>
            </w:pPr>
            <w:r>
              <w:rPr>
                <w:sz w:val="19"/>
              </w:rPr>
              <w:t>Quality</w:t>
            </w:r>
          </w:p>
        </w:tc>
        <w:tc>
          <w:tcPr>
            <w:tcW w:type="dxa" w:w="3744"/>
          </w:tcPr>
          <w:p>
            <w:pPr>
              <w:spacing w:after="40"/>
            </w:pPr>
            <w:r>
              <w:rPr>
                <w:sz w:val="19"/>
              </w:rPr>
              <w:t>pytest, Black, isort, Ruff, mypy</w:t>
            </w:r>
          </w:p>
        </w:tc>
        <w:tc>
          <w:tcPr>
            <w:tcW w:type="dxa" w:w="3744"/>
          </w:tcPr>
          <w:p>
            <w:pPr>
              <w:spacing w:after="40"/>
            </w:pPr>
            <w:r>
              <w:rPr>
                <w:sz w:val="19"/>
              </w:rPr>
              <w:t>Testing, formatting, linting, typing</w:t>
            </w:r>
          </w:p>
        </w:tc>
      </w:tr>
      <w:tr>
        <w:tc>
          <w:tcPr>
            <w:tcW w:type="dxa" w:w="2304"/>
          </w:tcPr>
          <w:p>
            <w:pPr>
              <w:spacing w:after="40"/>
            </w:pPr>
            <w:r>
              <w:rPr>
                <w:sz w:val="19"/>
              </w:rPr>
              <w:t>Hardware</w:t>
            </w:r>
          </w:p>
        </w:tc>
        <w:tc>
          <w:tcPr>
            <w:tcW w:type="dxa" w:w="3744"/>
          </w:tcPr>
          <w:p>
            <w:pPr>
              <w:spacing w:after="40"/>
            </w:pPr>
            <w:r>
              <w:rPr>
                <w:sz w:val="19"/>
              </w:rPr>
              <w:t>NVIDIA RTX 4060 Laptop GPU, CUDA; automatic CPU fallback</w:t>
            </w:r>
          </w:p>
        </w:tc>
        <w:tc>
          <w:tcPr>
            <w:tcW w:type="dxa" w:w="3744"/>
          </w:tcPr>
          <w:p>
            <w:pPr>
              <w:spacing w:after="40"/>
            </w:pPr>
            <w:r>
              <w:rPr>
                <w:sz w:val="19"/>
              </w:rPr>
              <w:t>Training acceleration via src/utils/hardware.py</w:t>
            </w:r>
          </w:p>
        </w:tc>
      </w:tr>
    </w:tbl>
    <w:p>
      <w:pPr>
        <w:spacing w:after="40"/>
      </w:pPr>
    </w:p>
    <w:p>
      <w:r>
        <w:rPr>
          <w:b w:val="0"/>
          <w:i w:val="0"/>
        </w:rPr>
        <w:t>GPU policy: hardware detection is centralised in src/utils/hardware.py. XGBoost trains with device=cuda / tree_method=hist; LightGBM attempts its GPU build and falls back to CPU with an explicit warning; PyTorch models select CUDA automatically with pinned DataLoaders and non-blocking transfers. Every run manifest records the GPU model, CUDA version, framework versions and selected device.</w:t>
      </w:r>
    </w:p>
    <w:p>
      <w:pPr>
        <w:pStyle w:val="Heading1"/>
      </w:pPr>
      <w:r>
        <w:t>5. Datasets and Evidence Sources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9"/>
              </w:rPr>
              <w:t>Source</w:t>
            </w:r>
          </w:p>
        </w:tc>
        <w:tc>
          <w:tcPr>
            <w:tcW w:type="dxa" w:w="3216"/>
          </w:tcPr>
          <w:p>
            <w:pPr>
              <w:spacing w:after="40"/>
            </w:pPr>
            <w:r>
              <w:rPr>
                <w:b/>
                <w:sz w:val="19"/>
              </w:rPr>
              <w:t>Domain</w:t>
            </w:r>
          </w:p>
        </w:tc>
        <w:tc>
          <w:tcPr>
            <w:tcW w:type="dxa" w:w="3216"/>
          </w:tcPr>
          <w:p>
            <w:pPr>
              <w:spacing w:after="40"/>
            </w:pPr>
            <w:r>
              <w:rPr>
                <w:b/>
                <w:sz w:val="19"/>
              </w:rPr>
              <w:t>Use</w:t>
            </w:r>
          </w:p>
        </w:tc>
      </w:tr>
      <w:tr>
        <w:tc>
          <w:tcPr>
            <w:tcW w:type="dxa" w:w="3216"/>
          </w:tcPr>
          <w:p>
            <w:pPr>
              <w:spacing w:after="40"/>
            </w:pPr>
            <w:r>
              <w:rPr>
                <w:sz w:val="19"/>
              </w:rPr>
              <w:t>NSL-KDD</w:t>
            </w:r>
          </w:p>
        </w:tc>
        <w:tc>
          <w:tcPr>
            <w:tcW w:type="dxa" w:w="3216"/>
          </w:tcPr>
          <w:p>
            <w:pPr>
              <w:spacing w:after="40"/>
            </w:pPr>
            <w:r>
              <w:rPr>
                <w:sz w:val="19"/>
              </w:rPr>
              <w:t>Engine A</w:t>
            </w:r>
          </w:p>
        </w:tc>
        <w:tc>
          <w:tcPr>
            <w:tcW w:type="dxa" w:w="3216"/>
          </w:tcPr>
          <w:p>
            <w:pPr>
              <w:spacing w:after="40"/>
            </w:pPr>
            <w:r>
              <w:rPr>
                <w:sz w:val="19"/>
              </w:rPr>
              <w:t>Benchmark intrusion detection (multiclass, 40 attack labels)</w:t>
            </w:r>
          </w:p>
        </w:tc>
      </w:tr>
      <w:tr>
        <w:tc>
          <w:tcPr>
            <w:tcW w:type="dxa" w:w="3216"/>
          </w:tcPr>
          <w:p>
            <w:pPr>
              <w:spacing w:after="40"/>
            </w:pPr>
            <w:r>
              <w:rPr>
                <w:sz w:val="19"/>
              </w:rPr>
              <w:t>UNSW-NB15</w:t>
            </w:r>
          </w:p>
        </w:tc>
        <w:tc>
          <w:tcPr>
            <w:tcW w:type="dxa" w:w="3216"/>
          </w:tcPr>
          <w:p>
            <w:pPr>
              <w:spacing w:after="40"/>
            </w:pPr>
            <w:r>
              <w:rPr>
                <w:sz w:val="19"/>
              </w:rPr>
              <w:t>Engine A</w:t>
            </w:r>
          </w:p>
        </w:tc>
        <w:tc>
          <w:tcPr>
            <w:tcW w:type="dxa" w:w="3216"/>
          </w:tcPr>
          <w:p>
            <w:pPr>
              <w:spacing w:after="40"/>
            </w:pPr>
            <w:r>
              <w:rPr>
                <w:sz w:val="19"/>
              </w:rPr>
              <w:t>Benchmark intrusion detection (binary)</w:t>
            </w:r>
          </w:p>
        </w:tc>
      </w:tr>
      <w:tr>
        <w:tc>
          <w:tcPr>
            <w:tcW w:type="dxa" w:w="3216"/>
          </w:tcPr>
          <w:p>
            <w:pPr>
              <w:spacing w:after="40"/>
            </w:pPr>
            <w:r>
              <w:rPr>
                <w:sz w:val="19"/>
              </w:rPr>
              <w:t>CIC-IDS2017</w:t>
            </w:r>
          </w:p>
        </w:tc>
        <w:tc>
          <w:tcPr>
            <w:tcW w:type="dxa" w:w="3216"/>
          </w:tcPr>
          <w:p>
            <w:pPr>
              <w:spacing w:after="40"/>
            </w:pPr>
            <w:r>
              <w:rPr>
                <w:sz w:val="19"/>
              </w:rPr>
              <w:t>Engine A</w:t>
            </w:r>
          </w:p>
        </w:tc>
        <w:tc>
          <w:tcPr>
            <w:tcW w:type="dxa" w:w="3216"/>
          </w:tcPr>
          <w:p>
            <w:pPr>
              <w:spacing w:after="40"/>
            </w:pPr>
            <w:r>
              <w:rPr>
                <w:sz w:val="19"/>
              </w:rPr>
              <w:t>Benchmark intrusion detection (multiclass, modern attacks)</w:t>
            </w:r>
          </w:p>
        </w:tc>
      </w:tr>
      <w:tr>
        <w:tc>
          <w:tcPr>
            <w:tcW w:type="dxa" w:w="3216"/>
          </w:tcPr>
          <w:p>
            <w:pPr>
              <w:spacing w:after="40"/>
            </w:pPr>
            <w:r>
              <w:rPr>
                <w:sz w:val="19"/>
              </w:rPr>
              <w:t>SNMP-MIB 2016</w:t>
            </w:r>
          </w:p>
        </w:tc>
        <w:tc>
          <w:tcPr>
            <w:tcW w:type="dxa" w:w="3216"/>
          </w:tcPr>
          <w:p>
            <w:pPr>
              <w:spacing w:after="40"/>
            </w:pPr>
            <w:r>
              <w:rPr>
                <w:sz w:val="19"/>
              </w:rPr>
              <w:t>Engine B</w:t>
            </w:r>
          </w:p>
        </w:tc>
        <w:tc>
          <w:tcPr>
            <w:tcW w:type="dxa" w:w="3216"/>
          </w:tcPr>
          <w:p>
            <w:pPr>
              <w:spacing w:after="40"/>
            </w:pPr>
            <w:r>
              <w:rPr>
                <w:sz w:val="19"/>
              </w:rPr>
              <w:t>Public SNMP counter telemetry mapped by adapter</w:t>
            </w:r>
          </w:p>
        </w:tc>
      </w:tr>
      <w:tr>
        <w:tc>
          <w:tcPr>
            <w:tcW w:type="dxa" w:w="3216"/>
          </w:tcPr>
          <w:p>
            <w:pPr>
              <w:spacing w:after="40"/>
            </w:pPr>
            <w:r>
              <w:rPr>
                <w:sz w:val="19"/>
              </w:rPr>
              <w:t>LCORE-D</w:t>
            </w:r>
          </w:p>
        </w:tc>
        <w:tc>
          <w:tcPr>
            <w:tcW w:type="dxa" w:w="3216"/>
          </w:tcPr>
          <w:p>
            <w:pPr>
              <w:spacing w:after="40"/>
            </w:pPr>
            <w:r>
              <w:rPr>
                <w:sz w:val="19"/>
              </w:rPr>
              <w:t>Engine B</w:t>
            </w:r>
          </w:p>
        </w:tc>
        <w:tc>
          <w:tcPr>
            <w:tcW w:type="dxa" w:w="3216"/>
          </w:tcPr>
          <w:p>
            <w:pPr>
              <w:spacing w:after="40"/>
            </w:pPr>
            <w:r>
              <w:rPr>
                <w:sz w:val="19"/>
              </w:rPr>
              <w:t>Core-network telemetry export mapped by adapter</w:t>
            </w:r>
          </w:p>
        </w:tc>
      </w:tr>
      <w:tr>
        <w:tc>
          <w:tcPr>
            <w:tcW w:type="dxa" w:w="3216"/>
          </w:tcPr>
          <w:p>
            <w:pPr>
              <w:spacing w:after="40"/>
            </w:pPr>
            <w:r>
              <w:rPr>
                <w:sz w:val="19"/>
              </w:rPr>
              <w:t>Synthetic telemetry</w:t>
            </w:r>
          </w:p>
        </w:tc>
        <w:tc>
          <w:tcPr>
            <w:tcW w:type="dxa" w:w="3216"/>
          </w:tcPr>
          <w:p>
            <w:pPr>
              <w:spacing w:after="40"/>
            </w:pPr>
            <w:r>
              <w:rPr>
                <w:sz w:val="19"/>
              </w:rPr>
              <w:t>Engine B</w:t>
            </w:r>
          </w:p>
        </w:tc>
        <w:tc>
          <w:tcPr>
            <w:tcW w:type="dxa" w:w="3216"/>
          </w:tcPr>
          <w:p>
            <w:pPr>
              <w:spacing w:after="40"/>
            </w:pPr>
            <w:r>
              <w:rPr>
                <w:sz w:val="19"/>
              </w:rPr>
              <w:t>Bundled sample with injected degradation; runs the full chain with no downloads</w:t>
            </w:r>
          </w:p>
        </w:tc>
      </w:tr>
      <w:tr>
        <w:tc>
          <w:tcPr>
            <w:tcW w:type="dxa" w:w="3216"/>
          </w:tcPr>
          <w:p>
            <w:pPr>
              <w:spacing w:after="40"/>
            </w:pPr>
            <w:r>
              <w:rPr>
                <w:sz w:val="19"/>
              </w:rPr>
              <w:t>Device snapshots</w:t>
            </w:r>
          </w:p>
        </w:tc>
        <w:tc>
          <w:tcPr>
            <w:tcW w:type="dxa" w:w="3216"/>
          </w:tcPr>
          <w:p>
            <w:pPr>
              <w:spacing w:after="40"/>
            </w:pPr>
            <w:r>
              <w:rPr>
                <w:sz w:val="19"/>
              </w:rPr>
              <w:t>Engine C</w:t>
            </w:r>
          </w:p>
        </w:tc>
        <w:tc>
          <w:tcPr>
            <w:tcW w:type="dxa" w:w="3216"/>
          </w:tcPr>
          <w:p>
            <w:pPr>
              <w:spacing w:after="40"/>
            </w:pPr>
            <w:r>
              <w:rPr>
                <w:sz w:val="19"/>
              </w:rPr>
              <w:t>Saved Cisco 'show' and Huawei 'display' command outputs</w:t>
            </w:r>
          </w:p>
        </w:tc>
      </w:tr>
      <w:tr>
        <w:tc>
          <w:tcPr>
            <w:tcW w:type="dxa" w:w="3216"/>
          </w:tcPr>
          <w:p>
            <w:pPr>
              <w:spacing w:after="40"/>
            </w:pPr>
            <w:r>
              <w:rPr>
                <w:sz w:val="19"/>
              </w:rPr>
              <w:t>Industrial syslog</w:t>
            </w:r>
          </w:p>
        </w:tc>
        <w:tc>
          <w:tcPr>
            <w:tcW w:type="dxa" w:w="3216"/>
          </w:tcPr>
          <w:p>
            <w:pPr>
              <w:spacing w:after="40"/>
            </w:pPr>
            <w:r>
              <w:rPr>
                <w:sz w:val="19"/>
              </w:rPr>
              <w:t>Syslog ingestion</w:t>
            </w:r>
          </w:p>
        </w:tc>
        <w:tc>
          <w:tcPr>
            <w:tcW w:type="dxa" w:w="3216"/>
          </w:tcPr>
          <w:p>
            <w:pPr>
              <w:spacing w:after="40"/>
            </w:pPr>
            <w:r>
              <w:rPr>
                <w:sz w:val="19"/>
              </w:rPr>
              <w:t>Saved Belden/DCN switch logs and PuTTY captures</w:t>
            </w:r>
          </w:p>
        </w:tc>
      </w:tr>
      <w:tr>
        <w:tc>
          <w:tcPr>
            <w:tcW w:type="dxa" w:w="3216"/>
          </w:tcPr>
          <w:p>
            <w:pPr>
              <w:spacing w:after="40"/>
            </w:pPr>
            <w:r>
              <w:rPr>
                <w:sz w:val="19"/>
              </w:rPr>
              <w:t>Live telemetry</w:t>
            </w:r>
          </w:p>
        </w:tc>
        <w:tc>
          <w:tcPr>
            <w:tcW w:type="dxa" w:w="3216"/>
          </w:tcPr>
          <w:p>
            <w:pPr>
              <w:spacing w:after="40"/>
            </w:pPr>
            <w:r>
              <w:rPr>
                <w:sz w:val="19"/>
              </w:rPr>
              <w:t>Live ingestion</w:t>
            </w:r>
          </w:p>
        </w:tc>
        <w:tc>
          <w:tcPr>
            <w:tcW w:type="dxa" w:w="3216"/>
          </w:tcPr>
          <w:p>
            <w:pPr>
              <w:spacing w:after="40"/>
            </w:pPr>
            <w:r>
              <w:rPr>
                <w:sz w:val="19"/>
              </w:rPr>
              <w:t>Read-only SNMPv3 / traps / syslog / SIEM API / SSH retrieval</w:t>
            </w:r>
          </w:p>
        </w:tc>
      </w:tr>
    </w:tbl>
    <w:p>
      <w:pPr>
        <w:spacing w:after="40"/>
      </w:pPr>
    </w:p>
    <w:p>
      <w:r>
        <w:rPr>
          <w:b w:val="0"/>
          <w:i w:val="0"/>
        </w:rPr>
        <w:t>Raw data is immutable: the pipeline stages raw → cleaned → processed → features are each persisted separately and nothing ever overwrites a raw file. Dataset identity is tracked by content fingerprints recorded in every audit and manifest.</w:t>
      </w:r>
    </w:p>
    <w:p>
      <w:pPr>
        <w:pStyle w:val="Heading1"/>
      </w:pPr>
      <w:r>
        <w:t>6. Machine Learning Pipeline (Engine A)</w:t>
      </w:r>
    </w:p>
    <w:p>
      <w:pPr>
        <w:pStyle w:val="Heading2"/>
      </w:pPr>
      <w:r>
        <w:t>6.1 Data Validation and Audit</w:t>
      </w:r>
    </w:p>
    <w:p>
      <w:r>
        <w:rPr>
          <w:b w:val="0"/>
          <w:i w:val="0"/>
        </w:rPr>
        <w:t>Every dataset is registered in configs/data.yaml with its schema. Validation checks file presence, column schema, dtypes, label domains and duplicate/missing counts; auditing adds statistical profiles, class distributions and content fingerprints, persisted as JSON and Markdown reports (scripts: validate_datasets, run_audit, generate_statistics).</w:t>
      </w:r>
    </w:p>
    <w:p>
      <w:pPr>
        <w:pStyle w:val="Heading2"/>
      </w:pPr>
      <w:r>
        <w:t>6.2 Preprocessing</w:t>
      </w:r>
    </w:p>
    <w:p>
      <w:r>
        <w:rPr>
          <w:b w:val="0"/>
          <w:i w:val="0"/>
        </w:rPr>
        <w:t>A configuration-driven orchestrator (src/data/pipeline.py) executes cleaning → splitting → encoding → scaling with train-only fitting throughout:</w:t>
      </w:r>
    </w:p>
    <w:p>
      <w:pPr>
        <w:pStyle w:val="ListBullet"/>
        <w:spacing w:after="40"/>
      </w:pPr>
      <w:r>
        <w:t>Cleaning — duplicate removal, infinity handling, missing-value strategy, outlier clipping, dtype normalisation.</w:t>
      </w:r>
    </w:p>
    <w:p>
      <w:pPr>
        <w:pStyle w:val="ListBullet"/>
        <w:spacing w:after="40"/>
      </w:pPr>
      <w:r>
        <w:t>Splitting — reproducible stratified train/validation/test before any fitting.</w:t>
      </w:r>
    </w:p>
    <w:p>
      <w:pPr>
        <w:pStyle w:val="ListBullet"/>
        <w:spacing w:after="40"/>
      </w:pPr>
      <w:r>
        <w:t>Encoding — one-hot or ordinal categorical encoding with safe unknown-category handling; labels encoded with a persisted label encoder.</w:t>
      </w:r>
    </w:p>
    <w:p>
      <w:pPr>
        <w:pStyle w:val="ListBullet"/>
        <w:spacing w:after="40"/>
      </w:pPr>
      <w:r>
        <w:t>Scaling — standard / min-max / robust scaling fitted on train only.</w:t>
      </w:r>
    </w:p>
    <w:p>
      <w:r>
        <w:rPr>
          <w:b w:val="0"/>
          <w:i w:val="0"/>
        </w:rPr>
        <w:t>Outputs per dataset: processed Parquet splits, fitted encoder/scaler/label-encoder artifacts (joblib), per-stage JSON reports and a reproducibility manifest.</w:t>
      </w:r>
    </w:p>
    <w:p>
      <w:pPr>
        <w:pStyle w:val="Heading2"/>
      </w:pPr>
      <w:r>
        <w:t>6.3 Feature Engineering</w:t>
      </w:r>
    </w:p>
    <w:p>
      <w:r>
        <w:rPr>
          <w:b w:val="0"/>
          <w:i w:val="0"/>
        </w:rPr>
        <w:t>A second pipeline (src/features/) reduces the processed feature space, again fitted on train only and serialised for inference replay:</w:t>
      </w:r>
    </w:p>
    <w:p>
      <w:pPr>
        <w:pStyle w:val="ListBullet"/>
        <w:spacing w:after="40"/>
      </w:pPr>
      <w:r>
        <w:t>Variance threshold — removes constant / near-constant features.</w:t>
      </w:r>
    </w:p>
    <w:p>
      <w:pPr>
        <w:pStyle w:val="ListBullet"/>
        <w:spacing w:after="40"/>
      </w:pPr>
      <w:r>
        <w:t>Correlation filter — Pearson/Spearman redundant-pair elimination.</w:t>
      </w:r>
    </w:p>
    <w:p>
      <w:pPr>
        <w:pStyle w:val="ListBullet"/>
        <w:spacing w:after="40"/>
      </w:pPr>
      <w:r>
        <w:t>Statistical selection — mutual information, chi-square, ANOVA F-test.</w:t>
      </w:r>
    </w:p>
    <w:p>
      <w:pPr>
        <w:pStyle w:val="ListBullet"/>
        <w:spacing w:after="40"/>
      </w:pPr>
      <w:r>
        <w:t>Model-based selection — RandomForest importance and Recursive Feature Elimination.</w:t>
      </w:r>
    </w:p>
    <w:p>
      <w:pPr>
        <w:pStyle w:val="ListBullet"/>
        <w:spacing w:after="40"/>
      </w:pPr>
      <w:r>
        <w:t>Optional PCA with configurable explained-variance target.</w:t>
      </w:r>
    </w:p>
    <w:p>
      <w:pPr>
        <w:pStyle w:val="Heading2"/>
      </w:pPr>
      <w:r>
        <w:t>6.4 Model Training Framework</w:t>
      </w:r>
    </w:p>
    <w:p>
      <w:r>
        <w:rPr>
          <w:b w:val="0"/>
          <w:i w:val="0"/>
        </w:rPr>
        <w:t>All models implement one interface and register in a model registry, so classical and deep models share a single entry point (scripts/train_model.py), metric suite and artifact format. The trainer performs a defensive pre-fit feature audit (column names, order, dtypes, missing values, duplicates verified against the feature-engineering artifacts) and a minimum-row guard against accidental data subsets.</w:t>
      </w:r>
    </w:p>
    <w:p>
      <w:r>
        <w:rPr>
          <w:b w:val="0"/>
          <w:i w:val="0"/>
        </w:rPr>
        <w:t>The deep-learning engine (src/models/deep_learning/base.py) provides train/validation loops, early stopping with best-weights restore, plateau/cosine/step schedulers, automatic mixed precision, gradient accumulation and clipping, optional checkpointing and per-epoch logging of loss, learning rate, time and GPU memory — all configured in configs/deep_learning.yaml.</w:t>
      </w:r>
    </w:p>
    <w:p>
      <w:pPr>
        <w:pStyle w:val="Heading2"/>
      </w:pPr>
      <w:r>
        <w:t>6.5 Evaluation and Metrics</w:t>
      </w:r>
    </w:p>
    <w:p>
      <w:r>
        <w:rPr>
          <w:b w:val="0"/>
          <w:i w:val="0"/>
        </w:rPr>
        <w:t>Every run reports precision, recall, F1, ROC-AUC, false-positive rate and the confusion matrix on train/validation/test, plus training time, inference time and model size. Multiclass ROC-AUC is computed one-vs-rest over the full fitted label set, with classes absent from a split skipped mathematically rather than producing NaN averages.</w:t>
      </w:r>
    </w:p>
    <w:p>
      <w:pPr>
        <w:pStyle w:val="Heading2"/>
      </w:pPr>
      <w:r>
        <w:t>6.6 Explainability (SHAP)</w:t>
      </w:r>
    </w:p>
    <w:p>
      <w:r>
        <w:rPr>
          <w:b w:val="0"/>
          <w:i w:val="0"/>
        </w:rPr>
        <w:t>An explainability package mirrors the model-registry design: backends register per model family, and the XGBoost backend uses exact tree-SHAP with binary and multiclass support. Artifacts per experiment: global feature importance (mean/std |SHAP|, percentage and cumulative contribution), deterministic per-sample explanations with signed contributions and ranks, raw SHAP arrays and a rendered global summary plot.</w:t>
      </w:r>
    </w:p>
    <w:p>
      <w:pPr>
        <w:pStyle w:val="Heading2"/>
      </w:pPr>
      <w:r>
        <w:t>6.7 Error Analysis</w:t>
      </w:r>
    </w:p>
    <w:p>
      <w:r>
        <w:rPr>
          <w:b w:val="0"/>
          <w:i w:val="0"/>
        </w:rPr>
        <w:t>Per-experiment diagnostic artifacts: labelled confusion matrix, per-class support/precision/recall/F1 with FP/FN counts, hardest classes ranked by lowest F1, and the highest-confidence misclassified examples; binary tasks additionally persist false-positive and false-negative example files.</w:t>
      </w:r>
    </w:p>
    <w:p>
      <w:pPr>
        <w:pStyle w:val="Heading2"/>
      </w:pPr>
      <w:r>
        <w:t>6.8 Visualization</w:t>
      </w:r>
    </w:p>
    <w:p>
      <w:r>
        <w:rPr>
          <w:b w:val="0"/>
          <w:i w:val="0"/>
        </w:rPr>
        <w:t>Plots are rendered exclusively from persisted artifacts (never recomputed): raw and row-normalised confusion matrices with decoded class names, top-20 SHAP importances, hardest-class charts with support annotations and most-common misclassification pairs. Missing upstream artifacts skip the affected plot with a recorded reason.</w:t>
      </w:r>
    </w:p>
    <w:p>
      <w:pPr>
        <w:pStyle w:val="Heading2"/>
      </w:pPr>
      <w:r>
        <w:t>6.9 Hyperparameter Optimization</w:t>
      </w:r>
    </w:p>
    <w:p>
      <w:r>
        <w:rPr>
          <w:b w:val="0"/>
          <w:i w:val="0"/>
        </w:rPr>
        <w:t>Optuna studies (src/optimization/) run seeded TPE or random samplers over conservative, per-model search spaces for XGBoost, LightGBM and the MLP. The objective evaluates on the validation split only; trials never touch the test set. Studies persist trial tables, best parameters and a summary, and can optionally train the best configuration as a standard experiment with recorded optimization provenance.</w:t>
      </w:r>
    </w:p>
    <w:p>
      <w:pPr>
        <w:pStyle w:val="Heading2"/>
      </w:pPr>
      <w:r>
        <w:t>6.10 Model Registry and Promotion</w:t>
      </w:r>
    </w:p>
    <w:p>
      <w:r>
        <w:rPr>
          <w:b w:val="0"/>
          <w:i w:val="0"/>
        </w:rPr>
        <w:t>A file-based registry (outputs/registry/) is built entirely from experiment manifests — no database, no model copies, no recomputed metrics. It tracks every registered run, computes the best candidate per dataset by the configured metric, and records explicit production promotions with reasons. resolve_model(dataset, stage) returns the serving model's paths, metrics and preprocessing/feature artifact references.</w:t>
      </w:r>
    </w:p>
    <w:p>
      <w:pPr>
        <w:pStyle w:val="Heading2"/>
      </w:pPr>
      <w:r>
        <w:t>6.11 Inference API</w:t>
      </w:r>
    </w:p>
    <w:p>
      <w:r>
        <w:rPr>
          <w:b w:val="0"/>
          <w:i w:val="0"/>
        </w:rPr>
        <w:t>A FastAPI service serves the registry-promoted production models for batch inference (CSV upload or JSON rows). Inference replays the saved preprocessing and feature-engineering transforms — nothing is fitted at serve time — and predictions are decoded back to original label names. Model bundles are registry-resolved and cached per (dataset, stage); malformed input produces clean HTTP errors without stack traces.</w:t>
      </w:r>
    </w:p>
    <w:p>
      <w:pPr>
        <w:pStyle w:val="Heading1"/>
      </w:pPr>
      <w:r>
        <w:t>7. Engine A Benchmark Results</w:t>
      </w:r>
    </w:p>
    <w:p>
      <w:r>
        <w:rPr>
          <w:b w:val="0"/>
          <w:i w:val="0"/>
        </w:rPr>
        <w:t>Seven models were trained on all three datasets through the reproducible pipeline (all runs on local RTX 4060 hardware). Test-split F1 of the promoted production model:</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9"/>
              </w:rPr>
              <w:t>Dataset</w:t>
            </w:r>
          </w:p>
        </w:tc>
        <w:tc>
          <w:tcPr>
            <w:tcW w:type="dxa" w:w="1930"/>
          </w:tcPr>
          <w:p>
            <w:pPr>
              <w:spacing w:after="40"/>
            </w:pPr>
            <w:r>
              <w:rPr>
                <w:b/>
                <w:sz w:val="19"/>
              </w:rPr>
              <w:t>Task</w:t>
            </w:r>
          </w:p>
        </w:tc>
        <w:tc>
          <w:tcPr>
            <w:tcW w:type="dxa" w:w="1930"/>
          </w:tcPr>
          <w:p>
            <w:pPr>
              <w:spacing w:after="40"/>
            </w:pPr>
            <w:r>
              <w:rPr>
                <w:b/>
                <w:sz w:val="19"/>
              </w:rPr>
              <w:t>Production Model</w:t>
            </w:r>
          </w:p>
        </w:tc>
        <w:tc>
          <w:tcPr>
            <w:tcW w:type="dxa" w:w="1930"/>
          </w:tcPr>
          <w:p>
            <w:pPr>
              <w:spacing w:after="40"/>
            </w:pPr>
            <w:r>
              <w:rPr>
                <w:b/>
                <w:sz w:val="19"/>
              </w:rPr>
              <w:t>Test F1</w:t>
            </w:r>
          </w:p>
        </w:tc>
        <w:tc>
          <w:tcPr>
            <w:tcW w:type="dxa" w:w="1930"/>
          </w:tcPr>
          <w:p>
            <w:pPr>
              <w:spacing w:after="40"/>
            </w:pPr>
            <w:r>
              <w:rPr>
                <w:b/>
                <w:sz w:val="19"/>
              </w:rPr>
              <w:t>Runner-up</w:t>
            </w:r>
          </w:p>
        </w:tc>
      </w:tr>
      <w:tr>
        <w:tc>
          <w:tcPr>
            <w:tcW w:type="dxa" w:w="1930"/>
          </w:tcPr>
          <w:p>
            <w:pPr>
              <w:spacing w:after="40"/>
            </w:pPr>
            <w:r>
              <w:rPr>
                <w:sz w:val="19"/>
              </w:rPr>
              <w:t>NSL-KDD</w:t>
            </w:r>
          </w:p>
        </w:tc>
        <w:tc>
          <w:tcPr>
            <w:tcW w:type="dxa" w:w="1930"/>
          </w:tcPr>
          <w:p>
            <w:pPr>
              <w:spacing w:after="40"/>
            </w:pPr>
            <w:r>
              <w:rPr>
                <w:sz w:val="19"/>
              </w:rPr>
              <w:t>Multiclass</w:t>
            </w:r>
          </w:p>
        </w:tc>
        <w:tc>
          <w:tcPr>
            <w:tcW w:type="dxa" w:w="1930"/>
          </w:tcPr>
          <w:p>
            <w:pPr>
              <w:spacing w:after="40"/>
            </w:pPr>
            <w:r>
              <w:rPr>
                <w:sz w:val="19"/>
              </w:rPr>
              <w:t>XGBoost</w:t>
            </w:r>
          </w:p>
        </w:tc>
        <w:tc>
          <w:tcPr>
            <w:tcW w:type="dxa" w:w="1930"/>
          </w:tcPr>
          <w:p>
            <w:pPr>
              <w:spacing w:after="40"/>
            </w:pPr>
            <w:r>
              <w:rPr>
                <w:sz w:val="19"/>
              </w:rPr>
              <w:t>0.9925</w:t>
            </w:r>
          </w:p>
        </w:tc>
        <w:tc>
          <w:tcPr>
            <w:tcW w:type="dxa" w:w="1930"/>
          </w:tcPr>
          <w:p>
            <w:pPr>
              <w:spacing w:after="40"/>
            </w:pPr>
            <w:r>
              <w:rPr>
                <w:sz w:val="19"/>
              </w:rPr>
              <w:t>LightGBM 0.9923</w:t>
            </w:r>
          </w:p>
        </w:tc>
      </w:tr>
      <w:tr>
        <w:tc>
          <w:tcPr>
            <w:tcW w:type="dxa" w:w="1930"/>
          </w:tcPr>
          <w:p>
            <w:pPr>
              <w:spacing w:after="40"/>
            </w:pPr>
            <w:r>
              <w:rPr>
                <w:sz w:val="19"/>
              </w:rPr>
              <w:t>UNSW-NB15</w:t>
            </w:r>
          </w:p>
        </w:tc>
        <w:tc>
          <w:tcPr>
            <w:tcW w:type="dxa" w:w="1930"/>
          </w:tcPr>
          <w:p>
            <w:pPr>
              <w:spacing w:after="40"/>
            </w:pPr>
            <w:r>
              <w:rPr>
                <w:sz w:val="19"/>
              </w:rPr>
              <w:t>Binary</w:t>
            </w:r>
          </w:p>
        </w:tc>
        <w:tc>
          <w:tcPr>
            <w:tcW w:type="dxa" w:w="1930"/>
          </w:tcPr>
          <w:p>
            <w:pPr>
              <w:spacing w:after="40"/>
            </w:pPr>
            <w:r>
              <w:rPr>
                <w:sz w:val="19"/>
              </w:rPr>
              <w:t>XGBoost</w:t>
            </w:r>
          </w:p>
        </w:tc>
        <w:tc>
          <w:tcPr>
            <w:tcW w:type="dxa" w:w="1930"/>
          </w:tcPr>
          <w:p>
            <w:pPr>
              <w:spacing w:after="40"/>
            </w:pPr>
            <w:r>
              <w:rPr>
                <w:sz w:val="19"/>
              </w:rPr>
              <w:t>0.9244</w:t>
            </w:r>
          </w:p>
        </w:tc>
        <w:tc>
          <w:tcPr>
            <w:tcW w:type="dxa" w:w="1930"/>
          </w:tcPr>
          <w:p>
            <w:pPr>
              <w:spacing w:after="40"/>
            </w:pPr>
            <w:r>
              <w:rPr>
                <w:sz w:val="19"/>
              </w:rPr>
              <w:t>LightGBM (adjacent)</w:t>
            </w:r>
          </w:p>
        </w:tc>
      </w:tr>
      <w:tr>
        <w:tc>
          <w:tcPr>
            <w:tcW w:type="dxa" w:w="1930"/>
          </w:tcPr>
          <w:p>
            <w:pPr>
              <w:spacing w:after="40"/>
            </w:pPr>
            <w:r>
              <w:rPr>
                <w:sz w:val="19"/>
              </w:rPr>
              <w:t>CIC-IDS2017</w:t>
            </w:r>
          </w:p>
        </w:tc>
        <w:tc>
          <w:tcPr>
            <w:tcW w:type="dxa" w:w="1930"/>
          </w:tcPr>
          <w:p>
            <w:pPr>
              <w:spacing w:after="40"/>
            </w:pPr>
            <w:r>
              <w:rPr>
                <w:sz w:val="19"/>
              </w:rPr>
              <w:t>Multiclass</w:t>
            </w:r>
          </w:p>
        </w:tc>
        <w:tc>
          <w:tcPr>
            <w:tcW w:type="dxa" w:w="1930"/>
          </w:tcPr>
          <w:p>
            <w:pPr>
              <w:spacing w:after="40"/>
            </w:pPr>
            <w:r>
              <w:rPr>
                <w:sz w:val="19"/>
              </w:rPr>
              <w:t>XGBoost</w:t>
            </w:r>
          </w:p>
        </w:tc>
        <w:tc>
          <w:tcPr>
            <w:tcW w:type="dxa" w:w="1930"/>
          </w:tcPr>
          <w:p>
            <w:pPr>
              <w:spacing w:after="40"/>
            </w:pPr>
            <w:r>
              <w:rPr>
                <w:sz w:val="19"/>
              </w:rPr>
              <w:t>0.9988</w:t>
            </w:r>
          </w:p>
        </w:tc>
        <w:tc>
          <w:tcPr>
            <w:tcW w:type="dxa" w:w="1930"/>
          </w:tcPr>
          <w:p>
            <w:pPr>
              <w:spacing w:after="40"/>
            </w:pPr>
            <w:r>
              <w:rPr>
                <w:sz w:val="19"/>
              </w:rPr>
              <w:t>LightGBM 0.9987</w:t>
            </w:r>
          </w:p>
        </w:tc>
      </w:tr>
    </w:tbl>
    <w:p>
      <w:pPr>
        <w:spacing w:after="40"/>
      </w:pPr>
    </w:p>
    <w:p>
      <w:pPr>
        <w:pStyle w:val="Heading2"/>
      </w:pPr>
      <w:r>
        <w:t>7.1 Key Findings</w:t>
      </w:r>
    </w:p>
    <w:p>
      <w:pPr>
        <w:pStyle w:val="ListBullet"/>
        <w:spacing w:after="40"/>
      </w:pPr>
      <w:r>
        <w:t>Boosted trees dominate tabular intrusion detection: the deep models (MLP, CNN, LSTM, Transformer) are consistent baselines 0.7–1.4 percentage points behind at one to two orders of magnitude more training time.</w:t>
      </w:r>
    </w:p>
    <w:p>
      <w:pPr>
        <w:pStyle w:val="ListBullet"/>
        <w:spacing w:after="40"/>
      </w:pPr>
      <w:r>
        <w:t>A LightGBM multiclass divergence was root-caused from the saved boosters (unregularised leaf outputs under 40-class softmax) and fixed with reg_lambda = 1.0 — NSL-KDD F1 improved 0.775 → 0.9923 and CIC-IDS2017 0.742 → 0.9987.</w:t>
      </w:r>
    </w:p>
    <w:p>
      <w:pPr>
        <w:pStyle w:val="ListBullet"/>
        <w:spacing w:after="40"/>
      </w:pPr>
      <w:r>
        <w:t>The LightGBM OpenCL GPU limitation on CIC-IDS2017 (single-precision histograms) was isolated and documented with a validated gpu_use_dp workaround.</w:t>
      </w:r>
    </w:p>
    <w:p>
      <w:pPr>
        <w:pStyle w:val="ListBullet"/>
        <w:spacing w:after="40"/>
      </w:pPr>
      <w:r>
        <w:t>XGBoost objective reconciliation: an explicitly configured multiclass objective on a two-class dataset is switched to the equivalent binary objective automatically, with regression tests across all dataset cardinalities.</w:t>
      </w:r>
    </w:p>
    <w:p>
      <w:pPr>
        <w:pStyle w:val="ListBullet"/>
        <w:spacing w:after="40"/>
      </w:pPr>
      <w:r>
        <w:t>Every conclusion is regenerable: scripts/generate_validation_report.py rebuilds the full cross-model benchmark report from the recorded run manifests.</w:t>
      </w:r>
    </w:p>
    <w:p>
      <w:pPr>
        <w:pStyle w:val="Heading1"/>
      </w:pPr>
      <w:r>
        <w:t>8. Engine B — Network Health Prediction</w:t>
      </w:r>
    </w:p>
    <w:p>
      <w:pPr>
        <w:pStyle w:val="Heading2"/>
      </w:pPr>
      <w:r>
        <w:t>8.1 Canonical Telemetry Schema and Adapters</w:t>
      </w:r>
    </w:p>
    <w:p>
      <w:r>
        <w:rPr>
          <w:b w:val="0"/>
          <w:i w:val="0"/>
        </w:rPr>
        <w:t>Engine B consumes one canonical telemetry schema (timestamp, device, interface, counters, gauges, status). Configuration-driven adapters map raw public exports — SNMP-MIB 2016 counter dumps, LCORE-D exports or already-canonical CSVs — onto that schema via per-dataset alias tables in configs/network_health.yaml; no vendor naming is hardcoded. An --inspect mode reports inferred timestamp/label/metric columns for unknown schemas, and missing raw sources fail with a clear error rather than fabricating data.</w:t>
      </w:r>
    </w:p>
    <w:p>
      <w:pPr>
        <w:pStyle w:val="Heading2"/>
      </w:pPr>
      <w:r>
        <w:t>8.2 Validation and Preprocessing</w:t>
      </w:r>
    </w:p>
    <w:p>
      <w:r>
        <w:rPr>
          <w:b w:val="0"/>
          <w:i w:val="0"/>
        </w:rPr>
        <w:t>Telemetry validation covers required columns, timestamp parseability, numeric payloads, duplicates, missing values, impossible negatives, counter monotonicity and per-device/interface coverage. Preprocessing derives per-series counter deltas and per-second rates (counter resets clipped), applies value bounds, optionally resamples, and produces strictly chronological train/validation/test splits — random splitting is never used on time-series telemetry.</w:t>
      </w:r>
    </w:p>
    <w:p>
      <w:pPr>
        <w:pStyle w:val="Heading2"/>
      </w:pPr>
      <w:r>
        <w:t>8.3 Features and Models</w:t>
      </w:r>
    </w:p>
    <w:p>
      <w:r>
        <w:rPr>
          <w:b w:val="0"/>
          <w:i w:val="0"/>
        </w:rPr>
        <w:t>Health features are causal by construction: canonical traffic/error/discard rates, configurable rolling mean/std/max windows, lags and status-change indicators, all computed per (device, interface) series. The Isolation Forest baseline trains on healthy rows when labels exist (reporting the full supervised metric suite) and unsupervised with a quantile threshold otherwise. Experiments persist model, metrics and manifest identically to Engine A.</w:t>
      </w:r>
    </w:p>
    <w:p>
      <w:pPr>
        <w:pStyle w:val="Heading2"/>
      </w:pPr>
      <w:r>
        <w:t>8.4 Validation Results</w:t>
      </w:r>
    </w:p>
    <w:p>
      <w:r>
        <w:rPr>
          <w:b w:val="0"/>
          <w:i w:val="0"/>
        </w:rPr>
        <w:t>On telemetry with injected interface degradation the baseline achieves recall 1.0 and ROC-AUC 0.97. The industrial-syslog adapter (Section 10) additionally supplies fixed-width window features and threshold-derived weak labels from real switch logs.</w:t>
      </w:r>
    </w:p>
    <w:p>
      <w:pPr>
        <w:pStyle w:val="Heading1"/>
      </w:pPr>
      <w:r>
        <w:t>9. Engine C — Network Configuration Intelligence</w:t>
      </w:r>
    </w:p>
    <w:p>
      <w:r>
        <w:rPr>
          <w:b w:val="0"/>
          <w:i w:val="0"/>
        </w:rPr>
        <w:t>Engine C turns saved device command output into operational intelligence. It is offline and read-only: analysis never contacts a device, and remediation output is a reviewed plan, never an executed change.</w:t>
      </w:r>
    </w:p>
    <w:p>
      <w:pPr>
        <w:pStyle w:val="Heading2"/>
      </w:pPr>
      <w:r>
        <w:t>9.1 Parsing and Inventory</w:t>
      </w:r>
    </w:p>
    <w:p>
      <w:r>
        <w:rPr>
          <w:b w:val="0"/>
          <w:i w:val="0"/>
        </w:rPr>
        <w:t>Tolerant parsers handle 'show interface status', 'show vlan brief', 'show interfaces trunk', 'show spanning-tree', 'show mac address-table', 'show power inline', LLDP/CDP neighbor tables and running-config identity. Header-position slicing preserves fields with internal spaces, VLAN ranges are expanded, and missing files are warned about and skipped. A vendor pack (src/network_config/vendors/huawei.py) parses Huawei VRP 'display' output — version, device, interface brief, VLAN, STP, PoE, MAC, LLDP and current-configuration — into the same typed models, so the entire downstream pipeline consumes Huawei devices unchanged (--vendor huawei). The inventory builder merges all sources into typed per-device snapshots: devices, interfaces, VLANs, trunks, PoE, neighbors, MAC entries and STP state, with derived access/trunk classification and unused-port detection.</w:t>
      </w:r>
    </w:p>
    <w:p>
      <w:pPr>
        <w:pStyle w:val="Heading2"/>
      </w:pPr>
      <w:r>
        <w:t>9.2 Topology Discovery</w:t>
      </w:r>
    </w:p>
    <w:p>
      <w:r>
        <w:rPr>
          <w:b w:val="0"/>
          <w:i w:val="0"/>
        </w:rPr>
        <w:t>High-confidence edges come from LLDP/CDP (deduplicated across protocols; reversed duplicates collapse into one bidirectional edge with interface normalisation). MAC-table and STP evidence contribute conservative low/medium-confidence hints only. Structured topology warnings — protocol mismatch, unidirectional neighbors, trunks without neighbors, MAC-on-multiple-interfaces loop risk, STP blocking on access ports — carry severity, category, evidence and deterministic identifiers.</w:t>
      </w:r>
    </w:p>
    <w:p>
      <w:pPr>
        <w:pStyle w:val="Heading2"/>
      </w:pPr>
      <w:r>
        <w:t>9.3 Rule Engine and Findings</w:t>
      </w:r>
    </w:p>
    <w:p>
      <w:r>
        <w:rPr>
          <w:b w:val="0"/>
          <w:i w:val="0"/>
        </w:rPr>
        <w:t>A YAML-driven rule engine (configs/network_rules.yaml) evaluates the inventory and topology into structured findings across VLAN policy, port state, PoE, STP/loop risk and topology categories. Severities, thresholds, expected VLANs, keyword lists and suppressions all live in configuration. Findings carry deterministic ids, evidence, explanation, recommendation and confidence, with cautious 'candidate/possible' wording for inferred issues.</w:t>
      </w:r>
    </w:p>
    <w:p>
      <w:pPr>
        <w:pStyle w:val="Heading2"/>
      </w:pPr>
      <w:r>
        <w:t>9.4 Dry-Run Remediation and Audit</w:t>
      </w:r>
    </w:p>
    <w:p>
      <w:r>
        <w:rPr>
          <w:b w:val="0"/>
          <w:i w:val="0"/>
        </w:rPr>
        <w:t>Config-driven templates (configs/remediation.yaml) turn findings into remediation plans. Every command-bearing action includes the exact command, a rollback command, a verification command with expected result, safety checks and a risk level; findings with no safe template become explicitly blocked actions. The generator refuses to emit any change lacking a rollback or verification. A dry-run executor validates plans without executing anything (every record executed=false) and writes an append-only action_audit_log.jsonl.</w:t>
      </w:r>
    </w:p>
    <w:p>
      <w:pPr>
        <w:pStyle w:val="Heading2"/>
      </w:pPr>
      <w:r>
        <w:t>9.5 Snapshot Diff, Verification and Intelligence</w:t>
      </w:r>
    </w:p>
    <w:p>
      <w:r>
        <w:rPr>
          <w:b w:val="0"/>
          <w:i w:val="0"/>
        </w:rPr>
        <w:t>Snapshot comparison classifies findings as new/resolved/persistent across two assessments and verifies whether remediation goals were met from the after-state — returning 'unknown' rather than false confidence. The intelligence layer adds a deterministic, explainable risk score per finding, cautious root-cause hypotheses and prioritised operator action items, rendered as a consolidated report. Dashboard-ready JSON exports provide flat views (summary, inventory, topology, findings, remediation, audit, risk timeline, device health cards) for the frontends. An optional Batfish adapter cross-checks saved configurations for external validation evidence (disabled by default; no Docker required to run or test).</w:t>
      </w:r>
    </w:p>
    <w:p>
      <w:pPr>
        <w:pStyle w:val="Heading2"/>
      </w:pPr>
      <w:r>
        <w:t>9.6 Artifacts</w:t>
      </w:r>
    </w:p>
    <w:p>
      <w:pPr>
        <w:spacing w:after="0"/>
        <w:ind w:left="360"/>
      </w:pPr>
      <w:r>
        <w:rPr>
          <w:rFonts w:ascii="Consolas" w:hAnsi="Consolas"/>
          <w:sz w:val="18"/>
          <w:rFonts w:ascii="Consolas" w:hAnsi="Consolas"/>
        </w:rPr>
        <w:t>outputs/network_config/&lt;snapshot_id&gt;/</w:t>
      </w:r>
    </w:p>
    <w:p>
      <w:pPr>
        <w:spacing w:after="0"/>
        <w:ind w:left="360"/>
      </w:pPr>
      <w:r>
        <w:rPr>
          <w:rFonts w:ascii="Consolas" w:hAnsi="Consolas"/>
          <w:sz w:val="18"/>
          <w:rFonts w:ascii="Consolas" w:hAnsi="Consolas"/>
        </w:rPr>
        <w:t xml:space="preserve">  inventory.json · metadata.json · network_config_report.md</w:t>
      </w:r>
    </w:p>
    <w:p>
      <w:pPr>
        <w:spacing w:after="0"/>
        <w:ind w:left="360"/>
      </w:pPr>
      <w:r>
        <w:rPr>
          <w:rFonts w:ascii="Consolas" w:hAnsi="Consolas"/>
          <w:sz w:val="18"/>
          <w:rFonts w:ascii="Consolas" w:hAnsi="Consolas"/>
        </w:rPr>
        <w:t xml:space="preserve">  interfaces/vlans/trunks/neighbors/mac_table/poe_status/stp_state .csv</w:t>
      </w:r>
    </w:p>
    <w:p>
      <w:pPr>
        <w:spacing w:after="0"/>
        <w:ind w:left="360"/>
      </w:pPr>
      <w:r>
        <w:rPr>
          <w:rFonts w:ascii="Consolas" w:hAnsi="Consolas"/>
          <w:sz w:val="18"/>
          <w:rFonts w:ascii="Consolas" w:hAnsi="Consolas"/>
        </w:rPr>
        <w:t xml:space="preserve">  topology.json · topology_nodes.csv · topology_edges.csv · topology_warnings.csv</w:t>
      </w:r>
    </w:p>
    <w:p>
      <w:pPr>
        <w:spacing w:after="0"/>
        <w:ind w:left="360"/>
      </w:pPr>
      <w:r>
        <w:rPr>
          <w:rFonts w:ascii="Consolas" w:hAnsi="Consolas"/>
          <w:sz w:val="18"/>
          <w:rFonts w:ascii="Consolas" w:hAnsi="Consolas"/>
        </w:rPr>
        <w:t xml:space="preserve">  findings.json/.csv · rule_summary.json</w:t>
      </w:r>
    </w:p>
    <w:p>
      <w:pPr>
        <w:spacing w:after="0"/>
        <w:ind w:left="360"/>
      </w:pPr>
      <w:r>
        <w:rPr>
          <w:rFonts w:ascii="Consolas" w:hAnsi="Consolas"/>
          <w:sz w:val="18"/>
          <w:rFonts w:ascii="Consolas" w:hAnsi="Consolas"/>
        </w:rPr>
        <w:t xml:space="preserve">  remediation_plan.json/.md · remediation_commands.csv · remediation_summary.json</w:t>
      </w:r>
    </w:p>
    <w:p>
      <w:pPr>
        <w:spacing w:after="0"/>
        <w:ind w:left="360"/>
      </w:pPr>
      <w:r>
        <w:rPr>
          <w:rFonts w:ascii="Consolas" w:hAnsi="Consolas"/>
          <w:sz w:val="18"/>
          <w:rFonts w:ascii="Consolas" w:hAnsi="Consolas"/>
        </w:rPr>
        <w:t xml:space="preserve">  action_audit_log.jsonl · config_intelligence_report.md · dashboard/*.json</w:t>
      </w:r>
    </w:p>
    <w:p>
      <w:pPr>
        <w:spacing w:after="40"/>
      </w:pPr>
    </w:p>
    <w:p>
      <w:pPr>
        <w:pStyle w:val="Heading1"/>
      </w:pPr>
      <w:r>
        <w:t>10. Industrial Switch Syslog Ingestion</w:t>
      </w:r>
    </w:p>
    <w:p>
      <w:r>
        <w:rPr>
          <w:b w:val="0"/>
          <w:i w:val="0"/>
        </w:rPr>
        <w:t>The syslog subsystem parses saved Belden/DCN-style industrial switch logs — raw syslog exports and PuTTY terminal captures — into typed events feeding both Engine B and Engine C:</w:t>
      </w:r>
    </w:p>
    <w:p>
      <w:pPr>
        <w:pStyle w:val="ListBullet"/>
        <w:spacing w:after="40"/>
      </w:pPr>
      <w:r>
        <w:t>Preprocessing strips ANSI escapes, pager markers, 'show logging' headers and prompt echoes, and deduplicates exact repeats into weighted counts with a full audit trail.</w:t>
      </w:r>
    </w:p>
    <w:p>
      <w:pPr>
        <w:pStyle w:val="ListBullet"/>
        <w:spacing w:after="40"/>
      </w:pPr>
      <w:r>
        <w:t>Mnemonic-specific extractors pull interfaces, VLANs, MACs, IPs, flap counts, ERPS ring/state, SNMP users, PoE faults, power/fan/reboot and login details; unknown mnemonics still parse as generic events.</w:t>
      </w:r>
    </w:p>
    <w:p>
      <w:pPr>
        <w:pStyle w:val="ListBullet"/>
        <w:spacing w:after="40"/>
      </w:pPr>
      <w:r>
        <w:t>Engine B output: fixed 5/15-minute window features per host and interface with threshold-derived weak labels (port-flap degradation, MAC-move loop risk, SNMP auth-fail bursts, device instability) and chronological splits.</w:t>
      </w:r>
    </w:p>
    <w:p>
      <w:pPr>
        <w:pStyle w:val="ListBullet"/>
        <w:spacing w:after="40"/>
      </w:pPr>
      <w:r>
        <w:t>Engine C output: cautious detection-only findings — frequent port flapping, possible L2 loops, SNMP reconnaissance, duplicate-IP indicators, PoE shorts, ERPS churn, insecure telnet management and device health.</w:t>
      </w:r>
    </w:p>
    <w:p>
      <w:pPr>
        <w:pStyle w:val="ListBullet"/>
        <w:spacing w:after="40"/>
      </w:pPr>
      <w:r>
        <w:t>Boot-clock lines (Jan 1 1970) are flagged and excluded from feature windows; timestamps default to IST.</w:t>
      </w:r>
    </w:p>
    <w:p>
      <w:pPr>
        <w:pStyle w:val="Heading1"/>
      </w:pPr>
      <w:r>
        <w:t>11. Correlation Engine</w:t>
      </w:r>
    </w:p>
    <w:p>
      <w:r>
        <w:rPr>
          <w:b w:val="0"/>
          <w:i w:val="0"/>
        </w:rPr>
        <w:t>The correlation engine reads persisted Engine A aggregate cyber signals, Engine B network-health anomalies, Engine C findings/topology warnings/device health cards and normalised syslog signals, and groups them into unified incidents through deterministic, YAML-configured rules (configs/correlation.yaml):</w:t>
      </w:r>
    </w:p>
    <w:p>
      <w:pPr>
        <w:pStyle w:val="ListBullet"/>
        <w:spacing w:after="40"/>
      </w:pPr>
      <w:r>
        <w:t>Cross-engine rules — DoS/saturation, physical/configuration link degradation, configuration exposure, VLAN policy risk, and a single-engine high-risk fallback.</w:t>
      </w:r>
    </w:p>
    <w:p>
      <w:pPr>
        <w:pStyle w:val="ListBullet"/>
        <w:spacing w:after="40"/>
      </w:pPr>
      <w:r>
        <w:t>Syslog-aware rules — SNMP authentication campaigns, port instability, loop/redundancy instability, duplicate-IP conflicts, PoE endpoint failures, management-plane exposure and clock-integrity risk.</w:t>
      </w:r>
    </w:p>
    <w:p>
      <w:pPr>
        <w:pStyle w:val="ListBullet"/>
        <w:spacing w:after="40"/>
      </w:pPr>
      <w:r>
        <w:t>Deterministic scoring — severity and confidence are computed from evidence type and agreement; signal and incident ids are content-addressed so identical inputs always produce identical incidents.</w:t>
      </w:r>
    </w:p>
    <w:p>
      <w:pPr>
        <w:pStyle w:val="ListBullet"/>
        <w:spacing w:after="40"/>
      </w:pPr>
      <w:r>
        <w:t>Evidence honesty — aggregate signals are down-weighted so they never masquerade as per-flow alerts; unreliable-clock events reduce confidence and mark incident time as approximate; entity matching reports exact/normalized/uncertain/none.</w:t>
      </w:r>
    </w:p>
    <w:p>
      <w:pPr>
        <w:pStyle w:val="ListBullet"/>
        <w:spacing w:after="40"/>
      </w:pPr>
      <w:r>
        <w:t>Cautious wording — incidents use 'suspected/possible/consistent with'; nothing is called confirmed unless the device message itself is conclusive.</w:t>
      </w:r>
    </w:p>
    <w:p>
      <w:r>
        <w:rPr>
          <w:b w:val="0"/>
          <w:i w:val="0"/>
        </w:rPr>
        <w:t>Artifacts per run: signals.json/csv, incidents.json/csv, correlation_summary.json and an operator-facing correlation_report.md with evidence trails and time-reliability notes.</w:t>
      </w:r>
    </w:p>
    <w:p>
      <w:pPr>
        <w:pStyle w:val="Heading1"/>
      </w:pPr>
      <w:r>
        <w:t>12. Live Ingestion Layer (Read-Only)</w:t>
      </w:r>
    </w:p>
    <w:p>
      <w:pPr>
        <w:pStyle w:val="Heading2"/>
      </w:pPr>
      <w:r>
        <w:t>12.1 Architecture</w:t>
      </w:r>
    </w:p>
    <w:p>
      <w:r>
        <w:rPr>
          <w:b w:val="0"/>
          <w:i w:val="0"/>
        </w:rPr>
        <w:t>The live layer (src/live_logging/) is a unified adapter runtime: each source implements one adapter behind a common base with offline, mock and live modes. Shared services provide event normalisation into one schema, JSONL event storage, checkpointing (resume without re-ingesting), engine routing hints, credential redaction, per-source preflight checks and a polling scheduler. Every source runs in offline or mock mode by default; live mode requires enabled=true, mode=live and read_only=true in configuration plus credentials from environment variables.</w:t>
      </w:r>
    </w:p>
    <w:p>
      <w:pPr>
        <w:pStyle w:val="Heading2"/>
      </w:pPr>
      <w:r>
        <w:t>12.2 Supported Sources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b/>
                <w:sz w:val="19"/>
              </w:rPr>
              <w:t>Source</w:t>
            </w:r>
          </w:p>
        </w:tc>
        <w:tc>
          <w:tcPr>
            <w:tcW w:type="dxa" w:w="3216"/>
          </w:tcPr>
          <w:p>
            <w:pPr>
              <w:spacing w:after="40"/>
            </w:pPr>
            <w:r>
              <w:rPr>
                <w:b/>
                <w:sz w:val="19"/>
              </w:rPr>
              <w:t>Transport</w:t>
            </w:r>
          </w:p>
        </w:tc>
        <w:tc>
          <w:tcPr>
            <w:tcW w:type="dxa" w:w="3216"/>
          </w:tcPr>
          <w:p>
            <w:pPr>
              <w:spacing w:after="40"/>
            </w:pPr>
            <w:r>
              <w:rPr>
                <w:b/>
                <w:sz w:val="19"/>
              </w:rPr>
              <w:t>Notes</w:t>
            </w:r>
          </w:p>
        </w:tc>
      </w:tr>
      <w:tr>
        <w:tc>
          <w:tcPr>
            <w:tcW w:type="dxa" w:w="3216"/>
          </w:tcPr>
          <w:p>
            <w:pPr>
              <w:spacing w:after="40"/>
            </w:pPr>
            <w:r>
              <w:rPr>
                <w:sz w:val="19"/>
              </w:rPr>
              <w:t>hirschmann_snmp</w:t>
            </w:r>
          </w:p>
        </w:tc>
        <w:tc>
          <w:tcPr>
            <w:tcW w:type="dxa" w:w="3216"/>
          </w:tcPr>
          <w:p>
            <w:pPr>
              <w:spacing w:after="40"/>
            </w:pPr>
            <w:r>
              <w:rPr>
                <w:sz w:val="19"/>
              </w:rPr>
              <w:t>SNMPv3 GET (pysnmp 7)</w:t>
            </w:r>
          </w:p>
        </w:tc>
        <w:tc>
          <w:tcPr>
            <w:tcW w:type="dxa" w:w="3216"/>
          </w:tcPr>
          <w:p>
            <w:pPr>
              <w:spacing w:after="40"/>
            </w:pPr>
            <w:r>
              <w:rPr>
                <w:sz w:val="19"/>
              </w:rPr>
              <w:t>Read-only polling; profile-restricted OIDs; arbitrary OIDs rejected</w:t>
            </w:r>
          </w:p>
        </w:tc>
      </w:tr>
      <w:tr>
        <w:tc>
          <w:tcPr>
            <w:tcW w:type="dxa" w:w="3216"/>
          </w:tcPr>
          <w:p>
            <w:pPr>
              <w:spacing w:after="40"/>
            </w:pPr>
            <w:r>
              <w:rPr>
                <w:sz w:val="19"/>
              </w:rPr>
              <w:t>hirschmann_traps</w:t>
            </w:r>
          </w:p>
        </w:tc>
        <w:tc>
          <w:tcPr>
            <w:tcW w:type="dxa" w:w="3216"/>
          </w:tcPr>
          <w:p>
            <w:pPr>
              <w:spacing w:after="40"/>
            </w:pPr>
            <w:r>
              <w:rPr>
                <w:sz w:val="19"/>
              </w:rPr>
              <w:t>UDP trap receiver</w:t>
            </w:r>
          </w:p>
        </w:tc>
        <w:tc>
          <w:tcPr>
            <w:tcW w:type="dxa" w:w="3216"/>
          </w:tcPr>
          <w:p>
            <w:pPr>
              <w:spacing w:after="40"/>
            </w:pPr>
            <w:r>
              <w:rPr>
                <w:sz w:val="19"/>
              </w:rPr>
              <w:t>Source-IP allowlist</w:t>
            </w:r>
          </w:p>
        </w:tc>
      </w:tr>
      <w:tr>
        <w:tc>
          <w:tcPr>
            <w:tcW w:type="dxa" w:w="3216"/>
          </w:tcPr>
          <w:p>
            <w:pPr>
              <w:spacing w:after="40"/>
            </w:pPr>
            <w:r>
              <w:rPr>
                <w:sz w:val="19"/>
              </w:rPr>
              <w:t>hirschmann_config</w:t>
            </w:r>
          </w:p>
        </w:tc>
        <w:tc>
          <w:tcPr>
            <w:tcW w:type="dxa" w:w="3216"/>
          </w:tcPr>
          <w:p>
            <w:pPr>
              <w:spacing w:after="40"/>
            </w:pPr>
            <w:r>
              <w:rPr>
                <w:sz w:val="19"/>
              </w:rPr>
              <w:t>SSH (paramiko)</w:t>
            </w:r>
          </w:p>
        </w:tc>
        <w:tc>
          <w:tcPr>
            <w:tcW w:type="dxa" w:w="3216"/>
          </w:tcPr>
          <w:p>
            <w:pPr>
              <w:spacing w:after="40"/>
            </w:pPr>
            <w:r>
              <w:rPr>
                <w:sz w:val="19"/>
              </w:rPr>
              <w:t>Read-only 'show' allowlist; host-key verification required; startup rejected if any write capability is configured</w:t>
            </w:r>
          </w:p>
        </w:tc>
      </w:tr>
      <w:tr>
        <w:tc>
          <w:tcPr>
            <w:tcW w:type="dxa" w:w="3216"/>
          </w:tcPr>
          <w:p>
            <w:pPr>
              <w:spacing w:after="40"/>
            </w:pPr>
            <w:r>
              <w:rPr>
                <w:sz w:val="19"/>
              </w:rPr>
              <w:t>sophos_firewall_syslog</w:t>
            </w:r>
          </w:p>
        </w:tc>
        <w:tc>
          <w:tcPr>
            <w:tcW w:type="dxa" w:w="3216"/>
          </w:tcPr>
          <w:p>
            <w:pPr>
              <w:spacing w:after="40"/>
            </w:pPr>
            <w:r>
              <w:rPr>
                <w:sz w:val="19"/>
              </w:rPr>
              <w:t>UDP 5514 receiver</w:t>
            </w:r>
          </w:p>
        </w:tc>
        <w:tc>
          <w:tcPr>
            <w:tcW w:type="dxa" w:w="3216"/>
          </w:tcPr>
          <w:p>
            <w:pPr>
              <w:spacing w:after="40"/>
            </w:pPr>
            <w:r>
              <w:rPr>
                <w:sz w:val="19"/>
              </w:rPr>
              <w:t>Source-IP allowlist; no credentials needed</w:t>
            </w:r>
          </w:p>
        </w:tc>
      </w:tr>
      <w:tr>
        <w:tc>
          <w:tcPr>
            <w:tcW w:type="dxa" w:w="3216"/>
          </w:tcPr>
          <w:p>
            <w:pPr>
              <w:spacing w:after="40"/>
            </w:pPr>
            <w:r>
              <w:rPr>
                <w:sz w:val="19"/>
              </w:rPr>
              <w:t>sophos_central</w:t>
            </w:r>
          </w:p>
        </w:tc>
        <w:tc>
          <w:tcPr>
            <w:tcW w:type="dxa" w:w="3216"/>
          </w:tcPr>
          <w:p>
            <w:pPr>
              <w:spacing w:after="40"/>
            </w:pPr>
            <w:r>
              <w:rPr>
                <w:sz w:val="19"/>
              </w:rPr>
              <w:t>HTTPS SIEM API</w:t>
            </w:r>
          </w:p>
        </w:tc>
        <w:tc>
          <w:tcPr>
            <w:tcW w:type="dxa" w:w="3216"/>
          </w:tcPr>
          <w:p>
            <w:pPr>
              <w:spacing w:after="40"/>
            </w:pPr>
            <w:r>
              <w:rPr>
                <w:sz w:val="19"/>
              </w:rPr>
              <w:t>OAuth client credentials from environment; cursor checkpointing</w:t>
            </w:r>
          </w:p>
        </w:tc>
      </w:tr>
      <w:tr>
        <w:tc>
          <w:tcPr>
            <w:tcW w:type="dxa" w:w="3216"/>
          </w:tcPr>
          <w:p>
            <w:pPr>
              <w:spacing w:after="40"/>
            </w:pPr>
            <w:r>
              <w:rPr>
                <w:sz w:val="19"/>
              </w:rPr>
              <w:t>Huawei VRP retrieval</w:t>
            </w:r>
          </w:p>
        </w:tc>
        <w:tc>
          <w:tcPr>
            <w:tcW w:type="dxa" w:w="3216"/>
          </w:tcPr>
          <w:p>
            <w:pPr>
              <w:spacing w:after="40"/>
            </w:pPr>
            <w:r>
              <w:rPr>
                <w:sz w:val="19"/>
              </w:rPr>
              <w:t>SNMPv3 + read-only SSH 'display'</w:t>
            </w:r>
          </w:p>
        </w:tc>
        <w:tc>
          <w:tcPr>
            <w:tcW w:type="dxa" w:w="3216"/>
          </w:tcPr>
          <w:p>
            <w:pPr>
              <w:spacing w:after="40"/>
            </w:pPr>
            <w:r>
              <w:rPr>
                <w:sz w:val="19"/>
              </w:rPr>
              <w:t>Feeds Engine C Huawei parser directly</w:t>
            </w:r>
          </w:p>
        </w:tc>
      </w:tr>
    </w:tbl>
    <w:p>
      <w:pPr>
        <w:spacing w:after="40"/>
      </w:pPr>
    </w:p>
    <w:p>
      <w:pPr>
        <w:pStyle w:val="Heading2"/>
      </w:pPr>
      <w:r>
        <w:t>12.3 Operational Workflow and Field Validation</w:t>
      </w:r>
    </w:p>
    <w:p>
      <w:pPr>
        <w:spacing w:after="0"/>
        <w:ind w:left="360"/>
      </w:pPr>
      <w:r>
        <w:rPr>
          <w:rFonts w:ascii="Consolas" w:hAnsi="Consolas"/>
          <w:sz w:val="18"/>
          <w:rFonts w:ascii="Consolas" w:hAnsi="Consolas"/>
        </w:rPr>
        <w:t>python -m scripts.check_live_readiness --source &lt;source&gt;   # never connects</w:t>
      </w:r>
    </w:p>
    <w:p>
      <w:pPr>
        <w:spacing w:after="0"/>
        <w:ind w:left="360"/>
      </w:pPr>
      <w:r>
        <w:rPr>
          <w:rFonts w:ascii="Consolas" w:hAnsi="Consolas"/>
          <w:sz w:val="18"/>
          <w:rFonts w:ascii="Consolas" w:hAnsi="Consolas"/>
        </w:rPr>
        <w:t>python -m scripts.run_live_logger --source &lt;source&gt; --live --run-once</w:t>
      </w:r>
    </w:p>
    <w:p>
      <w:pPr>
        <w:spacing w:after="0"/>
        <w:ind w:left="360"/>
      </w:pPr>
      <w:r>
        <w:rPr>
          <w:rFonts w:ascii="Consolas" w:hAnsi="Consolas"/>
          <w:sz w:val="18"/>
          <w:rFonts w:ascii="Consolas" w:hAnsi="Consolas"/>
        </w:rPr>
        <w:t>python -m scripts.run_live_logger --scheduled --interval 60</w:t>
      </w:r>
    </w:p>
    <w:p>
      <w:pPr>
        <w:spacing w:after="40"/>
      </w:pPr>
    </w:p>
    <w:p>
      <w:r>
        <w:rPr>
          <w:b w:val="0"/>
          <w:i w:val="0"/>
        </w:rPr>
        <w:t>Readiness statuses (READY, NOT_READY, DISABLED, BLOCKED_BY_SAFETY, MISSING_DEPENDENCY, MISSING_CONFIGURATION, MISSING_CREDENTIALS) diagnose setup without printing secrets or touching a device. The layer is field-validated: a production Huawei S5720 switch is polled over read-only SNMPv3, and its configuration is retrieved over a read-only SSH account for Engine C assessment.</w:t>
      </w:r>
    </w:p>
    <w:p>
      <w:pPr>
        <w:pStyle w:val="Heading1"/>
      </w:pPr>
      <w:r>
        <w:t>13. User Interfaces</w:t>
      </w:r>
    </w:p>
    <w:p>
      <w:pPr>
        <w:pStyle w:val="Heading2"/>
      </w:pPr>
      <w:r>
        <w:t>13.1 Web Console (React + Node)</w:t>
      </w:r>
    </w:p>
    <w:p>
      <w:r>
        <w:rPr>
          <w:b w:val="0"/>
          <w:i w:val="0"/>
        </w:rPr>
        <w:t>The primary frontend is a React (Vite) single-page console backed by a Node/Express artifact API on port 8050. The API mirrors the Python loaders: it only reads persisted artifacts, resolves every path through configs/paths.yaml and returns the exact generating command when an artifact is missing. Sections: Executive Overview, Live Monitoring, Training/Testing/Validation explorer, Engine A registry, Engine B health, Engine C assessment (snapshot picker, findings, inventory, topology graph, remediation), Correlation incidents, Live Ingestion status, History and Safety. Every section header carries hover explanations; light/dark themes use a colorblind-safe palette with fixed engine colors and a reserved severity palette.</w:t>
      </w:r>
    </w:p>
    <w:p>
      <w:pPr>
        <w:pStyle w:val="Heading2"/>
      </w:pPr>
      <w:r>
        <w:t>13.2 Streamlit Operations Dashboard</w:t>
      </w:r>
    </w:p>
    <w:p>
      <w:r>
        <w:rPr>
          <w:b w:val="0"/>
          <w:i w:val="0"/>
        </w:rPr>
        <w:t>A read-only Streamlit viewer over the same artifacts provides an assessor-focused executive overview, incident explorer, Engine C assessment pages, a topology mesh, Engine B metrics, Engine A production models and a safety/audit page. Streamlit is an optional dependency — loaders and formatting carry no Streamlit imports and the test suite runs without it.</w:t>
      </w:r>
    </w:p>
    <w:p>
      <w:pPr>
        <w:pStyle w:val="Heading2"/>
      </w:pPr>
      <w:r>
        <w:t>13.3 Inference API</w:t>
      </w:r>
    </w:p>
    <w:p>
      <w:r>
        <w:rPr>
          <w:b w:val="0"/>
          <w:i w:val="0"/>
        </w:rPr>
        <w:t>The FastAPI service exposes GET /health, GET /models and POST /predict/{dataset} (CSV or JSON), serving the registry-promoted production models with full transform replay (Section 6.11).</w:t>
      </w:r>
    </w:p>
    <w:p>
      <w:pPr>
        <w:pStyle w:val="Heading1"/>
      </w:pPr>
      <w:r>
        <w:t>14. Module Implementation Phases</w:t>
      </w:r>
    </w:p>
    <w:p>
      <w:r>
        <w:rPr>
          <w:b w:val="0"/>
          <w:i w:val="0"/>
        </w:rPr>
        <w:t>The platform was built in disciplined phases, each gated on tests and review before the next began:</w:t>
      </w:r>
    </w:p>
    <w:tbl>
      <w:tblPr>
        <w:tblStyle w:val="LightGrid-Accent1"/>
        <w:tblW w:type="auto" w:w="0"/>
        <w:jc w:val="center"/>
        <w:tblLook w:firstColumn="1" w:firstRow="1" w:lastColumn="0" w:lastRow="0" w:noHBand="0" w:noVBand="1" w:val="04A0"/>
      </w:tblPr>
      <w:tblGrid>
        <w:gridCol w:w="3216"/>
        <w:gridCol w:w="3216"/>
        <w:gridCol w:w="3216"/>
      </w:tblGrid>
      <w:tr>
        <w:tc>
          <w:tcPr>
            <w:tcW w:type="dxa" w:w="2160"/>
          </w:tcPr>
          <w:p>
            <w:pPr>
              <w:spacing w:after="40"/>
            </w:pPr>
            <w:r>
              <w:rPr>
                <w:b/>
                <w:sz w:val="19"/>
              </w:rPr>
              <w:t>Phase</w:t>
            </w:r>
          </w:p>
        </w:tc>
        <w:tc>
          <w:tcPr>
            <w:tcW w:type="dxa" w:w="4752"/>
          </w:tcPr>
          <w:p>
            <w:pPr>
              <w:spacing w:after="40"/>
            </w:pPr>
            <w:r>
              <w:rPr>
                <w:b/>
                <w:sz w:val="19"/>
              </w:rPr>
              <w:t>Deliverable</w:t>
            </w:r>
          </w:p>
        </w:tc>
        <w:tc>
          <w:tcPr>
            <w:tcW w:type="dxa" w:w="2880"/>
          </w:tcPr>
          <w:p>
            <w:pPr>
              <w:spacing w:after="40"/>
            </w:pPr>
            <w:r>
              <w:rPr>
                <w:b/>
                <w:sz w:val="19"/>
              </w:rPr>
              <w:t>Key Modules</w:t>
            </w:r>
          </w:p>
        </w:tc>
      </w:tr>
      <w:tr>
        <w:tc>
          <w:tcPr>
            <w:tcW w:type="dxa" w:w="2160"/>
          </w:tcPr>
          <w:p>
            <w:pPr>
              <w:spacing w:after="40"/>
            </w:pPr>
            <w:r>
              <w:rPr>
                <w:sz w:val="19"/>
              </w:rPr>
              <w:t>1 — Foundation</w:t>
            </w:r>
          </w:p>
        </w:tc>
        <w:tc>
          <w:tcPr>
            <w:tcW w:type="dxa" w:w="4752"/>
          </w:tcPr>
          <w:p>
            <w:pPr>
              <w:spacing w:after="40"/>
            </w:pPr>
            <w:r>
              <w:rPr>
                <w:sz w:val="19"/>
              </w:rPr>
              <w:t>Repository architecture, configuration loader, structured logging, seeding, hardware detection, dataset registry</w:t>
            </w:r>
          </w:p>
        </w:tc>
        <w:tc>
          <w:tcPr>
            <w:tcW w:type="dxa" w:w="2880"/>
          </w:tcPr>
          <w:p>
            <w:pPr>
              <w:spacing w:after="40"/>
            </w:pPr>
            <w:r>
              <w:rPr>
                <w:sz w:val="19"/>
              </w:rPr>
              <w:t>src/utils, src/data/registry</w:t>
            </w:r>
          </w:p>
        </w:tc>
      </w:tr>
      <w:tr>
        <w:tc>
          <w:tcPr>
            <w:tcW w:type="dxa" w:w="2160"/>
          </w:tcPr>
          <w:p>
            <w:pPr>
              <w:spacing w:after="40"/>
            </w:pPr>
            <w:r>
              <w:rPr>
                <w:sz w:val="19"/>
              </w:rPr>
              <w:t>2 — Data Engineering</w:t>
            </w:r>
          </w:p>
        </w:tc>
        <w:tc>
          <w:tcPr>
            <w:tcW w:type="dxa" w:w="4752"/>
          </w:tcPr>
          <w:p>
            <w:pPr>
              <w:spacing w:after="40"/>
            </w:pPr>
            <w:r>
              <w:rPr>
                <w:sz w:val="19"/>
              </w:rPr>
              <w:t>Loaders, schema validation, statistics, fingerprints, audits, validation reports</w:t>
            </w:r>
          </w:p>
        </w:tc>
        <w:tc>
          <w:tcPr>
            <w:tcW w:type="dxa" w:w="2880"/>
          </w:tcPr>
          <w:p>
            <w:pPr>
              <w:spacing w:after="40"/>
            </w:pPr>
            <w:r>
              <w:rPr>
                <w:sz w:val="19"/>
              </w:rPr>
              <w:t>src/data</w:t>
            </w:r>
          </w:p>
        </w:tc>
      </w:tr>
      <w:tr>
        <w:tc>
          <w:tcPr>
            <w:tcW w:type="dxa" w:w="2160"/>
          </w:tcPr>
          <w:p>
            <w:pPr>
              <w:spacing w:after="40"/>
            </w:pPr>
            <w:r>
              <w:rPr>
                <w:sz w:val="19"/>
              </w:rPr>
              <w:t>3 — Preprocessing</w:t>
            </w:r>
          </w:p>
        </w:tc>
        <w:tc>
          <w:tcPr>
            <w:tcW w:type="dxa" w:w="4752"/>
          </w:tcPr>
          <w:p>
            <w:pPr>
              <w:spacing w:after="40"/>
            </w:pPr>
            <w:r>
              <w:rPr>
                <w:sz w:val="19"/>
              </w:rPr>
              <w:t>Cleaning, stratified splitting, encoding, scaling, manifests, leakage-free orchestration</w:t>
            </w:r>
          </w:p>
        </w:tc>
        <w:tc>
          <w:tcPr>
            <w:tcW w:type="dxa" w:w="2880"/>
          </w:tcPr>
          <w:p>
            <w:pPr>
              <w:spacing w:after="40"/>
            </w:pPr>
            <w:r>
              <w:rPr>
                <w:sz w:val="19"/>
              </w:rPr>
              <w:t>src/data/pipeline</w:t>
            </w:r>
          </w:p>
        </w:tc>
      </w:tr>
      <w:tr>
        <w:tc>
          <w:tcPr>
            <w:tcW w:type="dxa" w:w="2160"/>
          </w:tcPr>
          <w:p>
            <w:pPr>
              <w:spacing w:after="40"/>
            </w:pPr>
            <w:r>
              <w:rPr>
                <w:sz w:val="19"/>
              </w:rPr>
              <w:t>4 — Feature Engineering</w:t>
            </w:r>
          </w:p>
        </w:tc>
        <w:tc>
          <w:tcPr>
            <w:tcW w:type="dxa" w:w="4752"/>
          </w:tcPr>
          <w:p>
            <w:pPr>
              <w:spacing w:after="40"/>
            </w:pPr>
            <w:r>
              <w:rPr>
                <w:sz w:val="19"/>
              </w:rPr>
              <w:t>Variance/correlation filters, MI/chi²/ANOVA, importance, RFE, PCA, serialized selectors</w:t>
            </w:r>
          </w:p>
        </w:tc>
        <w:tc>
          <w:tcPr>
            <w:tcW w:type="dxa" w:w="2880"/>
          </w:tcPr>
          <w:p>
            <w:pPr>
              <w:spacing w:after="40"/>
            </w:pPr>
            <w:r>
              <w:rPr>
                <w:sz w:val="19"/>
              </w:rPr>
              <w:t>src/features</w:t>
            </w:r>
          </w:p>
        </w:tc>
      </w:tr>
      <w:tr>
        <w:tc>
          <w:tcPr>
            <w:tcW w:type="dxa" w:w="2160"/>
          </w:tcPr>
          <w:p>
            <w:pPr>
              <w:spacing w:after="40"/>
            </w:pPr>
            <w:r>
              <w:rPr>
                <w:sz w:val="19"/>
              </w:rPr>
              <w:t>5 — Model Framework</w:t>
            </w:r>
          </w:p>
        </w:tc>
        <w:tc>
          <w:tcPr>
            <w:tcW w:type="dxa" w:w="4752"/>
          </w:tcPr>
          <w:p>
            <w:pPr>
              <w:spacing w:after="40"/>
            </w:pPr>
            <w:r>
              <w:rPr>
                <w:sz w:val="19"/>
              </w:rPr>
              <w:t>Model interface + registry, XGBoost/LightGBM/Isolation Forest, trainer, metrics, experiment tracking, feature audit</w:t>
            </w:r>
          </w:p>
        </w:tc>
        <w:tc>
          <w:tcPr>
            <w:tcW w:type="dxa" w:w="2880"/>
          </w:tcPr>
          <w:p>
            <w:pPr>
              <w:spacing w:after="40"/>
            </w:pPr>
            <w:r>
              <w:rPr>
                <w:sz w:val="19"/>
              </w:rPr>
              <w:t>src/models, src/training</w:t>
            </w:r>
          </w:p>
        </w:tc>
      </w:tr>
      <w:tr>
        <w:tc>
          <w:tcPr>
            <w:tcW w:type="dxa" w:w="2160"/>
          </w:tcPr>
          <w:p>
            <w:pPr>
              <w:spacing w:after="40"/>
            </w:pPr>
            <w:r>
              <w:rPr>
                <w:sz w:val="19"/>
              </w:rPr>
              <w:t>6 — Deep Learning</w:t>
            </w:r>
          </w:p>
        </w:tc>
        <w:tc>
          <w:tcPr>
            <w:tcW w:type="dxa" w:w="4752"/>
          </w:tcPr>
          <w:p>
            <w:pPr>
              <w:spacing w:after="40"/>
            </w:pPr>
            <w:r>
              <w:rPr>
                <w:sz w:val="19"/>
              </w:rPr>
              <w:t>Shared PyTorch engine (AMP, early stopping, schedulers), MLP, CNN, LSTM, Transformer</w:t>
            </w:r>
          </w:p>
        </w:tc>
        <w:tc>
          <w:tcPr>
            <w:tcW w:type="dxa" w:w="2880"/>
          </w:tcPr>
          <w:p>
            <w:pPr>
              <w:spacing w:after="40"/>
            </w:pPr>
            <w:r>
              <w:rPr>
                <w:sz w:val="19"/>
              </w:rPr>
              <w:t>src/models/deep_learning</w:t>
            </w:r>
          </w:p>
        </w:tc>
      </w:tr>
      <w:tr>
        <w:tc>
          <w:tcPr>
            <w:tcW w:type="dxa" w:w="2160"/>
          </w:tcPr>
          <w:p>
            <w:pPr>
              <w:spacing w:after="40"/>
            </w:pPr>
            <w:r>
              <w:rPr>
                <w:sz w:val="19"/>
              </w:rPr>
              <w:t>7 — Diagnostics</w:t>
            </w:r>
          </w:p>
        </w:tc>
        <w:tc>
          <w:tcPr>
            <w:tcW w:type="dxa" w:w="4752"/>
          </w:tcPr>
          <w:p>
            <w:pPr>
              <w:spacing w:after="40"/>
            </w:pPr>
            <w:r>
              <w:rPr>
                <w:sz w:val="19"/>
              </w:rPr>
              <w:t>Full 7×3 benchmark, validation reporting, SHAP explainability, error analysis, visualization, Optuna optimization</w:t>
            </w:r>
          </w:p>
        </w:tc>
        <w:tc>
          <w:tcPr>
            <w:tcW w:type="dxa" w:w="2880"/>
          </w:tcPr>
          <w:p>
            <w:pPr>
              <w:spacing w:after="40"/>
            </w:pPr>
            <w:r>
              <w:rPr>
                <w:sz w:val="19"/>
              </w:rPr>
              <w:t>src/explainability, src/error_analysis, src/visualization, src/optimization</w:t>
            </w:r>
          </w:p>
        </w:tc>
      </w:tr>
      <w:tr>
        <w:tc>
          <w:tcPr>
            <w:tcW w:type="dxa" w:w="2160"/>
          </w:tcPr>
          <w:p>
            <w:pPr>
              <w:spacing w:after="40"/>
            </w:pPr>
            <w:r>
              <w:rPr>
                <w:sz w:val="19"/>
              </w:rPr>
              <w:t>8 — Serving</w:t>
            </w:r>
          </w:p>
        </w:tc>
        <w:tc>
          <w:tcPr>
            <w:tcW w:type="dxa" w:w="4752"/>
          </w:tcPr>
          <w:p>
            <w:pPr>
              <w:spacing w:after="40"/>
            </w:pPr>
            <w:r>
              <w:rPr>
                <w:sz w:val="19"/>
              </w:rPr>
              <w:t>File-based model registry, promotion, resolution, FastAPI batch inference with transform replay</w:t>
            </w:r>
          </w:p>
        </w:tc>
        <w:tc>
          <w:tcPr>
            <w:tcW w:type="dxa" w:w="2880"/>
          </w:tcPr>
          <w:p>
            <w:pPr>
              <w:spacing w:after="40"/>
            </w:pPr>
            <w:r>
              <w:rPr>
                <w:sz w:val="19"/>
              </w:rPr>
              <w:t>src/registry, src/api</w:t>
            </w:r>
          </w:p>
        </w:tc>
      </w:tr>
      <w:tr>
        <w:tc>
          <w:tcPr>
            <w:tcW w:type="dxa" w:w="2160"/>
          </w:tcPr>
          <w:p>
            <w:pPr>
              <w:spacing w:after="40"/>
            </w:pPr>
            <w:r>
              <w:rPr>
                <w:sz w:val="19"/>
              </w:rPr>
              <w:t>9 — Engine B</w:t>
            </w:r>
          </w:p>
        </w:tc>
        <w:tc>
          <w:tcPr>
            <w:tcW w:type="dxa" w:w="4752"/>
          </w:tcPr>
          <w:p>
            <w:pPr>
              <w:spacing w:after="40"/>
            </w:pPr>
            <w:r>
              <w:rPr>
                <w:sz w:val="19"/>
              </w:rPr>
              <w:t>Canonical telemetry schema, dataset adapters, chronological preprocessing, causal features, Isolation Forest baseline</w:t>
            </w:r>
          </w:p>
        </w:tc>
        <w:tc>
          <w:tcPr>
            <w:tcW w:type="dxa" w:w="2880"/>
          </w:tcPr>
          <w:p>
            <w:pPr>
              <w:spacing w:after="40"/>
            </w:pPr>
            <w:r>
              <w:rPr>
                <w:sz w:val="19"/>
              </w:rPr>
              <w:t>src/network_health</w:t>
            </w:r>
          </w:p>
        </w:tc>
      </w:tr>
      <w:tr>
        <w:tc>
          <w:tcPr>
            <w:tcW w:type="dxa" w:w="2160"/>
          </w:tcPr>
          <w:p>
            <w:pPr>
              <w:spacing w:after="40"/>
            </w:pPr>
            <w:r>
              <w:rPr>
                <w:sz w:val="19"/>
              </w:rPr>
              <w:t>10 — Engine C</w:t>
            </w:r>
          </w:p>
        </w:tc>
        <w:tc>
          <w:tcPr>
            <w:tcW w:type="dxa" w:w="4752"/>
          </w:tcPr>
          <w:p>
            <w:pPr>
              <w:spacing w:after="40"/>
            </w:pPr>
            <w:r>
              <w:rPr>
                <w:sz w:val="19"/>
              </w:rPr>
              <w:t>Parsers (Cisco + Huawei VRP), inventory, topology, rule engine, dry-run remediation, executor + audit, diff/verification, intelligence, dashboard exports, Batfish adapter, safety validator</w:t>
            </w:r>
          </w:p>
        </w:tc>
        <w:tc>
          <w:tcPr>
            <w:tcW w:type="dxa" w:w="2880"/>
          </w:tcPr>
          <w:p>
            <w:pPr>
              <w:spacing w:after="40"/>
            </w:pPr>
            <w:r>
              <w:rPr>
                <w:sz w:val="19"/>
              </w:rPr>
              <w:t>src/network_config</w:t>
            </w:r>
          </w:p>
        </w:tc>
      </w:tr>
      <w:tr>
        <w:tc>
          <w:tcPr>
            <w:tcW w:type="dxa" w:w="2160"/>
          </w:tcPr>
          <w:p>
            <w:pPr>
              <w:spacing w:after="40"/>
            </w:pPr>
            <w:r>
              <w:rPr>
                <w:sz w:val="19"/>
              </w:rPr>
              <w:t>11 — Correlation &amp; Frontends</w:t>
            </w:r>
          </w:p>
        </w:tc>
        <w:tc>
          <w:tcPr>
            <w:tcW w:type="dxa" w:w="4752"/>
          </w:tcPr>
          <w:p>
            <w:pPr>
              <w:spacing w:after="40"/>
            </w:pPr>
            <w:r>
              <w:rPr>
                <w:sz w:val="19"/>
              </w:rPr>
              <w:t>Cross-engine correlation, streaming replay monitor, Streamlit dashboard, React/Node web console, demo orchestrator</w:t>
            </w:r>
          </w:p>
        </w:tc>
        <w:tc>
          <w:tcPr>
            <w:tcW w:type="dxa" w:w="2880"/>
          </w:tcPr>
          <w:p>
            <w:pPr>
              <w:spacing w:after="40"/>
            </w:pPr>
            <w:r>
              <w:rPr>
                <w:sz w:val="19"/>
              </w:rPr>
              <w:t>src/correlation, src/streaming, src/dashboard, webapp/</w:t>
            </w:r>
          </w:p>
        </w:tc>
      </w:tr>
      <w:tr>
        <w:tc>
          <w:tcPr>
            <w:tcW w:type="dxa" w:w="2160"/>
          </w:tcPr>
          <w:p>
            <w:pPr>
              <w:spacing w:after="40"/>
            </w:pPr>
            <w:r>
              <w:rPr>
                <w:sz w:val="19"/>
              </w:rPr>
              <w:t>12 — Syslog &amp; Live Ingestion</w:t>
            </w:r>
          </w:p>
        </w:tc>
        <w:tc>
          <w:tcPr>
            <w:tcW w:type="dxa" w:w="4752"/>
          </w:tcPr>
          <w:p>
            <w:pPr>
              <w:spacing w:after="40"/>
            </w:pPr>
            <w:r>
              <w:rPr>
                <w:sz w:val="19"/>
              </w:rPr>
              <w:t>Industrial syslog parsing → events/features/findings, syslog-enhanced correlation, read-only live adapter runtime (SNMPv3, traps, syslog, SSH, SIEM API), readiness preflight, field validation</w:t>
            </w:r>
          </w:p>
        </w:tc>
        <w:tc>
          <w:tcPr>
            <w:tcW w:type="dxa" w:w="2880"/>
          </w:tcPr>
          <w:p>
            <w:pPr>
              <w:spacing w:after="40"/>
            </w:pPr>
            <w:r>
              <w:rPr>
                <w:sz w:val="19"/>
              </w:rPr>
              <w:t>src/syslog_ingestion, src/live_logging</w:t>
            </w:r>
          </w:p>
        </w:tc>
      </w:tr>
    </w:tbl>
    <w:p>
      <w:pPr>
        <w:spacing w:after="40"/>
      </w:pPr>
    </w:p>
    <w:p>
      <w:pPr>
        <w:pStyle w:val="Heading1"/>
      </w:pPr>
      <w:r>
        <w:t>15. Testing and Quality Assurance</w:t>
      </w:r>
    </w:p>
    <w:p>
      <w:pPr>
        <w:pStyle w:val="ListBullet"/>
        <w:spacing w:after="40"/>
      </w:pPr>
      <w:r>
        <w:t>70+ pytest modules under tests/ cover every package: parsing, pipelines, metrics, rules, remediation generation, execution refusal, correlation determinism, dashboard loaders, syslog extraction, live-adapter behaviour (via mock transports), redaction and safety gates.</w:t>
      </w:r>
    </w:p>
    <w:p>
      <w:pPr>
        <w:pStyle w:val="ListBullet"/>
        <w:spacing w:after="40"/>
      </w:pPr>
      <w:r>
        <w:t>No test requires live hardware, a network connection, a GPU or Streamlit — the suite is fully offline and deterministic.</w:t>
      </w:r>
    </w:p>
    <w:p>
      <w:pPr>
        <w:pStyle w:val="ListBullet"/>
        <w:spacing w:after="40"/>
      </w:pPr>
      <w:r>
        <w:t>Safety is tested explicitly: refusal to execute unconfirmed actions, refusal to start a live source with write capability configured, credential-redaction coverage and the static Engine C safety audit (validate_engine_c_safety).</w:t>
      </w:r>
    </w:p>
    <w:p>
      <w:pPr>
        <w:pStyle w:val="ListBullet"/>
        <w:spacing w:after="40"/>
      </w:pPr>
      <w:r>
        <w:t>Static tooling is configured in pyproject.toml: Black and isort (line length 88), Ruff (pycodestyle, pyflakes, isort, pyupgrade, bugbear, numpy-convention docstrings) and mypy with disallow_untyped_defs over src/ and scripts/.</w:t>
      </w:r>
    </w:p>
    <w:p>
      <w:pPr>
        <w:pStyle w:val="ListBullet"/>
        <w:spacing w:after="40"/>
      </w:pPr>
      <w:r>
        <w:t>Structured logging everywhere; print() is banned in production code; exceptions are caught narrowly, logged with context and never suppressed.</w:t>
      </w:r>
    </w:p>
    <w:p>
      <w:pPr>
        <w:pStyle w:val="Heading1"/>
      </w:pPr>
      <w:r>
        <w:t>16. Security and Safety Model</w:t>
      </w:r>
    </w:p>
    <w:p>
      <w:pPr>
        <w:pStyle w:val="ListBullet"/>
        <w:spacing w:after="40"/>
      </w:pPr>
      <w:r>
        <w:t>Read-only by construction — the codebase contains no SNMP SET, no SSH configuration mode, no write command and no remediation execution path; a static audit enforces the absence of live-device write libraries and unsafe configuration defaults.</w:t>
      </w:r>
    </w:p>
    <w:p>
      <w:pPr>
        <w:pStyle w:val="ListBullet"/>
        <w:spacing w:after="40"/>
      </w:pPr>
      <w:r>
        <w:t>Detection separated from action — remediation planning emits documents; the dry-run executor validates them and records executed=false on every audit entry.</w:t>
      </w:r>
    </w:p>
    <w:p>
      <w:pPr>
        <w:pStyle w:val="ListBullet"/>
        <w:spacing w:after="40"/>
      </w:pPr>
      <w:r>
        <w:t>Credential hygiene — secrets come exclusively from environment variables; they are never hardcoded, committed, printed, logged, stored in artifacts or accepted via CLI; local target files and known-hosts files are gitignored.</w:t>
      </w:r>
    </w:p>
    <w:p>
      <w:pPr>
        <w:pStyle w:val="ListBullet"/>
        <w:spacing w:after="40"/>
      </w:pPr>
      <w:r>
        <w:t>Transport safety — UDP receivers enforce source-IP allowlists; SSH requires host-key verification and a command allowlist; SNMP targets use predefined OID profiles and arbitrary OIDs are rejected.</w:t>
      </w:r>
    </w:p>
    <w:p>
      <w:pPr>
        <w:pStyle w:val="ListBullet"/>
        <w:spacing w:after="40"/>
      </w:pPr>
      <w:r>
        <w:t>Frontend safety — web-console live-ingestion endpoints return 403 unless explicitly enabled, and even then record intent only; no HTTP endpoint can trigger a device connection or configuration change.</w:t>
      </w:r>
    </w:p>
    <w:p>
      <w:pPr>
        <w:pStyle w:val="ListBullet"/>
        <w:spacing w:after="40"/>
      </w:pPr>
      <w:r>
        <w:t>Data hygiene — datasets, models, outputs and operator logs are never committed; raw data is immutable.</w:t>
      </w:r>
    </w:p>
    <w:p>
      <w:pPr>
        <w:pStyle w:val="Heading1"/>
      </w:pPr>
      <w:r>
        <w:t>17. Reproducibility and Experiment Tracking</w:t>
      </w:r>
    </w:p>
    <w:p>
      <w:pPr>
        <w:pStyle w:val="ListBullet"/>
        <w:spacing w:after="40"/>
      </w:pPr>
      <w:r>
        <w:t>Global seeding (random, NumPy, PyTorch) plus deterministic samplers for optimization studies.</w:t>
      </w:r>
    </w:p>
    <w:p>
      <w:pPr>
        <w:pStyle w:val="ListBullet"/>
        <w:spacing w:after="40"/>
      </w:pPr>
      <w:r>
        <w:t>Every experiment writes a unique, never-overwritten run directory with the serialized model, metrics and a manifest capturing the configuration snapshot, dataset fingerprint, hardware summary, timings and model size.</w:t>
      </w:r>
    </w:p>
    <w:p>
      <w:pPr>
        <w:pStyle w:val="ListBullet"/>
        <w:spacing w:after="40"/>
      </w:pPr>
      <w:r>
        <w:t>Parameter provenance — manifests record both configured hyperparameters and the estimator's fitted parameters, so device fallbacks and library defaults are always visible.</w:t>
      </w:r>
    </w:p>
    <w:p>
      <w:pPr>
        <w:pStyle w:val="ListBullet"/>
        <w:spacing w:after="40"/>
      </w:pPr>
      <w:r>
        <w:t>A searchable experiment index (outputs/experiments/experiment_index.csv) appends one summary row per run and is rebuildable from the manifests.</w:t>
      </w:r>
    </w:p>
    <w:p>
      <w:pPr>
        <w:pStyle w:val="ListBullet"/>
        <w:spacing w:after="40"/>
      </w:pPr>
      <w:r>
        <w:t>Reports, dashboards and the registry are derived views: rebuilding them from artifacts is idempotent and preserves registration timestamps and promotion history.</w:t>
      </w:r>
    </w:p>
    <w:p>
      <w:pPr>
        <w:pStyle w:val="Heading1"/>
      </w:pPr>
      <w:r>
        <w:t>18. Artifact and Output Inventory</w:t>
      </w:r>
    </w:p>
    <w:tbl>
      <w:tblPr>
        <w:tblStyle w:val="LightGrid-Accent1"/>
        <w:tblW w:type="auto" w:w="0"/>
        <w:jc w:val="center"/>
        <w:tblLook w:firstColumn="1" w:firstRow="1" w:lastColumn="0" w:lastRow="0" w:noHBand="0" w:noVBand="1" w:val="04A0"/>
      </w:tblPr>
      <w:tblGrid>
        <w:gridCol w:w="4824"/>
        <w:gridCol w:w="4824"/>
      </w:tblGrid>
      <w:tr>
        <w:tc>
          <w:tcPr>
            <w:tcW w:type="dxa" w:w="3744"/>
          </w:tcPr>
          <w:p>
            <w:pPr>
              <w:spacing w:after="40"/>
            </w:pPr>
            <w:r>
              <w:rPr>
                <w:b/>
                <w:sz w:val="19"/>
              </w:rPr>
              <w:t>Directory</w:t>
            </w:r>
          </w:p>
        </w:tc>
        <w:tc>
          <w:tcPr>
            <w:tcW w:type="dxa" w:w="6048"/>
          </w:tcPr>
          <w:p>
            <w:pPr>
              <w:spacing w:after="40"/>
            </w:pPr>
            <w:r>
              <w:rPr>
                <w:b/>
                <w:sz w:val="19"/>
              </w:rPr>
              <w:t>Contents</w:t>
            </w:r>
          </w:p>
        </w:tc>
      </w:tr>
      <w:tr>
        <w:tc>
          <w:tcPr>
            <w:tcW w:type="dxa" w:w="3744"/>
          </w:tcPr>
          <w:p>
            <w:pPr>
              <w:spacing w:after="40"/>
            </w:pPr>
            <w:r>
              <w:rPr>
                <w:sz w:val="19"/>
              </w:rPr>
              <w:t>outputs/preprocessing/&lt;dataset&gt;/</w:t>
            </w:r>
          </w:p>
        </w:tc>
        <w:tc>
          <w:tcPr>
            <w:tcW w:type="dxa" w:w="6048"/>
          </w:tcPr>
          <w:p>
            <w:pPr>
              <w:spacing w:after="40"/>
            </w:pPr>
            <w:r>
              <w:rPr>
                <w:sz w:val="19"/>
              </w:rPr>
              <w:t>Per-stage cleaning/encoding/scaling/split reports, preprocessing manifest</w:t>
            </w:r>
          </w:p>
        </w:tc>
      </w:tr>
      <w:tr>
        <w:tc>
          <w:tcPr>
            <w:tcW w:type="dxa" w:w="3744"/>
          </w:tcPr>
          <w:p>
            <w:pPr>
              <w:spacing w:after="40"/>
            </w:pPr>
            <w:r>
              <w:rPr>
                <w:sz w:val="19"/>
              </w:rPr>
              <w:t>outputs/processed/&lt;dataset&gt;/</w:t>
            </w:r>
          </w:p>
        </w:tc>
        <w:tc>
          <w:tcPr>
            <w:tcW w:type="dxa" w:w="6048"/>
          </w:tcPr>
          <w:p>
            <w:pPr>
              <w:spacing w:after="40"/>
            </w:pPr>
            <w:r>
              <w:rPr>
                <w:sz w:val="19"/>
              </w:rPr>
              <w:t>Train/validation/test Parquet splits</w:t>
            </w:r>
          </w:p>
        </w:tc>
      </w:tr>
      <w:tr>
        <w:tc>
          <w:tcPr>
            <w:tcW w:type="dxa" w:w="3744"/>
          </w:tcPr>
          <w:p>
            <w:pPr>
              <w:spacing w:after="40"/>
            </w:pPr>
            <w:r>
              <w:rPr>
                <w:sz w:val="19"/>
              </w:rPr>
              <w:t>outputs/artifacts/&lt;dataset&gt;/</w:t>
            </w:r>
          </w:p>
        </w:tc>
        <w:tc>
          <w:tcPr>
            <w:tcW w:type="dxa" w:w="6048"/>
          </w:tcPr>
          <w:p>
            <w:pPr>
              <w:spacing w:after="40"/>
            </w:pPr>
            <w:r>
              <w:rPr>
                <w:sz w:val="19"/>
              </w:rPr>
              <w:t>Fitted encoder, scaler, label encoder, feature selector, PCA (joblib)</w:t>
            </w:r>
          </w:p>
        </w:tc>
      </w:tr>
      <w:tr>
        <w:tc>
          <w:tcPr>
            <w:tcW w:type="dxa" w:w="3744"/>
          </w:tcPr>
          <w:p>
            <w:pPr>
              <w:spacing w:after="40"/>
            </w:pPr>
            <w:r>
              <w:rPr>
                <w:sz w:val="19"/>
              </w:rPr>
              <w:t>outputs/features/&lt;dataset&gt;/</w:t>
            </w:r>
          </w:p>
        </w:tc>
        <w:tc>
          <w:tcPr>
            <w:tcW w:type="dxa" w:w="6048"/>
          </w:tcPr>
          <w:p>
            <w:pPr>
              <w:spacing w:after="40"/>
            </w:pPr>
            <w:r>
              <w:rPr>
                <w:sz w:val="19"/>
              </w:rPr>
              <w:t>Engineered splits + feature report/metadata/selected/removed</w:t>
            </w:r>
          </w:p>
        </w:tc>
      </w:tr>
      <w:tr>
        <w:tc>
          <w:tcPr>
            <w:tcW w:type="dxa" w:w="3744"/>
          </w:tcPr>
          <w:p>
            <w:pPr>
              <w:spacing w:after="40"/>
            </w:pPr>
            <w:r>
              <w:rPr>
                <w:sz w:val="19"/>
              </w:rPr>
              <w:t>outputs/experiments/&lt;dataset&gt;/&lt;model&gt;/&lt;run&gt;/</w:t>
            </w:r>
          </w:p>
        </w:tc>
        <w:tc>
          <w:tcPr>
            <w:tcW w:type="dxa" w:w="6048"/>
          </w:tcPr>
          <w:p>
            <w:pPr>
              <w:spacing w:after="40"/>
            </w:pPr>
            <w:r>
              <w:rPr>
                <w:sz w:val="19"/>
              </w:rPr>
              <w:t>model.joblib, metrics.json, manifest.json</w:t>
            </w:r>
          </w:p>
        </w:tc>
      </w:tr>
      <w:tr>
        <w:tc>
          <w:tcPr>
            <w:tcW w:type="dxa" w:w="3744"/>
          </w:tcPr>
          <w:p>
            <w:pPr>
              <w:spacing w:after="40"/>
            </w:pPr>
            <w:r>
              <w:rPr>
                <w:sz w:val="19"/>
              </w:rPr>
              <w:t>outputs/explainability/&lt;experiment&gt;/</w:t>
            </w:r>
          </w:p>
        </w:tc>
        <w:tc>
          <w:tcPr>
            <w:tcW w:type="dxa" w:w="6048"/>
          </w:tcPr>
          <w:p>
            <w:pPr>
              <w:spacing w:after="40"/>
            </w:pPr>
            <w:r>
              <w:rPr>
                <w:sz w:val="19"/>
              </w:rPr>
              <w:t>SHAP arrays, global/local importance, summary plot</w:t>
            </w:r>
          </w:p>
        </w:tc>
      </w:tr>
      <w:tr>
        <w:tc>
          <w:tcPr>
            <w:tcW w:type="dxa" w:w="3744"/>
          </w:tcPr>
          <w:p>
            <w:pPr>
              <w:spacing w:after="40"/>
            </w:pPr>
            <w:r>
              <w:rPr>
                <w:sz w:val="19"/>
              </w:rPr>
              <w:t>outputs/error_analysis/&lt;experiment&gt;/</w:t>
            </w:r>
          </w:p>
        </w:tc>
        <w:tc>
          <w:tcPr>
            <w:tcW w:type="dxa" w:w="6048"/>
          </w:tcPr>
          <w:p>
            <w:pPr>
              <w:spacing w:after="40"/>
            </w:pPr>
            <w:r>
              <w:rPr>
                <w:sz w:val="19"/>
              </w:rPr>
              <w:t>Confusion matrix, per-class metrics, hardest classes, misclassified examples</w:t>
            </w:r>
          </w:p>
        </w:tc>
      </w:tr>
      <w:tr>
        <w:tc>
          <w:tcPr>
            <w:tcW w:type="dxa" w:w="3744"/>
          </w:tcPr>
          <w:p>
            <w:pPr>
              <w:spacing w:after="40"/>
            </w:pPr>
            <w:r>
              <w:rPr>
                <w:sz w:val="19"/>
              </w:rPr>
              <w:t>outputs/visualizations/&lt;experiment&gt;/</w:t>
            </w:r>
          </w:p>
        </w:tc>
        <w:tc>
          <w:tcPr>
            <w:tcW w:type="dxa" w:w="6048"/>
          </w:tcPr>
          <w:p>
            <w:pPr>
              <w:spacing w:after="40"/>
            </w:pPr>
            <w:r>
              <w:rPr>
                <w:sz w:val="19"/>
              </w:rPr>
              <w:t>Rendered evaluation plots + metadata</w:t>
            </w:r>
          </w:p>
        </w:tc>
      </w:tr>
      <w:tr>
        <w:tc>
          <w:tcPr>
            <w:tcW w:type="dxa" w:w="3744"/>
          </w:tcPr>
          <w:p>
            <w:pPr>
              <w:spacing w:after="40"/>
            </w:pPr>
            <w:r>
              <w:rPr>
                <w:sz w:val="19"/>
              </w:rPr>
              <w:t>outputs/optimization/&lt;study&gt;/</w:t>
            </w:r>
          </w:p>
        </w:tc>
        <w:tc>
          <w:tcPr>
            <w:tcW w:type="dxa" w:w="6048"/>
          </w:tcPr>
          <w:p>
            <w:pPr>
              <w:spacing w:after="40"/>
            </w:pPr>
            <w:r>
              <w:rPr>
                <w:sz w:val="19"/>
              </w:rPr>
              <w:t>trials.csv, best_params.json, study summary</w:t>
            </w:r>
          </w:p>
        </w:tc>
      </w:tr>
      <w:tr>
        <w:tc>
          <w:tcPr>
            <w:tcW w:type="dxa" w:w="3744"/>
          </w:tcPr>
          <w:p>
            <w:pPr>
              <w:spacing w:after="40"/>
            </w:pPr>
            <w:r>
              <w:rPr>
                <w:sz w:val="19"/>
              </w:rPr>
              <w:t>outputs/registry/</w:t>
            </w:r>
          </w:p>
        </w:tc>
        <w:tc>
          <w:tcPr>
            <w:tcW w:type="dxa" w:w="6048"/>
          </w:tcPr>
          <w:p>
            <w:pPr>
              <w:spacing w:after="40"/>
            </w:pPr>
            <w:r>
              <w:rPr>
                <w:sz w:val="19"/>
              </w:rPr>
              <w:t>registry.json, best_per_dataset.json, production.json</w:t>
            </w:r>
          </w:p>
        </w:tc>
      </w:tr>
      <w:tr>
        <w:tc>
          <w:tcPr>
            <w:tcW w:type="dxa" w:w="3744"/>
          </w:tcPr>
          <w:p>
            <w:pPr>
              <w:spacing w:after="40"/>
            </w:pPr>
            <w:r>
              <w:rPr>
                <w:sz w:val="19"/>
              </w:rPr>
              <w:t>outputs/network_health/</w:t>
            </w:r>
          </w:p>
        </w:tc>
        <w:tc>
          <w:tcPr>
            <w:tcW w:type="dxa" w:w="6048"/>
          </w:tcPr>
          <w:p>
            <w:pPr>
              <w:spacing w:after="40"/>
            </w:pPr>
            <w:r>
              <w:rPr>
                <w:sz w:val="19"/>
              </w:rPr>
              <w:t>Adapter reports, validation, processed splits, features, experiments, report</w:t>
            </w:r>
          </w:p>
        </w:tc>
      </w:tr>
      <w:tr>
        <w:tc>
          <w:tcPr>
            <w:tcW w:type="dxa" w:w="3744"/>
          </w:tcPr>
          <w:p>
            <w:pPr>
              <w:spacing w:after="40"/>
            </w:pPr>
            <w:r>
              <w:rPr>
                <w:sz w:val="19"/>
              </w:rPr>
              <w:t>outputs/network_config/&lt;snapshot&gt;/</w:t>
            </w:r>
          </w:p>
        </w:tc>
        <w:tc>
          <w:tcPr>
            <w:tcW w:type="dxa" w:w="6048"/>
          </w:tcPr>
          <w:p>
            <w:pPr>
              <w:spacing w:after="40"/>
            </w:pPr>
            <w:r>
              <w:rPr>
                <w:sz w:val="19"/>
              </w:rPr>
              <w:t>Inventory, topology, findings, remediation, audit log, intelligence report, dashboard exports</w:t>
            </w:r>
          </w:p>
        </w:tc>
      </w:tr>
      <w:tr>
        <w:tc>
          <w:tcPr>
            <w:tcW w:type="dxa" w:w="3744"/>
          </w:tcPr>
          <w:p>
            <w:pPr>
              <w:spacing w:after="40"/>
            </w:pPr>
            <w:r>
              <w:rPr>
                <w:sz w:val="19"/>
              </w:rPr>
              <w:t>outputs/syslog_ingestion/&lt;run&gt;/</w:t>
            </w:r>
          </w:p>
        </w:tc>
        <w:tc>
          <w:tcPr>
            <w:tcW w:type="dxa" w:w="6048"/>
          </w:tcPr>
          <w:p>
            <w:pPr>
              <w:spacing w:after="40"/>
            </w:pPr>
            <w:r>
              <w:rPr>
                <w:sz w:val="19"/>
              </w:rPr>
              <w:t>Events, window features, weak labels, findings, reports</w:t>
            </w:r>
          </w:p>
        </w:tc>
      </w:tr>
      <w:tr>
        <w:tc>
          <w:tcPr>
            <w:tcW w:type="dxa" w:w="3744"/>
          </w:tcPr>
          <w:p>
            <w:pPr>
              <w:spacing w:after="40"/>
            </w:pPr>
            <w:r>
              <w:rPr>
                <w:sz w:val="19"/>
              </w:rPr>
              <w:t>outputs/correlation/&lt;run&gt;/</w:t>
            </w:r>
          </w:p>
        </w:tc>
        <w:tc>
          <w:tcPr>
            <w:tcW w:type="dxa" w:w="6048"/>
          </w:tcPr>
          <w:p>
            <w:pPr>
              <w:spacing w:after="40"/>
            </w:pPr>
            <w:r>
              <w:rPr>
                <w:sz w:val="19"/>
              </w:rPr>
              <w:t>Signals, incidents, summary, operator report</w:t>
            </w:r>
          </w:p>
        </w:tc>
      </w:tr>
      <w:tr>
        <w:tc>
          <w:tcPr>
            <w:tcW w:type="dxa" w:w="3744"/>
          </w:tcPr>
          <w:p>
            <w:pPr>
              <w:spacing w:after="40"/>
            </w:pPr>
            <w:r>
              <w:rPr>
                <w:sz w:val="19"/>
              </w:rPr>
              <w:t>outputs/streaming/</w:t>
            </w:r>
          </w:p>
        </w:tc>
        <w:tc>
          <w:tcPr>
            <w:tcW w:type="dxa" w:w="6048"/>
          </w:tcPr>
          <w:p>
            <w:pPr>
              <w:spacing w:after="40"/>
            </w:pPr>
            <w:r>
              <w:rPr>
                <w:sz w:val="19"/>
              </w:rPr>
              <w:t>Append-only event log + live-monitor current state</w:t>
            </w:r>
          </w:p>
        </w:tc>
      </w:tr>
      <w:tr>
        <w:tc>
          <w:tcPr>
            <w:tcW w:type="dxa" w:w="3744"/>
          </w:tcPr>
          <w:p>
            <w:pPr>
              <w:spacing w:after="40"/>
            </w:pPr>
            <w:r>
              <w:rPr>
                <w:sz w:val="19"/>
              </w:rPr>
              <w:t>outputs/live_logging/</w:t>
            </w:r>
          </w:p>
        </w:tc>
        <w:tc>
          <w:tcPr>
            <w:tcW w:type="dxa" w:w="6048"/>
          </w:tcPr>
          <w:p>
            <w:pPr>
              <w:spacing w:after="40"/>
            </w:pPr>
            <w:r>
              <w:rPr>
                <w:sz w:val="19"/>
              </w:rPr>
              <w:t>Normalized live events (JSONL), checkpoints, ingestion reports</w:t>
            </w:r>
          </w:p>
        </w:tc>
      </w:tr>
      <w:tr>
        <w:tc>
          <w:tcPr>
            <w:tcW w:type="dxa" w:w="3744"/>
          </w:tcPr>
          <w:p>
            <w:pPr>
              <w:spacing w:after="40"/>
            </w:pPr>
            <w:r>
              <w:rPr>
                <w:sz w:val="19"/>
              </w:rPr>
              <w:t>outputs/reports/</w:t>
            </w:r>
          </w:p>
        </w:tc>
        <w:tc>
          <w:tcPr>
            <w:tcW w:type="dxa" w:w="6048"/>
          </w:tcPr>
          <w:p>
            <w:pPr>
              <w:spacing w:after="40"/>
            </w:pPr>
            <w:r>
              <w:rPr>
                <w:sz w:val="19"/>
              </w:rPr>
              <w:t>Cross-model validation report and analysis</w:t>
            </w:r>
          </w:p>
        </w:tc>
      </w:tr>
    </w:tbl>
    <w:p>
      <w:pPr>
        <w:spacing w:after="40"/>
      </w:pPr>
    </w:p>
    <w:p>
      <w:pPr>
        <w:pStyle w:val="Heading1"/>
      </w:pPr>
      <w:r>
        <w:t>19. Configuration Reference</w:t>
      </w:r>
    </w:p>
    <w:p>
      <w:r>
        <w:rPr>
          <w:b w:val="0"/>
          <w:i w:val="0"/>
        </w:rPr>
        <w:t>Each subsystem owns one YAML file under configs/. The most important:</w:t>
      </w:r>
    </w:p>
    <w:tbl>
      <w:tblPr>
        <w:tblStyle w:val="LightGrid-Accent1"/>
        <w:tblW w:type="auto" w:w="0"/>
        <w:jc w:val="center"/>
        <w:tblLook w:firstColumn="1" w:firstRow="1" w:lastColumn="0" w:lastRow="0" w:noHBand="0" w:noVBand="1" w:val="04A0"/>
      </w:tblPr>
      <w:tblGrid>
        <w:gridCol w:w="4824"/>
        <w:gridCol w:w="4824"/>
      </w:tblGrid>
      <w:tr>
        <w:tc>
          <w:tcPr>
            <w:tcW w:type="dxa" w:w="4320"/>
          </w:tcPr>
          <w:p>
            <w:pPr>
              <w:spacing w:after="40"/>
            </w:pPr>
            <w:r>
              <w:rPr>
                <w:b/>
                <w:sz w:val="19"/>
              </w:rPr>
              <w:t>File</w:t>
            </w:r>
          </w:p>
        </w:tc>
        <w:tc>
          <w:tcPr>
            <w:tcW w:type="dxa" w:w="5472"/>
          </w:tcPr>
          <w:p>
            <w:pPr>
              <w:spacing w:after="40"/>
            </w:pPr>
            <w:r>
              <w:rPr>
                <w:b/>
                <w:sz w:val="19"/>
              </w:rPr>
              <w:t>Governs</w:t>
            </w:r>
          </w:p>
        </w:tc>
      </w:tr>
      <w:tr>
        <w:tc>
          <w:tcPr>
            <w:tcW w:type="dxa" w:w="4320"/>
          </w:tcPr>
          <w:p>
            <w:pPr>
              <w:spacing w:after="40"/>
            </w:pPr>
            <w:r>
              <w:rPr>
                <w:sz w:val="19"/>
              </w:rPr>
              <w:t>data.yaml / paths.yaml</w:t>
            </w:r>
          </w:p>
        </w:tc>
        <w:tc>
          <w:tcPr>
            <w:tcW w:type="dxa" w:w="5472"/>
          </w:tcPr>
          <w:p>
            <w:pPr>
              <w:spacing w:after="40"/>
            </w:pPr>
            <w:r>
              <w:rPr>
                <w:sz w:val="19"/>
              </w:rPr>
              <w:t>Dataset registry, schemas, all filesystem locations</w:t>
            </w:r>
          </w:p>
        </w:tc>
      </w:tr>
      <w:tr>
        <w:tc>
          <w:tcPr>
            <w:tcW w:type="dxa" w:w="4320"/>
          </w:tcPr>
          <w:p>
            <w:pPr>
              <w:spacing w:after="40"/>
            </w:pPr>
            <w:r>
              <w:rPr>
                <w:sz w:val="19"/>
              </w:rPr>
              <w:t>training.yaml / deep_learning.yaml</w:t>
            </w:r>
          </w:p>
        </w:tc>
        <w:tc>
          <w:tcPr>
            <w:tcW w:type="dxa" w:w="5472"/>
          </w:tcPr>
          <w:p>
            <w:pPr>
              <w:spacing w:after="40"/>
            </w:pPr>
            <w:r>
              <w:rPr>
                <w:sz w:val="19"/>
              </w:rPr>
              <w:t>Model hyperparameters, GPU settings, training engine</w:t>
            </w:r>
          </w:p>
        </w:tc>
      </w:tr>
      <w:tr>
        <w:tc>
          <w:tcPr>
            <w:tcW w:type="dxa" w:w="4320"/>
          </w:tcPr>
          <w:p>
            <w:pPr>
              <w:spacing w:after="40"/>
            </w:pPr>
            <w:r>
              <w:rPr>
                <w:sz w:val="19"/>
              </w:rPr>
              <w:t>features.yaml</w:t>
            </w:r>
          </w:p>
        </w:tc>
        <w:tc>
          <w:tcPr>
            <w:tcW w:type="dxa" w:w="5472"/>
          </w:tcPr>
          <w:p>
            <w:pPr>
              <w:spacing w:after="40"/>
            </w:pPr>
            <w:r>
              <w:rPr>
                <w:sz w:val="19"/>
              </w:rPr>
              <w:t>Selection thresholds, methods, PCA target</w:t>
            </w:r>
          </w:p>
        </w:tc>
      </w:tr>
      <w:tr>
        <w:tc>
          <w:tcPr>
            <w:tcW w:type="dxa" w:w="4320"/>
          </w:tcPr>
          <w:p>
            <w:pPr>
              <w:spacing w:after="40"/>
            </w:pPr>
            <w:r>
              <w:rPr>
                <w:sz w:val="19"/>
              </w:rPr>
              <w:t>explainability / error_analysis / visualization.yaml</w:t>
            </w:r>
          </w:p>
        </w:tc>
        <w:tc>
          <w:tcPr>
            <w:tcW w:type="dxa" w:w="5472"/>
          </w:tcPr>
          <w:p>
            <w:pPr>
              <w:spacing w:after="40"/>
            </w:pPr>
            <w:r>
              <w:rPr>
                <w:sz w:val="19"/>
              </w:rPr>
              <w:t>Diagnostic stages</w:t>
            </w:r>
          </w:p>
        </w:tc>
      </w:tr>
      <w:tr>
        <w:tc>
          <w:tcPr>
            <w:tcW w:type="dxa" w:w="4320"/>
          </w:tcPr>
          <w:p>
            <w:pPr>
              <w:spacing w:after="40"/>
            </w:pPr>
            <w:r>
              <w:rPr>
                <w:sz w:val="19"/>
              </w:rPr>
              <w:t>optimization.yaml</w:t>
            </w:r>
          </w:p>
        </w:tc>
        <w:tc>
          <w:tcPr>
            <w:tcW w:type="dxa" w:w="5472"/>
          </w:tcPr>
          <w:p>
            <w:pPr>
              <w:spacing w:after="40"/>
            </w:pPr>
            <w:r>
              <w:rPr>
                <w:sz w:val="19"/>
              </w:rPr>
              <w:t>Study defaults, samplers, trial counts</w:t>
            </w:r>
          </w:p>
        </w:tc>
      </w:tr>
      <w:tr>
        <w:tc>
          <w:tcPr>
            <w:tcW w:type="dxa" w:w="4320"/>
          </w:tcPr>
          <w:p>
            <w:pPr>
              <w:spacing w:after="40"/>
            </w:pPr>
            <w:r>
              <w:rPr>
                <w:sz w:val="19"/>
              </w:rPr>
              <w:t>registry.yaml / api.yaml</w:t>
            </w:r>
          </w:p>
        </w:tc>
        <w:tc>
          <w:tcPr>
            <w:tcW w:type="dxa" w:w="5472"/>
          </w:tcPr>
          <w:p>
            <w:pPr>
              <w:spacing w:after="40"/>
            </w:pPr>
            <w:r>
              <w:rPr>
                <w:sz w:val="19"/>
              </w:rPr>
              <w:t>Promotion policy; serving host/port/limits</w:t>
            </w:r>
          </w:p>
        </w:tc>
      </w:tr>
      <w:tr>
        <w:tc>
          <w:tcPr>
            <w:tcW w:type="dxa" w:w="4320"/>
          </w:tcPr>
          <w:p>
            <w:pPr>
              <w:spacing w:after="40"/>
            </w:pPr>
            <w:r>
              <w:rPr>
                <w:sz w:val="19"/>
              </w:rPr>
              <w:t>network_health.yaml</w:t>
            </w:r>
          </w:p>
        </w:tc>
        <w:tc>
          <w:tcPr>
            <w:tcW w:type="dxa" w:w="5472"/>
          </w:tcPr>
          <w:p>
            <w:pPr>
              <w:spacing w:after="40"/>
            </w:pPr>
            <w:r>
              <w:rPr>
                <w:sz w:val="19"/>
              </w:rPr>
              <w:t>Telemetry schema, dataset adapters, bounds, windows</w:t>
            </w:r>
          </w:p>
        </w:tc>
      </w:tr>
      <w:tr>
        <w:tc>
          <w:tcPr>
            <w:tcW w:type="dxa" w:w="4320"/>
          </w:tcPr>
          <w:p>
            <w:pPr>
              <w:spacing w:after="40"/>
            </w:pPr>
            <w:r>
              <w:rPr>
                <w:sz w:val="19"/>
              </w:rPr>
              <w:t>network_config.yaml / network_rules.yaml / remediation.yaml</w:t>
            </w:r>
          </w:p>
        </w:tc>
        <w:tc>
          <w:tcPr>
            <w:tcW w:type="dxa" w:w="5472"/>
          </w:tcPr>
          <w:p>
            <w:pPr>
              <w:spacing w:after="40"/>
            </w:pPr>
            <w:r>
              <w:rPr>
                <w:sz w:val="19"/>
              </w:rPr>
              <w:t>Engine C inputs, rule definitions, remediation templates</w:t>
            </w:r>
          </w:p>
        </w:tc>
      </w:tr>
      <w:tr>
        <w:tc>
          <w:tcPr>
            <w:tcW w:type="dxa" w:w="4320"/>
          </w:tcPr>
          <w:p>
            <w:pPr>
              <w:spacing w:after="40"/>
            </w:pPr>
            <w:r>
              <w:rPr>
                <w:sz w:val="19"/>
              </w:rPr>
              <w:t>correlation.yaml</w:t>
            </w:r>
          </w:p>
        </w:tc>
        <w:tc>
          <w:tcPr>
            <w:tcW w:type="dxa" w:w="5472"/>
          </w:tcPr>
          <w:p>
            <w:pPr>
              <w:spacing w:after="40"/>
            </w:pPr>
            <w:r>
              <w:rPr>
                <w:sz w:val="19"/>
              </w:rPr>
              <w:t>Correlation rules, scoring, syslog gating</w:t>
            </w:r>
          </w:p>
        </w:tc>
      </w:tr>
      <w:tr>
        <w:tc>
          <w:tcPr>
            <w:tcW w:type="dxa" w:w="4320"/>
          </w:tcPr>
          <w:p>
            <w:pPr>
              <w:spacing w:after="40"/>
            </w:pPr>
            <w:r>
              <w:rPr>
                <w:sz w:val="19"/>
              </w:rPr>
              <w:t>syslog_ingestion.yaml / streaming.yaml / dashboard.yaml / webapp.yaml</w:t>
            </w:r>
          </w:p>
        </w:tc>
        <w:tc>
          <w:tcPr>
            <w:tcW w:type="dxa" w:w="5472"/>
          </w:tcPr>
          <w:p>
            <w:pPr>
              <w:spacing w:after="40"/>
            </w:pPr>
            <w:r>
              <w:rPr>
                <w:sz w:val="19"/>
              </w:rPr>
              <w:t>Syslog parsing, replay demo, dashboards</w:t>
            </w:r>
          </w:p>
        </w:tc>
      </w:tr>
      <w:tr>
        <w:tc>
          <w:tcPr>
            <w:tcW w:type="dxa" w:w="4320"/>
          </w:tcPr>
          <w:p>
            <w:pPr>
              <w:spacing w:after="40"/>
            </w:pPr>
            <w:r>
              <w:rPr>
                <w:sz w:val="19"/>
              </w:rPr>
              <w:t>live_logging.yaml / sophos_logging.yaml / hirschmann_logging.yaml</w:t>
            </w:r>
          </w:p>
        </w:tc>
        <w:tc>
          <w:tcPr>
            <w:tcW w:type="dxa" w:w="5472"/>
          </w:tcPr>
          <w:p>
            <w:pPr>
              <w:spacing w:after="40"/>
            </w:pPr>
            <w:r>
              <w:rPr>
                <w:sz w:val="19"/>
              </w:rPr>
              <w:t>Live sources, modes, safety flags, allowlists</w:t>
            </w:r>
          </w:p>
        </w:tc>
      </w:tr>
      <w:tr>
        <w:tc>
          <w:tcPr>
            <w:tcW w:type="dxa" w:w="4320"/>
          </w:tcPr>
          <w:p>
            <w:pPr>
              <w:spacing w:after="40"/>
            </w:pPr>
            <w:r>
              <w:rPr>
                <w:sz w:val="19"/>
              </w:rPr>
              <w:t>hirschmann_targets.local.yaml (gitignored)</w:t>
            </w:r>
          </w:p>
        </w:tc>
        <w:tc>
          <w:tcPr>
            <w:tcW w:type="dxa" w:w="5472"/>
          </w:tcPr>
          <w:p>
            <w:pPr>
              <w:spacing w:after="40"/>
            </w:pPr>
            <w:r>
              <w:rPr>
                <w:sz w:val="19"/>
              </w:rPr>
              <w:t>Local device targets — never committed</w:t>
            </w:r>
          </w:p>
        </w:tc>
      </w:tr>
    </w:tbl>
    <w:p>
      <w:pPr>
        <w:spacing w:after="40"/>
      </w:pPr>
    </w:p>
    <w:p>
      <w:pPr>
        <w:pStyle w:val="Heading1"/>
      </w:pPr>
      <w:r>
        <w:t>20. Conclusion</w:t>
      </w:r>
    </w:p>
    <w:p>
      <w:r>
        <w:rPr>
          <w:b w:val="0"/>
          <w:i w:val="0"/>
        </w:rPr>
        <w:t>NetSentinel demonstrates that intrusion detection, network-health prediction and configuration intelligence can be delivered as one coherent, safe, reproducible software platform. The intrusion-detection stack is benchmarked end-to-end with production models promoted per dataset and served through a transform-replaying inference API. Network-health and configuration analysis run on the same artifact-driven backbone, the correlation engine unifies their evidence into explainable incidents, and the read-only live-ingestion layer connects the platform to real infrastructure — validated against production hardware — without ever holding the ability to change it. The architecture, safety model and test discipline established here support direct extension to additional vendors, sites and evidence sources with no structural change.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NetSentinel (NIMS) — Technical Project Report</dc:title>
  <dc:subject>Network Intrusion Detection, Health Prediction &amp; Configuration Intelligence</dc:subject>
  <dc:creator>NetSentinel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