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60"/>
      </w:pPr>
      <w:r>
        <w:rPr>
          <w:rFonts w:ascii="Calibri" w:cs="Calibri" w:eastAsia="Calibri" w:hAnsi="Calibri"/>
          <w:b/>
          <w:bCs/>
          <w:color w:val="4F46E5"/>
          <w:sz w:val="56"/>
          <w:szCs w:val="56"/>
        </w:rPr>
        <w:t xml:space="preserve">SAHAY-AI</w:t>
      </w:r>
    </w:p>
    <w:p>
      <w:pPr>
        <w:spacing w:after="180"/>
      </w:pPr>
      <w:r>
        <w:rPr>
          <w:rFonts w:ascii="Calibri" w:cs="Calibri" w:eastAsia="Calibri" w:hAnsi="Calibri"/>
          <w:b/>
          <w:bCs/>
          <w:color w:val="1E293B"/>
          <w:sz w:val="36"/>
          <w:szCs w:val="36"/>
        </w:rPr>
        <w:t xml:space="preserve">SIH 2026 Deck Update Specification</w:t>
      </w:r>
    </w:p>
    <w:p>
      <w:pPr>
        <w:spacing w:after="40" w:before="0" w:line="276"/>
      </w:pPr>
      <w:r>
        <w:rPr>
          <w:rFonts w:ascii="Calibri" w:cs="Calibri" w:eastAsia="Calibri" w:hAnsi="Calibri"/>
          <w:color w:val="1E293B"/>
          <w:sz w:val="20"/>
          <w:szCs w:val="20"/>
        </w:rPr>
        <w:t xml:space="preserve">Problem Statement </w:t>
      </w:r>
      <w:r>
        <w:rPr>
          <w:rFonts w:ascii="Calibri" w:cs="Calibri" w:eastAsia="Calibri" w:hAnsi="Calibri"/>
          <w:b/>
          <w:bCs/>
          <w:color w:val="1E293B"/>
          <w:sz w:val="20"/>
          <w:szCs w:val="20"/>
        </w:rPr>
        <w:t xml:space="preserve">SIH26093</w:t>
      </w:r>
      <w:r>
        <w:rPr>
          <w:rFonts w:ascii="Calibri" w:cs="Calibri" w:eastAsia="Calibri" w:hAnsi="Calibri"/>
          <w:color w:val="1E293B"/>
          <w:sz w:val="20"/>
          <w:szCs w:val="20"/>
        </w:rPr>
        <w:t xml:space="preserve">  ·  AI-Based Real-Time Stress &amp; Trauma Assessment  ·  MedTech / BioTech / HealthTech</w:t>
      </w:r>
    </w:p>
    <w:p>
      <w:pPr>
        <w:spacing w:after="220" w:before="0" w:line="276"/>
      </w:pPr>
      <w:r>
        <w:rPr>
          <w:rFonts w:ascii="Calibri" w:cs="Calibri" w:eastAsia="Calibri" w:hAnsi="Calibri"/>
          <w:color w:val="1E293B"/>
          <w:sz w:val="20"/>
          <w:szCs w:val="20"/>
        </w:rPr>
        <w:t xml:space="preserve">Team </w:t>
      </w:r>
      <w:r>
        <w:rPr>
          <w:rFonts w:ascii="Calibri" w:cs="Calibri" w:eastAsia="Calibri" w:hAnsi="Calibri"/>
          <w:b/>
          <w:bCs/>
          <w:color w:val="1E293B"/>
          <w:sz w:val="20"/>
          <w:szCs w:val="20"/>
        </w:rPr>
        <w:t xml:space="preserve">ALT F4</w:t>
      </w:r>
      <w:r>
        <w:rPr>
          <w:rFonts w:ascii="Calibri" w:cs="Calibri" w:eastAsia="Calibri" w:hAnsi="Calibri"/>
          <w:color w:val="1E293B"/>
          <w:sz w:val="20"/>
          <w:szCs w:val="20"/>
        </w:rPr>
        <w:t xml:space="preserve">  ·  Ministry of Social Justice and Empowerment  ·  NHAA 14566</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3"/>
        <w:gridCol w:w="7451"/>
      </w:tblGrid>
      <w:tr>
        <w:trPr>
          <w:tblHeader/>
        </w:trPr>
        <w:tc>
          <w:tcPr>
            <w:tcW w:type="dxa" w:w="1863"/>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Field</w:t>
            </w:r>
          </w:p>
        </w:tc>
        <w:tc>
          <w:tcPr>
            <w:tcW w:type="dxa" w:w="7451"/>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Value</w:t>
            </w:r>
          </w:p>
        </w:tc>
      </w:tr>
      <w:tr>
        <w:tc>
          <w:tcPr>
            <w:tcW w:type="dxa" w:w="1863"/>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What this is</w:t>
            </w:r>
          </w:p>
        </w:tc>
        <w:tc>
          <w:tcPr>
            <w:tcW w:type="dxa" w:w="745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 content update list for the existing deck. Same six slides, same layouts, same visual style.</w:t>
            </w:r>
          </w:p>
        </w:tc>
      </w:tr>
      <w:tr>
        <w:tc>
          <w:tcPr>
            <w:tcW w:type="dxa" w:w="1863"/>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Working file</w:t>
            </w:r>
          </w:p>
        </w:tc>
        <w:tc>
          <w:tcPr>
            <w:tcW w:type="dxa" w:w="7451"/>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docs/SIH2026.pptx(1).pptx — rename to SIH2026_ALTF4_SIH26093.pptx</w:t>
            </w:r>
          </w:p>
        </w:tc>
      </w:tr>
      <w:tr>
        <w:tc>
          <w:tcPr>
            <w:tcW w:type="dxa" w:w="1863"/>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Governing template</w:t>
            </w:r>
          </w:p>
        </w:tc>
        <w:tc>
          <w:tcPr>
            <w:tcW w:type="dxa" w:w="745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docs/SIH2026-IDEA-Presentation-Format(3).pptx — its rules override everything in this document</w:t>
            </w:r>
          </w:p>
        </w:tc>
      </w:tr>
      <w:tr>
        <w:tc>
          <w:tcPr>
            <w:tcW w:type="dxa" w:w="1863"/>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Hard limit</w:t>
            </w:r>
          </w:p>
        </w:tc>
        <w:tc>
          <w:tcPr>
            <w:tcW w:type="dxa" w:w="7451"/>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Six slides including the title slide. No slide is added. No layout is rebuilt.</w:t>
            </w:r>
          </w:p>
        </w:tc>
      </w:tr>
      <w:tr>
        <w:tc>
          <w:tcPr>
            <w:tcW w:type="dxa" w:w="1863"/>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Format</w:t>
            </w:r>
          </w:p>
        </w:tc>
        <w:tc>
          <w:tcPr>
            <w:tcW w:type="dxa" w:w="745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Infographic: points, diagrams, icons. No paragraphs anywhere on a slide.</w:t>
            </w:r>
          </w:p>
        </w:tc>
      </w:tr>
      <w:tr>
        <w:tc>
          <w:tcPr>
            <w:tcW w:type="dxa" w:w="1863"/>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Submission</w:t>
            </w:r>
          </w:p>
        </w:tc>
        <w:tc>
          <w:tcPr>
            <w:tcW w:type="dxa" w:w="7451"/>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Export to PDF. The portal accepts PDF only.</w:t>
            </w:r>
          </w:p>
        </w:tc>
      </w:tr>
      <w:tr>
        <w:tc>
          <w:tcPr>
            <w:tcW w:type="dxa" w:w="1863"/>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Version</w:t>
            </w:r>
          </w:p>
        </w:tc>
        <w:tc>
          <w:tcPr>
            <w:tcW w:type="dxa" w:w="745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2.0 · 22 September 2026 · supersedes v1.0</w:t>
            </w:r>
          </w:p>
        </w:tc>
      </w:tr>
    </w:tbl>
    <w:p>
      <w:pPr>
        <w:spacing w:after="180" w:before="0" w:line="276"/>
      </w:pPr>
      <w:r>
        <w:rPr>
          <w:rFonts w:ascii="Calibri" w:cs="Calibri" w:eastAsia="Calibri" w:hAnsi="Calibri"/>
          <w:color w:val="1E293B"/>
          <w:sz w:val="20"/>
          <w:szCs w:val="20"/>
        </w:rPr>
        <w:t xml:space="preserve"/>
      </w:r>
    </w:p>
    <w:p>
      <w:pPr>
        <w:pStyle w:val="Heading2"/>
        <w:spacing w:after="110" w:before="250"/>
      </w:pPr>
      <w:r>
        <w:rPr>
          <w:rFonts w:ascii="Calibri" w:cs="Calibri" w:eastAsia="Calibri" w:hAnsi="Calibri"/>
          <w:b/>
          <w:bCs/>
          <w:color w:val="1E293B"/>
          <w:sz w:val="24"/>
          <w:szCs w:val="24"/>
        </w:rPr>
        <w:t xml:space="preserve">Contents</w:t>
      </w:r>
    </w:p>
    <w:p>
      <w:pPr>
        <w:spacing w:after="40" w:before="0" w:line="276"/>
        <w:ind w:left="200"/>
      </w:pPr>
      <w:r>
        <w:rPr>
          <w:rFonts w:ascii="Calibri" w:cs="Calibri" w:eastAsia="Calibri" w:hAnsi="Calibri"/>
          <w:color w:val="1E293B"/>
          <w:sz w:val="20"/>
          <w:szCs w:val="20"/>
        </w:rPr>
        <w:t xml:space="preserve">1.  Template rules that constrain every change</w:t>
      </w:r>
    </w:p>
    <w:p>
      <w:pPr>
        <w:spacing w:after="40" w:before="0" w:line="276"/>
        <w:ind w:left="200"/>
      </w:pPr>
      <w:r>
        <w:rPr>
          <w:rFonts w:ascii="Calibri" w:cs="Calibri" w:eastAsia="Calibri" w:hAnsi="Calibri"/>
          <w:color w:val="1E293B"/>
          <w:sz w:val="20"/>
          <w:szCs w:val="20"/>
        </w:rPr>
        <w:t xml:space="preserve">2.  What changes, and what deliberately does not</w:t>
      </w:r>
    </w:p>
    <w:p>
      <w:pPr>
        <w:spacing w:after="40" w:before="0" w:line="276"/>
        <w:ind w:left="200"/>
      </w:pPr>
      <w:r>
        <w:rPr>
          <w:rFonts w:ascii="Calibri" w:cs="Calibri" w:eastAsia="Calibri" w:hAnsi="Calibri"/>
          <w:color w:val="1E293B"/>
          <w:sz w:val="20"/>
          <w:szCs w:val="20"/>
        </w:rPr>
        <w:t xml:space="preserve">3.  Slide 2 — Idea and Solution</w:t>
      </w:r>
    </w:p>
    <w:p>
      <w:pPr>
        <w:spacing w:after="40" w:before="0" w:line="276"/>
        <w:ind w:left="200"/>
      </w:pPr>
      <w:r>
        <w:rPr>
          <w:rFonts w:ascii="Calibri" w:cs="Calibri" w:eastAsia="Calibri" w:hAnsi="Calibri"/>
          <w:color w:val="1E293B"/>
          <w:sz w:val="20"/>
          <w:szCs w:val="20"/>
        </w:rPr>
        <w:t xml:space="preserve">4.  Slide 3 — Technical Approach</w:t>
      </w:r>
    </w:p>
    <w:p>
      <w:pPr>
        <w:spacing w:after="40" w:before="0" w:line="276"/>
        <w:ind w:left="200"/>
      </w:pPr>
      <w:r>
        <w:rPr>
          <w:rFonts w:ascii="Calibri" w:cs="Calibri" w:eastAsia="Calibri" w:hAnsi="Calibri"/>
          <w:color w:val="1E293B"/>
          <w:sz w:val="20"/>
          <w:szCs w:val="20"/>
        </w:rPr>
        <w:t xml:space="preserve">5.  AI4Bharat Indic voices — the multilingual asset</w:t>
      </w:r>
    </w:p>
    <w:p>
      <w:pPr>
        <w:spacing w:after="40" w:before="0" w:line="276"/>
        <w:ind w:left="200"/>
      </w:pPr>
      <w:r>
        <w:rPr>
          <w:rFonts w:ascii="Calibri" w:cs="Calibri" w:eastAsia="Calibri" w:hAnsi="Calibri"/>
          <w:color w:val="1E293B"/>
          <w:sz w:val="20"/>
          <w:szCs w:val="20"/>
        </w:rPr>
        <w:t xml:space="preserve">6.  Slide 4 — Feasibility and Viability</w:t>
      </w:r>
    </w:p>
    <w:p>
      <w:pPr>
        <w:spacing w:after="40" w:before="0" w:line="276"/>
        <w:ind w:left="200"/>
      </w:pPr>
      <w:r>
        <w:rPr>
          <w:rFonts w:ascii="Calibri" w:cs="Calibri" w:eastAsia="Calibri" w:hAnsi="Calibri"/>
          <w:color w:val="1E293B"/>
          <w:sz w:val="20"/>
          <w:szCs w:val="20"/>
        </w:rPr>
        <w:t xml:space="preserve">7.  Slide 5 — Impact and Benefits</w:t>
      </w:r>
    </w:p>
    <w:p>
      <w:pPr>
        <w:spacing w:after="40" w:before="0" w:line="276"/>
        <w:ind w:left="200"/>
      </w:pPr>
      <w:r>
        <w:rPr>
          <w:rFonts w:ascii="Calibri" w:cs="Calibri" w:eastAsia="Calibri" w:hAnsi="Calibri"/>
          <w:color w:val="1E293B"/>
          <w:sz w:val="20"/>
          <w:szCs w:val="20"/>
        </w:rPr>
        <w:t xml:space="preserve">8.  Slide 6 — Research and References</w:t>
      </w:r>
    </w:p>
    <w:p>
      <w:pPr>
        <w:spacing w:after="40" w:before="0" w:line="276"/>
        <w:ind w:left="200"/>
      </w:pPr>
      <w:r>
        <w:rPr>
          <w:rFonts w:ascii="Calibri" w:cs="Calibri" w:eastAsia="Calibri" w:hAnsi="Calibri"/>
          <w:color w:val="1E293B"/>
          <w:sz w:val="20"/>
          <w:szCs w:val="20"/>
        </w:rPr>
        <w:t xml:space="preserve">9.  Infographic discipline — word budget, type, colour, export</w:t>
      </w:r>
    </w:p>
    <w:p>
      <w:pPr>
        <w:spacing w:after="40" w:before="0" w:line="276"/>
        <w:ind w:left="200"/>
      </w:pPr>
      <w:r>
        <w:rPr>
          <w:rFonts w:ascii="Calibri" w:cs="Calibri" w:eastAsia="Calibri" w:hAnsi="Calibri"/>
          <w:color w:val="1E293B"/>
          <w:sz w:val="20"/>
          <w:szCs w:val="20"/>
        </w:rPr>
        <w:t xml:space="preserve">10. Claims discipline — what we may and may not say</w:t>
      </w:r>
    </w:p>
    <w:p>
      <w:pPr>
        <w:spacing w:after="40" w:before="0" w:line="276"/>
        <w:ind w:left="200"/>
      </w:pPr>
      <w:r>
        <w:rPr>
          <w:rFonts w:ascii="Calibri" w:cs="Calibri" w:eastAsia="Calibri" w:hAnsi="Calibri"/>
          <w:color w:val="1E293B"/>
          <w:sz w:val="20"/>
          <w:szCs w:val="20"/>
        </w:rPr>
        <w:t xml:space="preserve">11. Compliance flags, corrections and priority order</w:t>
      </w:r>
    </w:p>
    <w:p>
      <w:r>
        <w:br w:type="page"/>
      </w:r>
    </w:p>
    <w:p>
      <w:pPr>
        <w:pStyle w:val="Heading1"/>
        <w:spacing w:after="150" w:before="340"/>
      </w:pPr>
      <w:r>
        <w:rPr>
          <w:rFonts w:ascii="Calibri" w:cs="Calibri" w:eastAsia="Calibri" w:hAnsi="Calibri"/>
          <w:b/>
          <w:bCs/>
          <w:color w:val="4F46E5"/>
          <w:sz w:val="30"/>
          <w:szCs w:val="30"/>
        </w:rPr>
        <w:t xml:space="preserve">1.  Template rules that constrain every change</w:t>
      </w:r>
    </w:p>
    <w:p>
      <w:pPr>
        <w:spacing w:after="120" w:before="0" w:line="276"/>
      </w:pPr>
      <w:r>
        <w:rPr>
          <w:rFonts w:ascii="Calibri" w:cs="Calibri" w:eastAsia="Calibri" w:hAnsi="Calibri"/>
          <w:color w:val="1E293B"/>
          <w:sz w:val="20"/>
          <w:szCs w:val="20"/>
        </w:rPr>
        <w:t xml:space="preserve">Taken verbatim from the instructions slide of the official format file. Every recommendation in this document is shaped to fit them.</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4"/>
        <w:gridCol w:w="6520"/>
      </w:tblGrid>
      <w:tr>
        <w:trPr>
          <w:tblHeader/>
        </w:trPr>
        <w:tc>
          <w:tcPr>
            <w:tcW w:type="dxa" w:w="2794"/>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Rule</w:t>
            </w:r>
          </w:p>
        </w:tc>
        <w:tc>
          <w:tcPr>
            <w:tcW w:type="dxa" w:w="6520"/>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Consequence for our deck</w:t>
            </w:r>
          </w:p>
        </w:tc>
      </w:tr>
      <w:tr>
        <w:tc>
          <w:tcPr>
            <w:tcW w:type="dxa" w:w="2794"/>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Maximum six slides, including the title slide</w:t>
            </w:r>
          </w:p>
        </w:tc>
        <w:tc>
          <w:tcPr>
            <w:tcW w:type="dxa" w:w="6520"/>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We already use exactly six. No architecture slide can be added. Everything new must fit inside an existing slide.</w:t>
            </w:r>
          </w:p>
        </w:tc>
      </w:tr>
      <w:tr>
        <w:tc>
          <w:tcPr>
            <w:tcW w:type="dxa" w:w="2794"/>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Avoid paragraphs; use points, diagrams, infographics, pictures</w:t>
            </w:r>
          </w:p>
        </w:tc>
        <w:tc>
          <w:tcPr>
            <w:tcW w:type="dxa" w:w="6520"/>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Every addition below is written as a chip, a card label or a diagram element — never as a sentence on the slide.</w:t>
            </w:r>
          </w:p>
        </w:tc>
      </w:tr>
      <w:tr>
        <w:tc>
          <w:tcPr>
            <w:tcW w:type="dxa" w:w="2794"/>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Keep the explanation precise and easy to understand</w:t>
            </w:r>
          </w:p>
        </w:tc>
        <w:tc>
          <w:tcPr>
            <w:tcW w:type="dxa" w:w="6520"/>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Word budgets in section 9 are hard limits, not suggestions.</w:t>
            </w:r>
          </w:p>
        </w:tc>
      </w:tr>
      <w:tr>
        <w:tc>
          <w:tcPr>
            <w:tcW w:type="dxa" w:w="2794"/>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Use only the provided template, without changing the idea-details pointers</w:t>
            </w:r>
          </w:p>
        </w:tc>
        <w:tc>
          <w:tcPr>
            <w:tcW w:type="dxa" w:w="6520"/>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The pointer lines under each slide heading must be present. Ours are currently missing — see section 11.</w:t>
            </w:r>
          </w:p>
        </w:tc>
      </w:tr>
      <w:tr>
        <w:tc>
          <w:tcPr>
            <w:tcW w:type="dxa" w:w="2794"/>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Save as PDF and upload the PDF</w:t>
            </w:r>
          </w:p>
        </w:tc>
        <w:tc>
          <w:tcPr>
            <w:tcW w:type="dxa" w:w="6520"/>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Fonts, image resolution and PDF export settings matter more than the .pptx itself. See section 9.</w:t>
            </w:r>
          </w:p>
        </w:tc>
      </w:tr>
      <w:tr>
        <w:tc>
          <w:tcPr>
            <w:tcW w:type="dxa" w:w="2794"/>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The instructions slide may be deleted before upload</w:t>
            </w:r>
          </w:p>
        </w:tc>
        <w:tc>
          <w:tcPr>
            <w:tcW w:type="dxa" w:w="6520"/>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Already done correctly in our deck.</w:t>
            </w:r>
          </w:p>
        </w:tc>
      </w:tr>
    </w:tbl>
    <w:p>
      <w:pPr>
        <w:spacing w:after="130" w:before="0" w:line="276"/>
      </w:pPr>
      <w:r>
        <w:rPr>
          <w:rFonts w:ascii="Calibri" w:cs="Calibri" w:eastAsia="Calibri" w:hAnsi="Calibri"/>
          <w:color w:val="1E293B"/>
          <w:sz w:val="20"/>
          <w:szCs w:val="20"/>
        </w:rP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c>
          <w:tcPr>
            <w:tcW w:type="dxa" w:w="9314"/>
            <w:shd w:fill="FEF3C7" w:val="clear"/>
            <w:tcMar>
              <w:top w:type="dxa" w:w="120"/>
              <w:left w:type="dxa" w:w="160"/>
              <w:bottom w:type="dxa" w:w="120"/>
              <w:right w:type="dxa" w:w="160"/>
            </w:tcMar>
          </w:tcPr>
          <w:p>
            <w:pPr>
              <w:spacing w:after="0" w:before="0" w:line="276"/>
            </w:pPr>
            <w:r>
              <w:rPr>
                <w:rFonts w:ascii="Calibri" w:cs="Calibri" w:eastAsia="Calibri" w:hAnsi="Calibri"/>
                <w:b/>
                <w:bCs/>
                <w:color w:val="92400E"/>
                <w:sz w:val="20"/>
                <w:szCs w:val="20"/>
              </w:rPr>
              <w:t xml:space="preserve">Canvas note.  </w:t>
            </w:r>
            <w:r>
              <w:rPr>
                <w:rFonts w:ascii="Calibri" w:cs="Calibri" w:eastAsia="Calibri" w:hAnsi="Calibri"/>
                <w:color w:val="1E293B"/>
                <w:sz w:val="20"/>
                <w:szCs w:val="20"/>
              </w:rPr>
              <w:t xml:space="preserve">The provided template is 12192000 x 6858000 EMU (13.333 x 7.5 in). Our deck is 18288000 x 10287000 EMU (20 x 11.25 in). Both are 16:9, so the exported PDF looks identical and nothing is cropped. It is a low risk, but the instruction says to use the provided template, so the zero-cost mitigation is to keep authoring in the provided file if the deck is ever rebuilt. Do not rebuild it now purely for this.</w:t>
            </w:r>
          </w:p>
        </w:tc>
      </w:tr>
    </w:tbl>
    <w:p>
      <w:pPr>
        <w:pStyle w:val="Heading1"/>
        <w:spacing w:after="150" w:before="340"/>
      </w:pPr>
      <w:r>
        <w:rPr>
          <w:rFonts w:ascii="Calibri" w:cs="Calibri" w:eastAsia="Calibri" w:hAnsi="Calibri"/>
          <w:b/>
          <w:bCs/>
          <w:color w:val="4F46E5"/>
          <w:sz w:val="30"/>
          <w:szCs w:val="30"/>
        </w:rPr>
        <w:t xml:space="preserve">2.  What changes, and what deliberately does not</w:t>
      </w:r>
    </w:p>
    <w:p>
      <w:pPr>
        <w:spacing w:after="120" w:before="0" w:line="276"/>
      </w:pPr>
      <w:r>
        <w:rPr>
          <w:rFonts w:ascii="Calibri" w:cs="Calibri" w:eastAsia="Calibri" w:hAnsi="Calibri"/>
          <w:color w:val="1E293B"/>
          <w:sz w:val="20"/>
          <w:szCs w:val="20"/>
        </w:rPr>
        <w:t xml:space="preserve">The existing deck looks good. The visual system — rounded cards, circular icon badges, soft shadows, the indigo and teal palette — stays exactly as it is. This is a content upgrade inside the current artwork.</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91"/>
        <w:gridCol w:w="5123"/>
      </w:tblGrid>
      <w:tr>
        <w:trPr>
          <w:tblHeader/>
        </w:trPr>
        <w:tc>
          <w:tcPr>
            <w:tcW w:type="dxa" w:w="4191"/>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Stays untouched</w:t>
            </w:r>
          </w:p>
        </w:tc>
        <w:tc>
          <w:tcPr>
            <w:tcW w:type="dxa" w:w="5123"/>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Changes</w:t>
            </w:r>
          </w:p>
        </w:tc>
      </w:tr>
      <w:tr>
        <w:tc>
          <w:tcPr>
            <w:tcW w:type="dxa" w:w="419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Six-slide structure and slide order</w:t>
            </w:r>
          </w:p>
        </w:tc>
        <w:tc>
          <w:tcPr>
            <w:tcW w:type="dxa" w:w="5123"/>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Content inside four of the six slides</w:t>
            </w:r>
          </w:p>
        </w:tc>
      </w:tr>
      <w:tr>
        <w:tc>
          <w:tcPr>
            <w:tcW w:type="dxa" w:w="4191"/>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Every layout, grid and card geometry</w:t>
            </w:r>
          </w:p>
        </w:tc>
        <w:tc>
          <w:tcPr>
            <w:tcW w:type="dxa" w:w="5123"/>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What the cards and flow nodes say</w:t>
            </w:r>
          </w:p>
        </w:tc>
      </w:tr>
      <w:tr>
        <w:tc>
          <w:tcPr>
            <w:tcW w:type="dxa" w:w="419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The palette, icon style and typography</w:t>
            </w:r>
          </w:p>
        </w:tc>
        <w:tc>
          <w:tcPr>
            <w:tcW w:type="dxa" w:w="5123"/>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One reserved accent colour for the crisis path only</w:t>
            </w:r>
          </w:p>
        </w:tc>
      </w:tr>
      <w:tr>
        <w:tc>
          <w:tcPr>
            <w:tcW w:type="dxa" w:w="4191"/>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Slide 2 four-step journey strip</w:t>
            </w:r>
          </w:p>
        </w:tc>
        <w:tc>
          <w:tcPr>
            <w:tcW w:type="dxa" w:w="5123"/>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Two elements added to it: a consent gate and a crisis branch</w:t>
            </w:r>
          </w:p>
        </w:tc>
      </w:tr>
      <w:tr>
        <w:tc>
          <w:tcPr>
            <w:tcW w:type="dxa" w:w="419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Slide 3 numbered flow and central hub</w:t>
            </w:r>
          </w:p>
        </w:tc>
        <w:tc>
          <w:tcPr>
            <w:tcW w:type="dxa" w:w="5123"/>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 crisis interrupt added, the two parallel paths labelled, a role-filter chip, a thin infrastructure strip along the foot</w:t>
            </w:r>
          </w:p>
        </w:tc>
      </w:tr>
      <w:tr>
        <w:tc>
          <w:tcPr>
            <w:tcW w:type="dxa" w:w="4191"/>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Slide 3 tech stack column</w:t>
            </w:r>
          </w:p>
        </w:tc>
        <w:tc>
          <w:tcPr>
            <w:tcW w:type="dxa" w:w="5123"/>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Subtitles replaced with reasons; two tiles added</w:t>
            </w:r>
          </w:p>
        </w:tc>
      </w:tr>
      <w:tr>
        <w:tc>
          <w:tcPr>
            <w:tcW w:type="dxa" w:w="419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Slide 4 card grid</w:t>
            </w:r>
          </w:p>
        </w:tc>
        <w:tc>
          <w:tcPr>
            <w:tcW w:type="dxa" w:w="5123"/>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One card added, four cards reworded</w:t>
            </w:r>
          </w:p>
        </w:tc>
      </w:tr>
      <w:tr>
        <w:tc>
          <w:tcPr>
            <w:tcW w:type="dxa" w:w="4191"/>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Slide 5 comparison table and stakeholder cards</w:t>
            </w:r>
          </w:p>
        </w:tc>
        <w:tc>
          <w:tcPr>
            <w:tcW w:type="dxa" w:w="5123"/>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The bottom strip becomes the executive decision flow; a metrics row is added</w:t>
            </w:r>
          </w:p>
        </w:tc>
      </w:tr>
    </w:tbl>
    <w:p>
      <w:pPr>
        <w:spacing w:after="130" w:before="0" w:line="276"/>
      </w:pPr>
      <w:r>
        <w:rPr>
          <w:rFonts w:ascii="Calibri" w:cs="Calibri" w:eastAsia="Calibri" w:hAnsi="Calibri"/>
          <w:color w:val="1E293B"/>
          <w:sz w:val="20"/>
          <w:szCs w:val="20"/>
        </w:rP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c>
          <w:tcPr>
            <w:tcW w:type="dxa" w:w="9314"/>
            <w:shd w:fill="E0E7FF" w:val="clear"/>
            <w:tcMar>
              <w:top w:type="dxa" w:w="120"/>
              <w:left w:type="dxa" w:w="160"/>
              <w:bottom w:type="dxa" w:w="120"/>
              <w:right w:type="dxa" w:w="160"/>
            </w:tcMar>
          </w:tcPr>
          <w:p>
            <w:pPr>
              <w:spacing w:after="0" w:before="0" w:line="276"/>
            </w:pPr>
            <w:r>
              <w:rPr>
                <w:rFonts w:ascii="Calibri" w:cs="Calibri" w:eastAsia="Calibri" w:hAnsi="Calibri"/>
                <w:b/>
                <w:bCs/>
                <w:color w:val="312E81"/>
                <w:sz w:val="20"/>
                <w:szCs w:val="20"/>
              </w:rPr>
              <w:t xml:space="preserve">The test for every change.  </w:t>
            </w:r>
            <w:r>
              <w:rPr>
                <w:rFonts w:ascii="Calibri" w:cs="Calibri" w:eastAsia="Calibri" w:hAnsi="Calibri"/>
                <w:color w:val="1E293B"/>
                <w:sz w:val="20"/>
                <w:szCs w:val="20"/>
              </w:rPr>
              <w:t xml:space="preserve">If a judge who saw the old deck and the new deck side by side would call it "the same deck, better", the change is in scope. If they would call it "a different deck", it is not.</w:t>
            </w:r>
          </w:p>
        </w:tc>
      </w:tr>
    </w:tbl>
    <w:p>
      <w:pPr>
        <w:spacing w:after="130" w:before="0" w:line="276"/>
      </w:pPr>
      <w:r>
        <w:rPr>
          <w:rFonts w:ascii="Calibri" w:cs="Calibri" w:eastAsia="Calibri" w:hAnsi="Calibri"/>
          <w:color w:val="1E293B"/>
          <w:sz w:val="20"/>
          <w:szCs w:val="20"/>
        </w:rPr>
        <w:t xml:space="preserve"/>
      </w:r>
    </w:p>
    <w:p>
      <w:pPr>
        <w:pStyle w:val="Heading3"/>
        <w:spacing w:after="100" w:before="200"/>
      </w:pPr>
      <w:r>
        <w:rPr>
          <w:rFonts w:ascii="Calibri" w:cs="Calibri" w:eastAsia="Calibri" w:hAnsi="Calibri"/>
          <w:b/>
          <w:bCs/>
          <w:color w:val="64748B"/>
          <w:sz w:val="21"/>
          <w:szCs w:val="21"/>
        </w:rPr>
        <w:t xml:space="preserve">The four things the deck is currently missing</w:t>
      </w:r>
    </w:p>
    <w:p>
      <w:pPr>
        <w:spacing w:after="120" w:before="0" w:line="276"/>
      </w:pPr>
      <w:r>
        <w:rPr>
          <w:rFonts w:ascii="Calibri" w:cs="Calibri" w:eastAsia="Calibri" w:hAnsi="Calibri"/>
          <w:color w:val="1E293B"/>
          <w:sz w:val="20"/>
          <w:szCs w:val="20"/>
        </w:rPr>
        <w:t xml:space="preserve">Everything below exists to add these, and nothing else:</w:t>
      </w:r>
    </w:p>
    <w:p>
      <w:pPr>
        <w:pStyle w:val="ListParagraph"/>
        <w:numPr>
          <w:ilvl w:val="0"/>
          <w:numId w:val="2"/>
        </w:numPr>
        <w:spacing w:after="70" w:line="264"/>
      </w:pPr>
      <w:r>
        <w:rPr>
          <w:rFonts w:ascii="Calibri" w:cs="Calibri" w:eastAsia="Calibri" w:hAnsi="Calibri"/>
          <w:color w:val="1E293B"/>
          <w:sz w:val="20"/>
          <w:szCs w:val="20"/>
        </w:rPr>
        <w:t xml:space="preserve">The crisis interrupt. Self-harm or immediate-danger language forces a fixed script, Critical priority and immediate human takeover, before any normal dialogue logic runs. This is the strongest safety claim in the project and it appears nowhere in the deck.</w:t>
      </w:r>
    </w:p>
    <w:p>
      <w:pPr>
        <w:pStyle w:val="ListParagraph"/>
        <w:numPr>
          <w:ilvl w:val="0"/>
          <w:numId w:val="2"/>
        </w:numPr>
        <w:spacing w:after="70" w:line="264"/>
      </w:pPr>
      <w:r>
        <w:rPr>
          <w:rFonts w:ascii="Calibri" w:cs="Calibri" w:eastAsia="Calibri" w:hAnsi="Calibri"/>
          <w:color w:val="1E293B"/>
          <w:sz w:val="20"/>
          <w:szCs w:val="20"/>
        </w:rPr>
        <w:t xml:space="preserve">The privacy boundary. The victim client never receives a score, band, dimension, emotion or alert. Enforced on the server, not in the app.</w:t>
      </w:r>
    </w:p>
    <w:p>
      <w:pPr>
        <w:pStyle w:val="ListParagraph"/>
        <w:numPr>
          <w:ilvl w:val="0"/>
          <w:numId w:val="2"/>
        </w:numPr>
        <w:spacing w:after="70" w:line="264"/>
      </w:pPr>
      <w:r>
        <w:rPr>
          <w:rFonts w:ascii="Calibri" w:cs="Calibri" w:eastAsia="Calibri" w:hAnsi="Calibri"/>
          <w:color w:val="1E293B"/>
          <w:sz w:val="20"/>
          <w:szCs w:val="20"/>
        </w:rPr>
        <w:t xml:space="preserve">The multilingual scale answer. AI4Bharat Indic voices and models give a named, Indian, open path to the 22 scheduled languages. See section 5.</w:t>
      </w:r>
    </w:p>
    <w:p>
      <w:pPr>
        <w:pStyle w:val="ListParagraph"/>
        <w:numPr>
          <w:ilvl w:val="0"/>
          <w:numId w:val="2"/>
        </w:numPr>
        <w:spacing w:after="70" w:line="264"/>
      </w:pPr>
      <w:r>
        <w:rPr>
          <w:rFonts w:ascii="Calibri" w:cs="Calibri" w:eastAsia="Calibri" w:hAnsi="Calibri"/>
          <w:color w:val="1E293B"/>
          <w:sz w:val="20"/>
          <w:szCs w:val="20"/>
        </w:rPr>
        <w:t xml:space="preserve">The deployment and data-sovereignty answer. India-resident, portable, no vendor lock-in.</w:t>
      </w:r>
    </w:p>
    <w:p>
      <w:r>
        <w:br w:type="page"/>
      </w:r>
    </w:p>
    <w:p>
      <w:pPr>
        <w:pStyle w:val="Heading1"/>
        <w:spacing w:after="150" w:before="340"/>
      </w:pPr>
      <w:r>
        <w:rPr>
          <w:rFonts w:ascii="Calibri" w:cs="Calibri" w:eastAsia="Calibri" w:hAnsi="Calibri"/>
          <w:b/>
          <w:bCs/>
          <w:color w:val="4F46E5"/>
          <w:sz w:val="30"/>
          <w:szCs w:val="30"/>
        </w:rPr>
        <w:t xml:space="preserve">3.  Slide 2 — Idea and Solution</w:t>
      </w:r>
    </w:p>
    <w:p>
      <w:pPr>
        <w:spacing w:after="120" w:before="0" w:line="276"/>
      </w:pPr>
      <w:r>
        <w:rPr>
          <w:rFonts w:ascii="Calibri" w:cs="Calibri" w:eastAsia="Calibri" w:hAnsi="Calibri"/>
          <w:color w:val="1E293B"/>
          <w:sz w:val="20"/>
          <w:szCs w:val="20"/>
        </w:rPr>
        <w:t xml:space="preserve">The four-step strip — VICTIM SPEAKS, SAHAY-AI LISTENS, AI ASSESSES, HUMAN RESPONSE — is good and stays. Two elements are inserted into it, and the labels are tightened.</w:t>
      </w:r>
    </w:p>
    <w:p>
      <w:pPr>
        <w:pStyle w:val="Heading3"/>
        <w:spacing w:after="100" w:before="200"/>
      </w:pPr>
      <w:r>
        <w:rPr>
          <w:rFonts w:ascii="Calibri" w:cs="Calibri" w:eastAsia="Calibri" w:hAnsi="Calibri"/>
          <w:b/>
          <w:bCs/>
          <w:color w:val="64748B"/>
          <w:sz w:val="21"/>
          <w:szCs w:val="21"/>
        </w:rPr>
        <w:t xml:space="preserve">Change 3.1 — insert a consent gate between step 1 and step 2</w:t>
      </w:r>
    </w:p>
    <w:p>
      <w:pPr>
        <w:spacing w:after="120" w:before="0" w:line="276"/>
      </w:pPr>
      <w:r>
        <w:rPr>
          <w:rFonts w:ascii="Calibri" w:cs="Calibri" w:eastAsia="Calibri" w:hAnsi="Calibri"/>
          <w:color w:val="1E293B"/>
          <w:sz w:val="20"/>
          <w:szCs w:val="20"/>
        </w:rPr>
        <w:t xml:space="preserve">A small shield chip on the connector, not a fifth card. Three words plus an icon:</w:t>
      </w:r>
    </w:p>
    <w:p>
      <w:pPr>
        <w:shd w:fill="F1F5F9" w:val="clear"/>
        <w:spacing w:after="0" w:before="60" w:line="200"/>
      </w:pPr>
      <w:r>
        <w:rPr>
          <w:rFonts w:ascii="Consolas" w:cs="Consolas" w:eastAsia="Consolas" w:hAnsi="Consolas"/>
          <w:color w:val="0F172A"/>
          <w:sz w:val="15"/>
          <w:szCs w:val="15"/>
        </w:rPr>
        <w:t xml:space="preserve">CONSENT + AI DISCLOSURE</w:t>
      </w:r>
    </w:p>
    <w:p>
      <w:pPr>
        <w:shd w:fill="F1F5F9" w:val="clear"/>
        <w:spacing w:after="0" w:before="0" w:line="200"/>
      </w:pPr>
      <w:r>
        <w:rPr>
          <w:rFonts w:ascii="Consolas" w:cs="Consolas" w:eastAsia="Consolas" w:hAnsi="Consolas"/>
          <w:color w:val="0F172A"/>
          <w:sz w:val="15"/>
          <w:szCs w:val="15"/>
        </w:rPr>
        <w:t xml:space="preserve">  "You are speaking with an AI. A human officer reviews everything.</w:t>
      </w:r>
    </w:p>
    <w:p>
      <w:pPr>
        <w:shd w:fill="F1F5F9" w:val="clear"/>
        <w:spacing w:after="0" w:before="0" w:line="200"/>
      </w:pPr>
      <w:r>
        <w:rPr>
          <w:rFonts w:ascii="Consolas" w:cs="Consolas" w:eastAsia="Consolas" w:hAnsi="Consolas"/>
          <w:color w:val="0F172A"/>
          <w:sz w:val="15"/>
          <w:szCs w:val="15"/>
        </w:rPr>
        <w:t xml:space="preserve">   You can ask for a person at any time."          [chip text: 3 lines max]</w:t>
      </w:r>
    </w:p>
    <w:p>
      <w:pPr>
        <w:pStyle w:val="Heading3"/>
        <w:spacing w:after="100" w:before="200"/>
      </w:pPr>
      <w:r>
        <w:rPr>
          <w:rFonts w:ascii="Calibri" w:cs="Calibri" w:eastAsia="Calibri" w:hAnsi="Calibri"/>
          <w:b/>
          <w:bCs/>
          <w:color w:val="64748B"/>
          <w:sz w:val="21"/>
          <w:szCs w:val="21"/>
        </w:rPr>
        <w:t xml:space="preserve">Change 3.2 — add the crisis branch below the strip</w:t>
      </w:r>
    </w:p>
    <w:p>
      <w:pPr>
        <w:spacing w:after="120" w:before="0" w:line="276"/>
      </w:pPr>
      <w:r>
        <w:rPr>
          <w:rFonts w:ascii="Calibri" w:cs="Calibri" w:eastAsia="Calibri" w:hAnsi="Calibri"/>
          <w:color w:val="1E293B"/>
          <w:sz w:val="20"/>
          <w:szCs w:val="20"/>
        </w:rPr>
        <w:t xml:space="preserve">One horizontal callout bar in the reserved crisis colour, spanning the width under the four steps, with an upward arrow touching every step to show it can fire from any of them.</w:t>
      </w:r>
    </w:p>
    <w:p>
      <w:pPr>
        <w:shd w:fill="F1F5F9" w:val="clear"/>
        <w:spacing w:after="0" w:before="60" w:line="200"/>
      </w:pPr>
      <w:r>
        <w:rPr>
          <w:rFonts w:ascii="Consolas" w:cs="Consolas" w:eastAsia="Consolas" w:hAnsi="Consolas"/>
          <w:color w:val="0F172A"/>
          <w:sz w:val="15"/>
          <w:szCs w:val="15"/>
        </w:rPr>
        <w:t xml:space="preserve">CRISIS DETECTED  -&gt;  fixed approved script  -&gt;  HUMAN, IMMEDIATELY</w:t>
      </w:r>
    </w:p>
    <w:p>
      <w:pPr>
        <w:shd w:fill="F1F5F9" w:val="clear"/>
        <w:spacing w:after="0" w:before="0" w:line="200"/>
      </w:pPr>
      <w:r>
        <w:rPr>
          <w:rFonts w:ascii="Consolas" w:cs="Consolas" w:eastAsia="Consolas" w:hAnsi="Consolas"/>
          <w:color w:val="0F172A"/>
          <w:sz w:val="15"/>
          <w:szCs w:val="15"/>
        </w:rPr>
        <w:t xml:space="preserve">checked before any other logic, on every single turn</w:t>
      </w:r>
    </w:p>
    <w:p>
      <w:pPr>
        <w:pStyle w:val="Heading3"/>
        <w:spacing w:after="100" w:before="200"/>
      </w:pPr>
      <w:r>
        <w:rPr>
          <w:rFonts w:ascii="Calibri" w:cs="Calibri" w:eastAsia="Calibri" w:hAnsi="Calibri"/>
          <w:b/>
          <w:bCs/>
          <w:color w:val="64748B"/>
          <w:sz w:val="21"/>
          <w:szCs w:val="21"/>
        </w:rPr>
        <w:t xml:space="preserve">Change 3.3 — tighten the four existing step labels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5"/>
        <w:gridCol w:w="4098"/>
        <w:gridCol w:w="4471"/>
      </w:tblGrid>
      <w:tr>
        <w:trPr>
          <w:tblHeader/>
        </w:trPr>
        <w:tc>
          <w:tcPr>
            <w:tcW w:type="dxa" w:w="745"/>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Step</w:t>
            </w:r>
          </w:p>
        </w:tc>
        <w:tc>
          <w:tcPr>
            <w:tcW w:type="dxa" w:w="4098"/>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Current</w:t>
            </w:r>
          </w:p>
        </w:tc>
        <w:tc>
          <w:tcPr>
            <w:tcW w:type="dxa" w:w="4471"/>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Replace with</w:t>
            </w:r>
          </w:p>
        </w:tc>
      </w:tr>
      <w:tr>
        <w:tc>
          <w:tcPr>
            <w:tcW w:type="dxa" w:w="745"/>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1</w:t>
            </w:r>
          </w:p>
        </w:tc>
        <w:tc>
          <w:tcPr>
            <w:tcW w:type="dxa" w:w="4098"/>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VICTIM SPEAKS — Voice or chat in their own language</w:t>
            </w:r>
          </w:p>
        </w:tc>
        <w:tc>
          <w:tcPr>
            <w:tcW w:type="dxa" w:w="447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VICTIM SPEAKS — Voice or chat, in their own language, once</w:t>
            </w:r>
          </w:p>
        </w:tc>
      </w:tr>
      <w:tr>
        <w:tc>
          <w:tcPr>
            <w:tcW w:type="dxa" w:w="745"/>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2</w:t>
            </w:r>
          </w:p>
        </w:tc>
        <w:tc>
          <w:tcPr>
            <w:tcW w:type="dxa" w:w="4098"/>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SAHAY-AI LISTENS — Analyses, voice, text and language</w:t>
            </w:r>
          </w:p>
        </w:tc>
        <w:tc>
          <w:tcPr>
            <w:tcW w:type="dxa" w:w="4471"/>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SAHAY-AI LISTENS — Never interrupts. Never asks what was already said</w:t>
            </w:r>
          </w:p>
        </w:tc>
      </w:tr>
      <w:tr>
        <w:tc>
          <w:tcPr>
            <w:tcW w:type="dxa" w:w="745"/>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3</w:t>
            </w:r>
          </w:p>
        </w:tc>
        <w:tc>
          <w:tcPr>
            <w:tcW w:type="dxa" w:w="4098"/>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AI ASSESSES — Generates Stress Vulnerability Index (SVI)</w:t>
            </w:r>
          </w:p>
        </w:tc>
        <w:tc>
          <w:tcPr>
            <w:tcW w:type="dxa" w:w="447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AI ASSESSES — Nine transparent dimensions, each with its evidence</w:t>
            </w:r>
          </w:p>
        </w:tc>
      </w:tr>
      <w:tr>
        <w:tc>
          <w:tcPr>
            <w:tcW w:type="dxa" w:w="745"/>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4</w:t>
            </w:r>
          </w:p>
        </w:tc>
        <w:tc>
          <w:tcPr>
            <w:tcW w:type="dxa" w:w="4098"/>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HUMAN RESPONSE — Counsellors, legal, medical, police support</w:t>
            </w:r>
          </w:p>
        </w:tc>
        <w:tc>
          <w:tcPr>
            <w:tcW w:type="dxa" w:w="4471"/>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HUMAN DECIDES — Counsellor, legal, medical, police. Always a person</w:t>
            </w:r>
          </w:p>
        </w:tc>
      </w:tr>
    </w:tbl>
    <w:p>
      <w:pPr>
        <w:spacing w:after="130" w:before="0" w:line="276"/>
      </w:pPr>
      <w:r>
        <w:rPr>
          <w:rFonts w:ascii="Calibri" w:cs="Calibri" w:eastAsia="Calibri" w:hAnsi="Calibri"/>
          <w:color w:val="1E293B"/>
          <w:sz w:val="20"/>
          <w:szCs w:val="20"/>
        </w:rPr>
        <w:t xml:space="preserve"/>
      </w:r>
    </w:p>
    <w:p>
      <w:pPr>
        <w:pStyle w:val="Heading3"/>
        <w:spacing w:after="100" w:before="200"/>
      </w:pPr>
      <w:r>
        <w:rPr>
          <w:rFonts w:ascii="Calibri" w:cs="Calibri" w:eastAsia="Calibri" w:hAnsi="Calibri"/>
          <w:b/>
          <w:bCs/>
          <w:color w:val="64748B"/>
          <w:sz w:val="21"/>
          <w:szCs w:val="21"/>
        </w:rPr>
        <w:t xml:space="preserve">Change 3.4 — one privacy chip, bottom right</w:t>
      </w:r>
    </w:p>
    <w:p>
      <w:pPr>
        <w:shd w:fill="F1F5F9" w:val="clear"/>
        <w:spacing w:after="0" w:before="60" w:line="200"/>
      </w:pPr>
      <w:r>
        <w:rPr>
          <w:rFonts w:ascii="Consolas" w:cs="Consolas" w:eastAsia="Consolas" w:hAnsi="Consolas"/>
          <w:color w:val="0F172A"/>
          <w:sz w:val="15"/>
          <w:szCs w:val="15"/>
        </w:rPr>
        <w:t xml:space="preserve">The person never sees a score.  The officer sees everything.</w:t>
      </w:r>
    </w:p>
    <w:p>
      <w:pPr>
        <w:spacing w:after="120" w:before="0" w:line="276"/>
      </w:pPr>
      <w:r>
        <w:rPr>
          <w:rFonts w:ascii="Calibri" w:cs="Calibri" w:eastAsia="Calibri" w:hAnsi="Calibri"/>
          <w:color w:val="1E293B"/>
          <w:sz w:val="20"/>
          <w:szCs w:val="20"/>
        </w:rPr>
        <w:t xml:space="preserve">That single line carries the entire role-filter design and costs eleven words.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c>
          <w:tcPr>
            <w:tcW w:type="dxa" w:w="9314"/>
            <w:shd w:fill="DCFCE7" w:val="clear"/>
            <w:tcMar>
              <w:top w:type="dxa" w:w="120"/>
              <w:left w:type="dxa" w:w="160"/>
              <w:bottom w:type="dxa" w:w="120"/>
              <w:right w:type="dxa" w:w="160"/>
            </w:tcMar>
          </w:tcPr>
          <w:p>
            <w:pPr>
              <w:spacing w:after="0" w:before="0" w:line="276"/>
            </w:pPr>
            <w:r>
              <w:rPr>
                <w:rFonts w:ascii="Calibri" w:cs="Calibri" w:eastAsia="Calibri" w:hAnsi="Calibri"/>
                <w:b/>
                <w:bCs/>
                <w:color w:val="166534"/>
                <w:sz w:val="20"/>
                <w:szCs w:val="20"/>
              </w:rPr>
              <w:t xml:space="preserve">Keep.  </w:t>
            </w:r>
            <w:r>
              <w:rPr>
                <w:rFonts w:ascii="Calibri" w:cs="Calibri" w:eastAsia="Calibri" w:hAnsi="Calibri"/>
                <w:color w:val="1E293B"/>
                <w:sz w:val="20"/>
                <w:szCs w:val="20"/>
              </w:rPr>
              <w:t xml:space="preserve">The quoted victim lines, the "One conversation. No repetition." motif and the "FROM VOICE TO SUPPORT" banner. They are the emotional core of the slide and they are working.</w:t>
            </w:r>
          </w:p>
        </w:tc>
      </w:tr>
    </w:tbl>
    <w:p>
      <w:r>
        <w:br w:type="page"/>
      </w:r>
    </w:p>
    <w:p>
      <w:pPr>
        <w:pStyle w:val="Heading1"/>
        <w:spacing w:after="150" w:before="340"/>
      </w:pPr>
      <w:r>
        <w:rPr>
          <w:rFonts w:ascii="Calibri" w:cs="Calibri" w:eastAsia="Calibri" w:hAnsi="Calibri"/>
          <w:b/>
          <w:bCs/>
          <w:color w:val="4F46E5"/>
          <w:sz w:val="30"/>
          <w:szCs w:val="30"/>
        </w:rPr>
        <w:t xml:space="preserve">4.  Slide 3 — Technical Approach</w:t>
      </w:r>
    </w:p>
    <w:p>
      <w:pPr>
        <w:spacing w:after="120" w:before="0" w:line="276"/>
      </w:pPr>
      <w:r>
        <w:rPr>
          <w:rFonts w:ascii="Calibri" w:cs="Calibri" w:eastAsia="Calibri" w:hAnsi="Calibri"/>
          <w:color w:val="1E293B"/>
          <w:sz w:val="20"/>
          <w:szCs w:val="20"/>
        </w:rPr>
        <w:t xml:space="preserve">This slide carries the most weight and needs the most work, but the composition — stack column on the left, numbered flow around a central hub on the right — stays.</w:t>
      </w:r>
    </w:p>
    <w:p>
      <w:pPr>
        <w:pStyle w:val="Heading3"/>
        <w:spacing w:after="100" w:before="200"/>
      </w:pPr>
      <w:r>
        <w:rPr>
          <w:rFonts w:ascii="Calibri" w:cs="Calibri" w:eastAsia="Calibri" w:hAnsi="Calibri"/>
          <w:b/>
          <w:bCs/>
          <w:color w:val="64748B"/>
          <w:sz w:val="21"/>
          <w:szCs w:val="21"/>
        </w:rPr>
        <w:t xml:space="preserve">Change 4.1 — break the crisis path out of the circle</w:t>
      </w:r>
    </w:p>
    <w:p>
      <w:pPr>
        <w:spacing w:after="120" w:before="0" w:line="276"/>
      </w:pPr>
      <w:r>
        <w:rPr>
          <w:rFonts w:ascii="Calibri" w:cs="Calibri" w:eastAsia="Calibri" w:hAnsi="Calibri"/>
          <w:color w:val="1E293B"/>
          <w:sz w:val="20"/>
          <w:szCs w:val="20"/>
        </w:rPr>
        <w:t xml:space="preserve">Keep the circular hub. Draw the crisis check as a bar that cuts across it and exits to the human node, in the reserved crisis colour. The visual point is that this path does not go around the loop; it leaves it.</w:t>
      </w:r>
    </w:p>
    <w:p>
      <w:pPr>
        <w:shd w:fill="F1F5F9" w:val="clear"/>
        <w:spacing w:after="0" w:before="60" w:line="200"/>
      </w:pPr>
      <w:r>
        <w:rPr>
          <w:rFonts w:ascii="Consolas" w:cs="Consolas" w:eastAsia="Consolas" w:hAnsi="Consolas"/>
          <w:color w:val="0F172A"/>
          <w:sz w:val="15"/>
          <w:szCs w:val="15"/>
        </w:rPr>
        <w:t xml:space="preserve">            [1] INPUT -&gt; [2] CONSENT -&gt; [3] AI INTAKE LAYER</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  CRISIS PRE-CHECK  --  runs first, on every turn, before policy  ||</w:t>
      </w:r>
    </w:p>
    <w:p>
      <w:pPr>
        <w:shd w:fill="F1F5F9" w:val="clear"/>
        <w:spacing w:after="0" w:before="0" w:line="200"/>
      </w:pPr>
      <w:r>
        <w:rPr>
          <w:rFonts w:ascii="Consolas" w:cs="Consolas" w:eastAsia="Consolas" w:hAnsi="Consolas"/>
          <w:color w:val="0F172A"/>
          <w:sz w:val="15"/>
          <w:szCs w:val="15"/>
        </w:rPr>
        <w:t xml:space="preserve">   ||  deterministic rules, never a model decision                     ||</w:t>
      </w:r>
    </w:p>
    <w:p>
      <w:pPr>
        <w:shd w:fill="F1F5F9" w:val="clear"/>
        <w:spacing w:after="0" w:before="0" w:line="200"/>
      </w:pPr>
      <w:r>
        <w:rPr>
          <w:rFonts w:ascii="Consolas" w:cs="Consolas" w:eastAsia="Consolas" w:hAnsi="Consolas"/>
          <w:color w:val="0F172A"/>
          <w:sz w:val="15"/>
          <w:szCs w:val="15"/>
        </w:rPr>
        <w:t xml:space="preserve">   ||  match -&gt; fixed script + Critical + immediate human takeover     ||</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                    |</w:t>
      </w:r>
    </w:p>
    <w:p>
      <w:pPr>
        <w:shd w:fill="F1F5F9" w:val="clear"/>
        <w:spacing w:after="0" w:before="0" w:line="200"/>
      </w:pPr>
      <w:r>
        <w:rPr>
          <w:rFonts w:ascii="Consolas" w:cs="Consolas" w:eastAsia="Consolas" w:hAnsi="Consolas"/>
          <w:color w:val="0F172A"/>
          <w:sz w:val="15"/>
          <w:szCs w:val="15"/>
        </w:rPr>
        <w:t xml:space="preserve">                  no match             match -&gt; [6] HUMAN, now</w:t>
      </w:r>
    </w:p>
    <w:p>
      <w:pPr>
        <w:shd w:fill="F1F5F9" w:val="clear"/>
        <w:spacing w:after="0" w:before="0" w:line="200"/>
      </w:pPr>
      <w:r>
        <w:rPr>
          <w:rFonts w:ascii="Consolas" w:cs="Consolas" w:eastAsia="Consolas" w:hAnsi="Consolas"/>
          <w:color w:val="0F172A"/>
          <w:sz w:val="15"/>
          <w:szCs w:val="15"/>
        </w:rPr>
        <w:t xml:space="preserve">                       v</w:t>
      </w:r>
    </w:p>
    <w:p>
      <w:pPr>
        <w:shd w:fill="F1F5F9" w:val="clear"/>
        <w:spacing w:after="0" w:before="0" w:line="200"/>
      </w:pPr>
      <w:r>
        <w:rPr>
          <w:rFonts w:ascii="Consolas" w:cs="Consolas" w:eastAsia="Consolas" w:hAnsi="Consolas"/>
          <w:color w:val="0F172A"/>
          <w:sz w:val="15"/>
          <w:szCs w:val="15"/>
        </w:rPr>
        <w:t xml:space="preserve">            [4] PARALLEL PROCESSING   (both existing sub-boxes kept)</w:t>
      </w:r>
    </w:p>
    <w:p>
      <w:pPr>
        <w:shd w:fill="F1F5F9" w:val="clear"/>
        <w:spacing w:after="0" w:before="0" w:line="200"/>
      </w:pPr>
      <w:r>
        <w:rPr>
          <w:rFonts w:ascii="Consolas" w:cs="Consolas" w:eastAsia="Consolas" w:hAnsi="Consolas"/>
          <w:color w:val="0F172A"/>
          <w:sz w:val="15"/>
          <w:szCs w:val="15"/>
        </w:rPr>
        <w:t xml:space="preserve">                Fast Reply Path  &lt;  1.2 s   |   Assessment Path  async</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[5] STRUCTURED CASE  -&gt;  ROLE FILTER  -&gt;  [6] HUMAN DECISION</w:t>
      </w:r>
    </w:p>
    <w:p>
      <w:pPr>
        <w:pStyle w:val="Heading3"/>
        <w:spacing w:after="100" w:before="200"/>
      </w:pPr>
      <w:r>
        <w:rPr>
          <w:rFonts w:ascii="Calibri" w:cs="Calibri" w:eastAsia="Calibri" w:hAnsi="Calibri"/>
          <w:b/>
          <w:bCs/>
          <w:color w:val="64748B"/>
          <w:sz w:val="21"/>
          <w:szCs w:val="21"/>
        </w:rPr>
        <w:t xml:space="preserve">Change 4.2 — label the two existing sub-boxes with their guarantee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4"/>
        <w:gridCol w:w="6520"/>
      </w:tblGrid>
      <w:tr>
        <w:trPr>
          <w:tblHeader/>
        </w:trPr>
        <w:tc>
          <w:tcPr>
            <w:tcW w:type="dxa" w:w="2794"/>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Existing sub-box</w:t>
            </w:r>
          </w:p>
        </w:tc>
        <w:tc>
          <w:tcPr>
            <w:tcW w:type="dxa" w:w="6520"/>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Add this one line under the heading</w:t>
            </w:r>
          </w:p>
        </w:tc>
      </w:tr>
      <w:tr>
        <w:tc>
          <w:tcPr>
            <w:tcW w:type="dxa" w:w="2794"/>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Fast Reply Path</w:t>
            </w:r>
          </w:p>
        </w:tc>
        <w:tc>
          <w:tcPr>
            <w:tcW w:type="dxa" w:w="6520"/>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The state machine picks the intent. The LLM only phrases it.</w:t>
            </w:r>
          </w:p>
        </w:tc>
      </w:tr>
      <w:tr>
        <w:tc>
          <w:tcPr>
            <w:tcW w:type="dxa" w:w="2794"/>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Assessment Path</w:t>
            </w:r>
          </w:p>
        </w:tc>
        <w:tc>
          <w:tcPr>
            <w:tcW w:type="dxa" w:w="6520"/>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Runs in parallel. Never delays the reply. Abstains when unsure.</w:t>
            </w:r>
          </w:p>
        </w:tc>
      </w:tr>
    </w:tbl>
    <w:p>
      <w:pPr>
        <w:spacing w:after="130" w:before="0" w:line="276"/>
      </w:pPr>
      <w:r>
        <w:rPr>
          <w:rFonts w:ascii="Calibri" w:cs="Calibri" w:eastAsia="Calibri" w:hAnsi="Calibri"/>
          <w:color w:val="1E293B"/>
          <w:sz w:val="20"/>
          <w:szCs w:val="20"/>
        </w:rPr>
        <w:t xml:space="preserve"/>
      </w:r>
    </w:p>
    <w:p>
      <w:pPr>
        <w:pStyle w:val="Heading3"/>
        <w:spacing w:after="100" w:before="200"/>
      </w:pPr>
      <w:r>
        <w:rPr>
          <w:rFonts w:ascii="Calibri" w:cs="Calibri" w:eastAsia="Calibri" w:hAnsi="Calibri"/>
          <w:b/>
          <w:bCs/>
          <w:color w:val="64748B"/>
          <w:sz w:val="21"/>
          <w:szCs w:val="21"/>
        </w:rPr>
        <w:t xml:space="preserve">Change 4.3 — a role-filter chip on the arrow into HUMAN DECISION</w:t>
      </w:r>
    </w:p>
    <w:p>
      <w:pPr>
        <w:shd w:fill="F1F5F9" w:val="clear"/>
        <w:spacing w:after="0" w:before="60" w:line="200"/>
      </w:pPr>
      <w:r>
        <w:rPr>
          <w:rFonts w:ascii="Consolas" w:cs="Consolas" w:eastAsia="Consolas" w:hAnsi="Consolas"/>
          <w:color w:val="0F172A"/>
          <w:sz w:val="15"/>
          <w:szCs w:val="15"/>
        </w:rPr>
        <w:t xml:space="preserve">ROLE FILTER   officer: full case, SVI, evidence</w:t>
      </w:r>
    </w:p>
    <w:p>
      <w:pPr>
        <w:shd w:fill="F1F5F9" w:val="clear"/>
        <w:spacing w:after="0" w:before="0" w:line="200"/>
      </w:pPr>
      <w:r>
        <w:rPr>
          <w:rFonts w:ascii="Consolas" w:cs="Consolas" w:eastAsia="Consolas" w:hAnsi="Consolas"/>
          <w:color w:val="0F172A"/>
          <w:sz w:val="15"/>
          <w:szCs w:val="15"/>
        </w:rPr>
        <w:t xml:space="preserve">              victim:  transcript and status only</w:t>
      </w:r>
    </w:p>
    <w:p>
      <w:pPr>
        <w:pStyle w:val="Heading3"/>
        <w:spacing w:after="100" w:before="200"/>
      </w:pPr>
      <w:r>
        <w:rPr>
          <w:rFonts w:ascii="Calibri" w:cs="Calibri" w:eastAsia="Calibri" w:hAnsi="Calibri"/>
          <w:b/>
          <w:bCs/>
          <w:color w:val="64748B"/>
          <w:sz w:val="21"/>
          <w:szCs w:val="21"/>
        </w:rPr>
        <w:t xml:space="preserve">Change 4.4 — a thin infrastructure strip along the slide foot</w:t>
      </w:r>
    </w:p>
    <w:p>
      <w:pPr>
        <w:spacing w:after="120" w:before="0" w:line="276"/>
      </w:pPr>
      <w:r>
        <w:rPr>
          <w:rFonts w:ascii="Calibri" w:cs="Calibri" w:eastAsia="Calibri" w:hAnsi="Calibri"/>
          <w:color w:val="1E293B"/>
          <w:sz w:val="20"/>
          <w:szCs w:val="20"/>
        </w:rPr>
        <w:t xml:space="preserve">One band, icon plus label, replacing the current single-sentence footer. This is where the architecture lives, given that no separate slide is permitted.</w:t>
      </w:r>
    </w:p>
    <w:p>
      <w:pPr>
        <w:shd w:fill="F1F5F9" w:val="clear"/>
        <w:spacing w:after="0" w:before="60" w:line="200"/>
      </w:pPr>
      <w:r>
        <w:rPr>
          <w:rFonts w:ascii="Consolas" w:cs="Consolas" w:eastAsia="Consolas" w:hAnsi="Consolas"/>
          <w:color w:val="0F172A"/>
          <w:sz w:val="15"/>
          <w:szCs w:val="15"/>
        </w:rPr>
        <w:t xml:space="preserve">CLIENTS      ADAPTERS       SERVICES        AI LAYER        DATA</w:t>
      </w:r>
    </w:p>
    <w:p>
      <w:pPr>
        <w:shd w:fill="F1F5F9" w:val="clear"/>
        <w:spacing w:after="0" w:before="0" w:line="200"/>
      </w:pPr>
      <w:r>
        <w:rPr>
          <w:rFonts w:ascii="Consolas" w:cs="Consolas" w:eastAsia="Consolas" w:hAnsi="Consolas"/>
          <w:color w:val="0F172A"/>
          <w:sz w:val="15"/>
          <w:szCs w:val="15"/>
        </w:rPr>
        <w:t xml:space="preserve">app .        telephony .    FastAPI .       VAD . ASR .     PostgreSQL .</w:t>
      </w:r>
    </w:p>
    <w:p>
      <w:pPr>
        <w:shd w:fill="F1F5F9" w:val="clear"/>
        <w:spacing w:after="0" w:before="0" w:line="200"/>
      </w:pPr>
      <w:r>
        <w:rPr>
          <w:rFonts w:ascii="Consolas" w:cs="Consolas" w:eastAsia="Consolas" w:hAnsi="Consolas"/>
          <w:color w:val="0F172A"/>
          <w:sz w:val="15"/>
          <w:szCs w:val="15"/>
        </w:rPr>
        <w:t xml:space="preserve">portal .     portal .       WebSocket .     NLP . TTS .     pgvector .</w:t>
      </w:r>
    </w:p>
    <w:p>
      <w:pPr>
        <w:shd w:fill="F1F5F9" w:val="clear"/>
        <w:spacing w:after="0" w:before="0" w:line="200"/>
      </w:pPr>
      <w:r>
        <w:rPr>
          <w:rFonts w:ascii="Consolas" w:cs="Consolas" w:eastAsia="Consolas" w:hAnsi="Consolas"/>
          <w:color w:val="0F172A"/>
          <w:sz w:val="15"/>
          <w:szCs w:val="15"/>
        </w:rPr>
        <w:t xml:space="preserve">console      CRM . OIDC     orchestrator    SVI engine      Redis . store</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RUNS ON  NIC MeghRaj | MeitY-empanelled cloud | on-premises state DC</w:t>
      </w:r>
    </w:p>
    <w:p>
      <w:pPr>
        <w:shd w:fill="F1F5F9" w:val="clear"/>
        <w:spacing w:after="0" w:before="0" w:line="200"/>
      </w:pPr>
      <w:r>
        <w:rPr>
          <w:rFonts w:ascii="Consolas" w:cs="Consolas" w:eastAsia="Consolas" w:hAnsi="Consolas"/>
          <w:color w:val="0F172A"/>
          <w:sz w:val="15"/>
          <w:szCs w:val="15"/>
        </w:rPr>
        <w:t xml:space="preserve">CPU-only inference . containerised . no vendor lock-in . data stays in India</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c>
          <w:tcPr>
            <w:tcW w:type="dxa" w:w="9314"/>
            <w:shd w:fill="E0E7FF" w:val="clear"/>
            <w:tcMar>
              <w:top w:type="dxa" w:w="120"/>
              <w:left w:type="dxa" w:w="160"/>
              <w:bottom w:type="dxa" w:w="120"/>
              <w:right w:type="dxa" w:w="160"/>
            </w:tcMar>
          </w:tcPr>
          <w:p>
            <w:pPr>
              <w:spacing w:after="0" w:before="0" w:line="276"/>
            </w:pPr>
            <w:r>
              <w:rPr>
                <w:rFonts w:ascii="Calibri" w:cs="Calibri" w:eastAsia="Calibri" w:hAnsi="Calibri"/>
                <w:b/>
                <w:bCs/>
                <w:color w:val="312E81"/>
                <w:sz w:val="20"/>
                <w:szCs w:val="20"/>
              </w:rPr>
              <w:t xml:space="preserve">Why this replaces a separate architecture slide.  </w:t>
            </w:r>
            <w:r>
              <w:rPr>
                <w:rFonts w:ascii="Calibri" w:cs="Calibri" w:eastAsia="Calibri" w:hAnsi="Calibri"/>
                <w:color w:val="1E293B"/>
                <w:sz w:val="20"/>
                <w:szCs w:val="20"/>
              </w:rPr>
              <w:t xml:space="preserve">Six slides is a hard limit. A five-block strip along the foot carries the layering, the integration adapters and the sovereignty answer in about forty words, and it reads as part of the existing design rather than as a bolted-on diagram.</w:t>
            </w:r>
          </w:p>
        </w:tc>
      </w:tr>
    </w:tbl>
    <w:p>
      <w:pPr>
        <w:spacing w:after="130" w:before="0" w:line="276"/>
      </w:pPr>
      <w:r>
        <w:rPr>
          <w:rFonts w:ascii="Calibri" w:cs="Calibri" w:eastAsia="Calibri" w:hAnsi="Calibri"/>
          <w:color w:val="1E293B"/>
          <w:sz w:val="20"/>
          <w:szCs w:val="20"/>
        </w:rPr>
        <w:t xml:space="preserve"/>
      </w:r>
    </w:p>
    <w:p>
      <w:pPr>
        <w:pStyle w:val="Heading3"/>
        <w:spacing w:after="100" w:before="200"/>
      </w:pPr>
      <w:r>
        <w:rPr>
          <w:rFonts w:ascii="Calibri" w:cs="Calibri" w:eastAsia="Calibri" w:hAnsi="Calibri"/>
          <w:b/>
          <w:bCs/>
          <w:color w:val="64748B"/>
          <w:sz w:val="21"/>
          <w:szCs w:val="21"/>
        </w:rPr>
        <w:t xml:space="preserve">Change 4.5 — the tech stack column</w:t>
      </w:r>
    </w:p>
    <w:p>
      <w:pPr>
        <w:spacing w:after="120" w:before="0" w:line="276"/>
      </w:pPr>
      <w:r>
        <w:rPr>
          <w:rFonts w:ascii="Calibri" w:cs="Calibri" w:eastAsia="Calibri" w:hAnsi="Calibri"/>
          <w:color w:val="1E293B"/>
          <w:sz w:val="20"/>
          <w:szCs w:val="20"/>
        </w:rPr>
        <w:t xml:space="preserve">Keep all ten existing tiles. Add two, making a four-by-three grid. Replace every parenthetical subtitle with the reason it was chosen — "(Backend)" tells a judge nothing.</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7"/>
        <w:gridCol w:w="6892"/>
        <w:gridCol w:w="745"/>
      </w:tblGrid>
      <w:tr>
        <w:trPr>
          <w:tblHeader/>
        </w:trPr>
        <w:tc>
          <w:tcPr>
            <w:tcW w:type="dxa" w:w="1677"/>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Tile</w:t>
            </w:r>
          </w:p>
        </w:tc>
        <w:tc>
          <w:tcPr>
            <w:tcW w:type="dxa" w:w="6892"/>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Replace the subtitle with</w:t>
            </w:r>
          </w:p>
        </w:tc>
        <w:tc>
          <w:tcPr>
            <w:tcW w:type="dxa" w:w="745"/>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New</w:t>
            </w:r>
          </w:p>
        </w:tc>
      </w:tr>
      <w:tr>
        <w:tc>
          <w:tcPr>
            <w:tcW w:type="dxa" w:w="1677"/>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React Native</w:t>
            </w:r>
          </w:p>
        </w:tc>
        <w:tc>
          <w:tcPr>
            <w:tcW w:type="dxa" w:w="6892"/>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Android-first, reaches low-end phones</w:t>
            </w:r>
          </w:p>
        </w:tc>
        <w:tc>
          <w:tcPr>
            <w:tcW w:type="dxa" w:w="745"/>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
            </w:r>
          </w:p>
        </w:tc>
      </w:tr>
      <w:tr>
        <w:tc>
          <w:tcPr>
            <w:tcW w:type="dxa" w:w="1677"/>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FastAPI</w:t>
            </w:r>
          </w:p>
        </w:tc>
        <w:tc>
          <w:tcPr>
            <w:tcW w:type="dxa" w:w="6892"/>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Async, WebSocket, typed contracts</w:t>
            </w:r>
          </w:p>
        </w:tc>
        <w:tc>
          <w:tcPr>
            <w:tcW w:type="dxa" w:w="745"/>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
            </w:r>
          </w:p>
        </w:tc>
      </w:tr>
      <w:tr>
        <w:tc>
          <w:tcPr>
            <w:tcW w:type="dxa" w:w="1677"/>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Python</w:t>
            </w:r>
          </w:p>
        </w:tc>
        <w:tc>
          <w:tcPr>
            <w:tcW w:type="dxa" w:w="6892"/>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Indic ASR, NLP and serving in one language</w:t>
            </w:r>
          </w:p>
        </w:tc>
        <w:tc>
          <w:tcPr>
            <w:tcW w:type="dxa" w:w="745"/>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
            </w:r>
          </w:p>
        </w:tc>
      </w:tr>
      <w:tr>
        <w:tc>
          <w:tcPr>
            <w:tcW w:type="dxa" w:w="1677"/>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PyTorch</w:t>
            </w:r>
          </w:p>
        </w:tc>
        <w:tc>
          <w:tcPr>
            <w:tcW w:type="dxa" w:w="6892"/>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Indic models ship PyTorch-first; int8 export</w:t>
            </w:r>
          </w:p>
        </w:tc>
        <w:tc>
          <w:tcPr>
            <w:tcW w:type="dxa" w:w="745"/>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
            </w:r>
          </w:p>
        </w:tc>
      </w:tr>
      <w:tr>
        <w:tc>
          <w:tcPr>
            <w:tcW w:type="dxa" w:w="1677"/>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faster-Whisper</w:t>
            </w:r>
          </w:p>
        </w:tc>
        <w:tc>
          <w:tcPr>
            <w:tcW w:type="dxa" w:w="6892"/>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4x faster on CPU at int8 — no GPU per site</w:t>
            </w:r>
          </w:p>
        </w:tc>
        <w:tc>
          <w:tcPr>
            <w:tcW w:type="dxa" w:w="745"/>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
            </w:r>
          </w:p>
        </w:tc>
      </w:tr>
      <w:tr>
        <w:tc>
          <w:tcPr>
            <w:tcW w:type="dxa" w:w="1677"/>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MuRIL</w:t>
            </w:r>
          </w:p>
        </w:tc>
        <w:tc>
          <w:tcPr>
            <w:tcW w:type="dxa" w:w="6892"/>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17 Indian languages, including code-mixed text</w:t>
            </w:r>
          </w:p>
        </w:tc>
        <w:tc>
          <w:tcPr>
            <w:tcW w:type="dxa" w:w="745"/>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
            </w:r>
          </w:p>
        </w:tc>
      </w:tr>
      <w:tr>
        <w:tc>
          <w:tcPr>
            <w:tcW w:type="dxa" w:w="1677"/>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AI4Bharat</w:t>
            </w:r>
          </w:p>
        </w:tc>
        <w:tc>
          <w:tcPr>
            <w:tcW w:type="dxa" w:w="6892"/>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Indic voices and ASR across 22 languages</w:t>
            </w:r>
          </w:p>
        </w:tc>
        <w:tc>
          <w:tcPr>
            <w:tcW w:type="dxa" w:w="745"/>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add</w:t>
            </w:r>
          </w:p>
        </w:tc>
      </w:tr>
      <w:tr>
        <w:tc>
          <w:tcPr>
            <w:tcW w:type="dxa" w:w="1677"/>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Silero VAD</w:t>
            </w:r>
          </w:p>
        </w:tc>
        <w:tc>
          <w:tcPr>
            <w:tcW w:type="dxa" w:w="6892"/>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1 MB endpointing — sets the latency budget</w:t>
            </w:r>
          </w:p>
        </w:tc>
        <w:tc>
          <w:tcPr>
            <w:tcW w:type="dxa" w:w="745"/>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add</w:t>
            </w:r>
          </w:p>
        </w:tc>
      </w:tr>
      <w:tr>
        <w:tc>
          <w:tcPr>
            <w:tcW w:type="dxa" w:w="1677"/>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PostgreSQL</w:t>
            </w:r>
          </w:p>
        </w:tc>
        <w:tc>
          <w:tcPr>
            <w:tcW w:type="dxa" w:w="6892"/>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Case records are evidence — ACID and audit</w:t>
            </w:r>
          </w:p>
        </w:tc>
        <w:tc>
          <w:tcPr>
            <w:tcW w:type="dxa" w:w="745"/>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
            </w:r>
          </w:p>
        </w:tc>
      </w:tr>
      <w:tr>
        <w:tc>
          <w:tcPr>
            <w:tcW w:type="dxa" w:w="1677"/>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pgvector</w:t>
            </w:r>
          </w:p>
        </w:tc>
        <w:tc>
          <w:tcPr>
            <w:tcW w:type="dxa" w:w="6892"/>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Scheme and policy search in the same database</w:t>
            </w:r>
          </w:p>
        </w:tc>
        <w:tc>
          <w:tcPr>
            <w:tcW w:type="dxa" w:w="745"/>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
            </w:r>
          </w:p>
        </w:tc>
      </w:tr>
      <w:tr>
        <w:tc>
          <w:tcPr>
            <w:tcW w:type="dxa" w:w="1677"/>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Redis</w:t>
            </w:r>
          </w:p>
        </w:tc>
        <w:tc>
          <w:tcPr>
            <w:tcW w:type="dxa" w:w="6892"/>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Keeps assessment off the fast reply path</w:t>
            </w:r>
          </w:p>
        </w:tc>
        <w:tc>
          <w:tcPr>
            <w:tcW w:type="dxa" w:w="745"/>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
            </w:r>
          </w:p>
        </w:tc>
      </w:tr>
      <w:tr>
        <w:tc>
          <w:tcPr>
            <w:tcW w:type="dxa" w:w="1677"/>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Docker</w:t>
            </w:r>
          </w:p>
        </w:tc>
        <w:tc>
          <w:tcPr>
            <w:tcW w:type="dxa" w:w="6892"/>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One image: cloud, government cloud or on-prem</w:t>
            </w:r>
          </w:p>
        </w:tc>
        <w:tc>
          <w:tcPr>
            <w:tcW w:type="dxa" w:w="745"/>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
            </w:r>
          </w:p>
        </w:tc>
      </w:tr>
    </w:tbl>
    <w:p>
      <w:pPr>
        <w:spacing w:after="130" w:before="0" w:line="276"/>
      </w:pPr>
      <w:r>
        <w:rPr>
          <w:rFonts w:ascii="Calibri" w:cs="Calibri" w:eastAsia="Calibri" w:hAnsi="Calibri"/>
          <w:color w:val="1E293B"/>
          <w:sz w:val="20"/>
          <w:szCs w:val="20"/>
        </w:rP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c>
          <w:tcPr>
            <w:tcW w:type="dxa" w:w="9314"/>
            <w:shd w:fill="FEF3C7" w:val="clear"/>
            <w:tcMar>
              <w:top w:type="dxa" w:w="120"/>
              <w:left w:type="dxa" w:w="160"/>
              <w:bottom w:type="dxa" w:w="120"/>
              <w:right w:type="dxa" w:w="160"/>
            </w:tcMar>
          </w:tcPr>
          <w:p>
            <w:pPr>
              <w:spacing w:after="0" w:before="0" w:line="276"/>
            </w:pPr>
            <w:r>
              <w:rPr>
                <w:rFonts w:ascii="Calibri" w:cs="Calibri" w:eastAsia="Calibri" w:hAnsi="Calibri"/>
                <w:b/>
                <w:bCs/>
                <w:color w:val="92400E"/>
                <w:sz w:val="20"/>
                <w:szCs w:val="20"/>
              </w:rPr>
              <w:t xml:space="preserve">Latency figures.  </w:t>
            </w:r>
            <w:r>
              <w:rPr>
                <w:rFonts w:ascii="Calibri" w:cs="Calibri" w:eastAsia="Calibri" w:hAnsi="Calibri"/>
                <w:color w:val="1E293B"/>
                <w:sz w:val="20"/>
                <w:szCs w:val="20"/>
              </w:rPr>
              <w:t xml:space="preserve">If the current 90-second demo path has been timed, put the measured first-audio latency on this slide — it is the single most persuasive number available. If it has not been timed yet, time it before the deck is finalised and label the figure as a target until then.</w:t>
            </w:r>
          </w:p>
        </w:tc>
      </w:tr>
    </w:tbl>
    <w:p>
      <w:r>
        <w:br w:type="page"/>
      </w:r>
    </w:p>
    <w:p>
      <w:pPr>
        <w:pStyle w:val="Heading1"/>
        <w:spacing w:after="150" w:before="340"/>
      </w:pPr>
      <w:r>
        <w:rPr>
          <w:rFonts w:ascii="Calibri" w:cs="Calibri" w:eastAsia="Calibri" w:hAnsi="Calibri"/>
          <w:b/>
          <w:bCs/>
          <w:color w:val="4F46E5"/>
          <w:sz w:val="30"/>
          <w:szCs w:val="30"/>
        </w:rPr>
        <w:t xml:space="preserve">5.  AI4Bharat Indic voices — the multilingual asset</w:t>
      </w:r>
    </w:p>
    <w:p>
      <w:pPr>
        <w:spacing w:after="120" w:before="0" w:line="276"/>
      </w:pPr>
      <w:r>
        <w:rPr>
          <w:rFonts w:ascii="Calibri" w:cs="Calibri" w:eastAsia="Calibri" w:hAnsi="Calibri"/>
          <w:color w:val="1E293B"/>
          <w:sz w:val="20"/>
          <w:szCs w:val="20"/>
        </w:rPr>
        <w:t xml:space="preserve">This is the answer to the question a national-helpline panel always asks: India has 22 scheduled languages, so what happens outside Hindi and English? It deserves a named, Indian, open-source answer, and AI4Bharat provides one across both directions of speech.</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3"/>
        <w:gridCol w:w="4843"/>
        <w:gridCol w:w="2608"/>
      </w:tblGrid>
      <w:tr>
        <w:trPr>
          <w:tblHeader/>
        </w:trPr>
        <w:tc>
          <w:tcPr>
            <w:tcW w:type="dxa" w:w="1863"/>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Asset</w:t>
            </w:r>
          </w:p>
        </w:tc>
        <w:tc>
          <w:tcPr>
            <w:tcW w:type="dxa" w:w="4843"/>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What it gives us</w:t>
            </w:r>
          </w:p>
        </w:tc>
        <w:tc>
          <w:tcPr>
            <w:tcW w:type="dxa" w:w="2608"/>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Where it appears in the deck</w:t>
            </w:r>
          </w:p>
        </w:tc>
      </w:tr>
      <w:tr>
        <w:tc>
          <w:tcPr>
            <w:tcW w:type="dxa" w:w="1863"/>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IndicVoices</w:t>
            </w:r>
          </w:p>
        </w:tc>
        <w:tc>
          <w:tcPr>
            <w:tcW w:type="dxa" w:w="4843"/>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 natural-speech corpus spanning the 22 scheduled languages, collected across districts, dialects and demographics — real spoken India, not read-aloud studio speech</w:t>
            </w:r>
          </w:p>
        </w:tc>
        <w:tc>
          <w:tcPr>
            <w:tcW w:type="dxa" w:w="2608"/>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Slide 4, feasibility — proven technology</w:t>
            </w:r>
          </w:p>
        </w:tc>
      </w:tr>
      <w:tr>
        <w:tc>
          <w:tcPr>
            <w:tcW w:type="dxa" w:w="1863"/>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IndicVoices-R</w:t>
            </w:r>
          </w:p>
        </w:tc>
        <w:tc>
          <w:tcPr>
            <w:tcW w:type="dxa" w:w="4843"/>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 speech-synthesis-grade corpus derived from it, with many speakers per language, which is what makes multiple natural voices per language possible</w:t>
            </w:r>
          </w:p>
        </w:tc>
        <w:tc>
          <w:tcPr>
            <w:tcW w:type="dxa" w:w="2608"/>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Slide 4, feasibility</w:t>
            </w:r>
          </w:p>
        </w:tc>
      </w:tr>
      <w:tr>
        <w:tc>
          <w:tcPr>
            <w:tcW w:type="dxa" w:w="1863"/>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Indic Parler-TTS</w:t>
            </w:r>
          </w:p>
        </w:tc>
        <w:tc>
          <w:tcPr>
            <w:tcW w:type="dxa" w:w="4843"/>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Multilingual, multi-voice Indic speech synthesis — the assistant can speak back in the caller’s own language, in a natural voice, running locally</w:t>
            </w:r>
          </w:p>
        </w:tc>
        <w:tc>
          <w:tcPr>
            <w:tcW w:type="dxa" w:w="2608"/>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Slide 3 stack tile; slide 5 roadmap</w:t>
            </w:r>
          </w:p>
        </w:tc>
      </w:tr>
      <w:tr>
        <w:tc>
          <w:tcPr>
            <w:tcW w:type="dxa" w:w="1863"/>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IndicConformer</w:t>
            </w:r>
          </w:p>
        </w:tc>
        <w:tc>
          <w:tcPr>
            <w:tcW w:type="dxa" w:w="4843"/>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Speech recognition across the 22 scheduled languages — the upgrade path from faster-Whisper as coverage widens</w:t>
            </w:r>
          </w:p>
        </w:tc>
        <w:tc>
          <w:tcPr>
            <w:tcW w:type="dxa" w:w="2608"/>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Slide 3 stack tile; slide 5 roadmap</w:t>
            </w:r>
          </w:p>
        </w:tc>
      </w:tr>
    </w:tbl>
    <w:p>
      <w:pPr>
        <w:spacing w:after="130" w:before="0" w:line="276"/>
      </w:pPr>
      <w:r>
        <w:rPr>
          <w:rFonts w:ascii="Calibri" w:cs="Calibri" w:eastAsia="Calibri" w:hAnsi="Calibri"/>
          <w:color w:val="1E293B"/>
          <w:sz w:val="20"/>
          <w:szCs w:val="20"/>
        </w:rPr>
        <w:t xml:space="preserve"/>
      </w:r>
    </w:p>
    <w:p>
      <w:pPr>
        <w:pStyle w:val="Heading3"/>
        <w:spacing w:after="100" w:before="200"/>
      </w:pPr>
      <w:r>
        <w:rPr>
          <w:rFonts w:ascii="Calibri" w:cs="Calibri" w:eastAsia="Calibri" w:hAnsi="Calibri"/>
          <w:b/>
          <w:bCs/>
          <w:color w:val="64748B"/>
          <w:sz w:val="21"/>
          <w:szCs w:val="21"/>
        </w:rPr>
        <w:t xml:space="preserve">The line to put on the slide</w:t>
      </w:r>
    </w:p>
    <w:p>
      <w:pPr>
        <w:shd w:fill="F1F5F9" w:val="clear"/>
        <w:spacing w:after="0" w:before="60" w:line="200"/>
      </w:pPr>
      <w:r>
        <w:rPr>
          <w:rFonts w:ascii="Consolas" w:cs="Consolas" w:eastAsia="Consolas" w:hAnsi="Consolas"/>
          <w:color w:val="0F172A"/>
          <w:sz w:val="15"/>
          <w:szCs w:val="15"/>
        </w:rPr>
        <w:t xml:space="preserve">AI4BHARAT INDIC VOICES</w:t>
      </w:r>
    </w:p>
    <w:p>
      <w:pPr>
        <w:shd w:fill="F1F5F9" w:val="clear"/>
        <w:spacing w:after="0" w:before="0" w:line="200"/>
      </w:pPr>
      <w:r>
        <w:rPr>
          <w:rFonts w:ascii="Consolas" w:cs="Consolas" w:eastAsia="Consolas" w:hAnsi="Consolas"/>
          <w:color w:val="0F172A"/>
          <w:sz w:val="15"/>
          <w:szCs w:val="15"/>
        </w:rPr>
        <w:t xml:space="preserve">Open Indian speech models and corpora across 22 scheduled languages.</w:t>
      </w:r>
    </w:p>
    <w:p>
      <w:pPr>
        <w:shd w:fill="F1F5F9" w:val="clear"/>
        <w:spacing w:after="0" w:before="0" w:line="200"/>
      </w:pPr>
      <w:r>
        <w:rPr>
          <w:rFonts w:ascii="Consolas" w:cs="Consolas" w:eastAsia="Consolas" w:hAnsi="Consolas"/>
          <w:color w:val="0F172A"/>
          <w:sz w:val="15"/>
          <w:szCs w:val="15"/>
        </w:rPr>
        <w:t xml:space="preserve">Adding a language is an adapter swap and an evaluation, not a rewrite.</w:t>
      </w:r>
    </w:p>
    <w:p>
      <w:pPr>
        <w:shd w:fill="F1F5F9" w:val="clear"/>
        <w:spacing w:after="0" w:before="0" w:line="200"/>
      </w:pPr>
      <w:r>
        <w:rPr>
          <w:rFonts w:ascii="Consolas" w:cs="Consolas" w:eastAsia="Consolas" w:hAnsi="Consolas"/>
          <w:color w:val="0F172A"/>
          <w:sz w:val="15"/>
          <w:szCs w:val="15"/>
        </w:rPr>
        <w:t xml:space="preserve">Built in India, runs in India, no foreign speech API in the path.</w:t>
      </w:r>
    </w:p>
    <w:p>
      <w:pPr>
        <w:spacing w:after="130" w:before="0" w:line="276"/>
      </w:pPr>
      <w:r>
        <w:rPr>
          <w:rFonts w:ascii="Calibri" w:cs="Calibri" w:eastAsia="Calibri" w:hAnsi="Calibri"/>
          <w:color w:val="1E293B"/>
          <w:sz w:val="20"/>
          <w:szCs w:val="20"/>
        </w:rPr>
        <w:t xml:space="preserve"/>
      </w:r>
    </w:p>
    <w:p>
      <w:pPr>
        <w:pStyle w:val="Heading3"/>
        <w:spacing w:after="100" w:before="200"/>
      </w:pPr>
      <w:r>
        <w:rPr>
          <w:rFonts w:ascii="Calibri" w:cs="Calibri" w:eastAsia="Calibri" w:hAnsi="Calibri"/>
          <w:b/>
          <w:bCs/>
          <w:color w:val="64748B"/>
          <w:sz w:val="21"/>
          <w:szCs w:val="21"/>
        </w:rPr>
        <w:t xml:space="preserve">Why this point is worth the space</w:t>
      </w:r>
    </w:p>
    <w:p>
      <w:pPr>
        <w:pStyle w:val="ListParagraph"/>
        <w:numPr>
          <w:ilvl w:val="0"/>
          <w:numId w:val="3"/>
        </w:numPr>
        <w:spacing w:after="70" w:line="264"/>
      </w:pPr>
      <w:r>
        <w:rPr>
          <w:rFonts w:ascii="Calibri" w:cs="Calibri" w:eastAsia="Calibri" w:hAnsi="Calibri"/>
          <w:color w:val="1E293B"/>
          <w:sz w:val="20"/>
          <w:szCs w:val="20"/>
        </w:rPr>
        <w:t xml:space="preserve">It converts the language question from a risk into a plan with named components.</w:t>
      </w:r>
    </w:p>
    <w:p>
      <w:pPr>
        <w:pStyle w:val="ListParagraph"/>
        <w:numPr>
          <w:ilvl w:val="0"/>
          <w:numId w:val="3"/>
        </w:numPr>
        <w:spacing w:after="70" w:line="264"/>
      </w:pPr>
      <w:r>
        <w:rPr>
          <w:rFonts w:ascii="Calibri" w:cs="Calibri" w:eastAsia="Calibri" w:hAnsi="Calibri"/>
          <w:color w:val="1E293B"/>
          <w:sz w:val="20"/>
          <w:szCs w:val="20"/>
        </w:rPr>
        <w:t xml:space="preserve">It is an Indian public-good asset, which aligns the solution with the ministry rather than with a foreign vendor.</w:t>
      </w:r>
    </w:p>
    <w:p>
      <w:pPr>
        <w:pStyle w:val="ListParagraph"/>
        <w:numPr>
          <w:ilvl w:val="0"/>
          <w:numId w:val="3"/>
        </w:numPr>
        <w:spacing w:after="70" w:line="264"/>
      </w:pPr>
      <w:r>
        <w:rPr>
          <w:rFonts w:ascii="Calibri" w:cs="Calibri" w:eastAsia="Calibri" w:hAnsi="Calibri"/>
          <w:color w:val="1E293B"/>
          <w:sz w:val="20"/>
          <w:szCs w:val="20"/>
        </w:rPr>
        <w:t xml:space="preserve">It reinforces the sovereignty argument: no audio is sent to an external speech service, in any language.</w:t>
      </w:r>
    </w:p>
    <w:p>
      <w:pPr>
        <w:pStyle w:val="ListParagraph"/>
        <w:numPr>
          <w:ilvl w:val="0"/>
          <w:numId w:val="3"/>
        </w:numPr>
        <w:spacing w:after="70" w:line="264"/>
      </w:pPr>
      <w:r>
        <w:rPr>
          <w:rFonts w:ascii="Calibri" w:cs="Calibri" w:eastAsia="Calibri" w:hAnsi="Calibri"/>
          <w:color w:val="1E293B"/>
          <w:sz w:val="20"/>
          <w:szCs w:val="20"/>
        </w:rPr>
        <w:t xml:space="preserve">It is consistent with the swappable-adapter design already shown on slide 3, so it strengthens an existing claim instead of introducing a new one.</w:t>
      </w:r>
    </w:p>
    <w:p>
      <w:pPr>
        <w:spacing w:after="130" w:before="0" w:line="276"/>
      </w:pPr>
      <w:r>
        <w:rPr>
          <w:rFonts w:ascii="Calibri" w:cs="Calibri" w:eastAsia="Calibri" w:hAnsi="Calibri"/>
          <w:color w:val="1E293B"/>
          <w:sz w:val="20"/>
          <w:szCs w:val="20"/>
        </w:rP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c>
          <w:tcPr>
            <w:tcW w:type="dxa" w:w="9314"/>
            <w:shd w:fill="FEE2E2" w:val="clear"/>
            <w:tcMar>
              <w:top w:type="dxa" w:w="120"/>
              <w:left w:type="dxa" w:w="160"/>
              <w:bottom w:type="dxa" w:w="120"/>
              <w:right w:type="dxa" w:w="160"/>
            </w:tcMar>
          </w:tcPr>
          <w:p>
            <w:pPr>
              <w:spacing w:after="0" w:before="0" w:line="276"/>
            </w:pPr>
            <w:r>
              <w:rPr>
                <w:rFonts w:ascii="Calibri" w:cs="Calibri" w:eastAsia="Calibri" w:hAnsi="Calibri"/>
                <w:b/>
                <w:bCs/>
                <w:color w:val="991B1B"/>
                <w:sz w:val="20"/>
                <w:szCs w:val="20"/>
              </w:rPr>
              <w:t xml:space="preserve">Phrasing discipline.  </w:t>
            </w:r>
            <w:r>
              <w:rPr>
                <w:rFonts w:ascii="Calibri" w:cs="Calibri" w:eastAsia="Calibri" w:hAnsi="Calibri"/>
                <w:color w:val="1E293B"/>
                <w:sz w:val="20"/>
                <w:szCs w:val="20"/>
              </w:rPr>
              <w:t xml:space="preserve">Write it as coverage on the roadmap, not as coverage today. "Open Indian models across 22 scheduled languages, each added after its own evaluation" is accurate and strong. "Supports 22 languages" is neither, and it is the kind of claim a technical judge will probe.</w:t>
            </w:r>
          </w:p>
        </w:tc>
      </w:tr>
    </w:tbl>
    <w:p>
      <w:r>
        <w:br w:type="page"/>
      </w:r>
    </w:p>
    <w:p>
      <w:pPr>
        <w:pStyle w:val="Heading1"/>
        <w:spacing w:after="150" w:before="340"/>
      </w:pPr>
      <w:r>
        <w:rPr>
          <w:rFonts w:ascii="Calibri" w:cs="Calibri" w:eastAsia="Calibri" w:hAnsi="Calibri"/>
          <w:b/>
          <w:bCs/>
          <w:color w:val="4F46E5"/>
          <w:sz w:val="30"/>
          <w:szCs w:val="30"/>
        </w:rPr>
        <w:t xml:space="preserve">6.  Slide 4 — Feasibility and Viability</w:t>
      </w:r>
    </w:p>
    <w:p>
      <w:pPr>
        <w:spacing w:after="120" w:before="0" w:line="276"/>
      </w:pPr>
      <w:r>
        <w:rPr>
          <w:rFonts w:ascii="Calibri" w:cs="Calibri" w:eastAsia="Calibri" w:hAnsi="Calibri"/>
          <w:color w:val="1E293B"/>
          <w:sz w:val="20"/>
          <w:szCs w:val="20"/>
        </w:rPr>
        <w:t xml:space="preserve">The two-column card structure works. One card is added and four are reworded. The risk column keeps all five cards, with two lines strengthened.</w:t>
      </w:r>
    </w:p>
    <w:p>
      <w:pPr>
        <w:pStyle w:val="Heading3"/>
        <w:spacing w:after="100" w:before="200"/>
      </w:pPr>
      <w:r>
        <w:rPr>
          <w:rFonts w:ascii="Calibri" w:cs="Calibri" w:eastAsia="Calibri" w:hAnsi="Calibri"/>
          <w:b/>
          <w:bCs/>
          <w:color w:val="64748B"/>
          <w:sz w:val="21"/>
          <w:szCs w:val="21"/>
        </w:rPr>
        <w:t xml:space="preserve">Change 6.1 — add a fifth feasibility card</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c>
          <w:tcPr>
            <w:tcW w:type="dxa" w:w="9314"/>
            <w:shd w:fill="DBEAFE" w:val="clear"/>
            <w:tcMar>
              <w:top w:type="dxa" w:w="120"/>
              <w:left w:type="dxa" w:w="160"/>
              <w:bottom w:type="dxa" w:w="120"/>
              <w:right w:type="dxa" w:w="160"/>
            </w:tcMar>
          </w:tcPr>
          <w:p>
            <w:pPr>
              <w:spacing w:after="0" w:before="0" w:line="276"/>
            </w:pPr>
            <w:r>
              <w:rPr>
                <w:rFonts w:ascii="Calibri" w:cs="Calibri" w:eastAsia="Calibri" w:hAnsi="Calibri"/>
                <w:b/>
                <w:bCs/>
                <w:color w:val="1E40AF"/>
                <w:sz w:val="20"/>
                <w:szCs w:val="20"/>
              </w:rPr>
              <w:t xml:space="preserve">Data Protection and Sovereignty.  </w:t>
            </w:r>
            <w:r>
              <w:rPr>
                <w:rFonts w:ascii="Calibri" w:cs="Calibri" w:eastAsia="Calibri" w:hAnsi="Calibri"/>
                <w:color w:val="1E293B"/>
                <w:sz w:val="20"/>
                <w:szCs w:val="20"/>
              </w:rPr>
              <w:t xml:space="preserve">DPDP Act 2023 by design · consent recorded as an artefact · raw audio auto-deleted · encrypted at rest and in transit · India-only residency · role-based redaction · retention and erasure controls · every access audited.</w:t>
            </w:r>
          </w:p>
        </w:tc>
      </w:tr>
    </w:tbl>
    <w:p>
      <w:pPr>
        <w:spacing w:after="120" w:before="0" w:line="276"/>
      </w:pPr>
      <w:r>
        <w:rPr>
          <w:rFonts w:ascii="Calibri" w:cs="Calibri" w:eastAsia="Calibri" w:hAnsi="Calibri"/>
          <w:color w:val="1E293B"/>
          <w:sz w:val="20"/>
          <w:szCs w:val="20"/>
        </w:rPr>
        <w:t xml:space="preserve">Set as eight chips, not a sentence. The existing "Privacy by Design" card becomes this card — same slot, named compliance instead of generic wording.</w:t>
      </w:r>
    </w:p>
    <w:p>
      <w:pPr>
        <w:pStyle w:val="Heading3"/>
        <w:spacing w:after="100" w:before="200"/>
      </w:pPr>
      <w:r>
        <w:rPr>
          <w:rFonts w:ascii="Calibri" w:cs="Calibri" w:eastAsia="Calibri" w:hAnsi="Calibri"/>
          <w:b/>
          <w:bCs/>
          <w:color w:val="64748B"/>
          <w:sz w:val="21"/>
          <w:szCs w:val="21"/>
        </w:rPr>
        <w:t xml:space="preserve">Change 6.2 — reword the four remaining feasibility cards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9"/>
        <w:gridCol w:w="7265"/>
      </w:tblGrid>
      <w:tr>
        <w:trPr>
          <w:tblHeader/>
        </w:trPr>
        <w:tc>
          <w:tcPr>
            <w:tcW w:type="dxa" w:w="2049"/>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Card</w:t>
            </w:r>
          </w:p>
        </w:tc>
        <w:tc>
          <w:tcPr>
            <w:tcW w:type="dxa" w:w="7265"/>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Replace with</w:t>
            </w:r>
          </w:p>
        </w:tc>
      </w:tr>
      <w:tr>
        <w:tc>
          <w:tcPr>
            <w:tcW w:type="dxa" w:w="2049"/>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Proven Technology</w:t>
            </w:r>
          </w:p>
        </w:tc>
        <w:tc>
          <w:tcPr>
            <w:tcW w:type="dxa" w:w="7265"/>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Multilingual ASR, transformer NLP and deterministic safety rules exist as modular components. AI4Bharat gives open Indian speech models across 22 scheduled languages.</w:t>
            </w:r>
          </w:p>
        </w:tc>
      </w:tr>
      <w:tr>
        <w:tc>
          <w:tcPr>
            <w:tcW w:type="dxa" w:w="2049"/>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Operational Fit</w:t>
            </w:r>
          </w:p>
        </w:tc>
        <w:tc>
          <w:tcPr>
            <w:tcW w:type="dxa" w:w="7265"/>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Adapter APIs connect approved channels to the responder console. No change to existing authority, procedure or staffing. The helpline works unchanged if the module is off.</w:t>
            </w:r>
          </w:p>
        </w:tc>
      </w:tr>
      <w:tr>
        <w:tc>
          <w:tcPr>
            <w:tcW w:type="dxa" w:w="2049"/>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Deployment Fit</w:t>
            </w:r>
          </w:p>
        </w:tc>
        <w:tc>
          <w:tcPr>
            <w:tcW w:type="dxa" w:w="7265"/>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CPU-only inference in one container image. Runs on NIC MeghRaj, an empanelled cloud, or an on-premises state data centre. No GPU, no proprietary service.</w:t>
            </w:r>
          </w:p>
        </w:tc>
      </w:tr>
      <w:tr>
        <w:tc>
          <w:tcPr>
            <w:tcW w:type="dxa" w:w="2049"/>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Scale Path</w:t>
            </w:r>
          </w:p>
        </w:tc>
        <w:tc>
          <w:tcPr>
            <w:tcW w:type="dxa" w:w="7265"/>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Stateless services scale horizontally. A new language is an adapter swap plus an evaluation, not a rewrite.</w:t>
            </w:r>
          </w:p>
        </w:tc>
      </w:tr>
    </w:tbl>
    <w:p>
      <w:pPr>
        <w:spacing w:after="130" w:before="0" w:line="276"/>
      </w:pPr>
      <w:r>
        <w:rPr>
          <w:rFonts w:ascii="Calibri" w:cs="Calibri" w:eastAsia="Calibri" w:hAnsi="Calibri"/>
          <w:color w:val="1E293B"/>
          <w:sz w:val="20"/>
          <w:szCs w:val="20"/>
        </w:rPr>
        <w:t xml:space="preserve"/>
      </w:r>
    </w:p>
    <w:p>
      <w:pPr>
        <w:pStyle w:val="Heading3"/>
        <w:spacing w:after="100" w:before="200"/>
      </w:pPr>
      <w:r>
        <w:rPr>
          <w:rFonts w:ascii="Calibri" w:cs="Calibri" w:eastAsia="Calibri" w:hAnsi="Calibri"/>
          <w:b/>
          <w:bCs/>
          <w:color w:val="64748B"/>
          <w:sz w:val="21"/>
          <w:szCs w:val="21"/>
        </w:rPr>
        <w:t xml:space="preserve">Change 6.3 — strengthen two risk cards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4"/>
        <w:gridCol w:w="6520"/>
      </w:tblGrid>
      <w:tr>
        <w:trPr>
          <w:tblHeader/>
        </w:trPr>
        <w:tc>
          <w:tcPr>
            <w:tcW w:type="dxa" w:w="2794"/>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Risk card</w:t>
            </w:r>
          </w:p>
        </w:tc>
        <w:tc>
          <w:tcPr>
            <w:tcW w:type="dxa" w:w="6520"/>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Add this</w:t>
            </w:r>
          </w:p>
        </w:tc>
      </w:tr>
      <w:tr>
        <w:tc>
          <w:tcPr>
            <w:tcW w:type="dxa" w:w="2794"/>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Privacy / Confidentiality Breach</w:t>
            </w:r>
          </w:p>
        </w:tc>
        <w:tc>
          <w:tcPr>
            <w:tcW w:type="dxa" w:w="6520"/>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Named Data Protection Officer · documented breach-notification path · annual third-party security audit</w:t>
            </w:r>
          </w:p>
        </w:tc>
      </w:tr>
      <w:tr>
        <w:tc>
          <w:tcPr>
            <w:tcW w:type="dxa" w:w="2794"/>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Bias / False Certainty</w:t>
            </w:r>
          </w:p>
        </w:tc>
        <w:tc>
          <w:tcPr>
            <w:tcW w:type="dxa" w:w="6520"/>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The engine abstains rather than guessing: low confidence returns "needs human" and no score at all</w:t>
            </w:r>
          </w:p>
        </w:tc>
      </w:tr>
    </w:tbl>
    <w:p>
      <w:pPr>
        <w:spacing w:after="130" w:before="0" w:line="276"/>
      </w:pPr>
      <w:r>
        <w:rPr>
          <w:rFonts w:ascii="Calibri" w:cs="Calibri" w:eastAsia="Calibri" w:hAnsi="Calibri"/>
          <w:color w:val="1E293B"/>
          <w:sz w:val="20"/>
          <w:szCs w:val="20"/>
        </w:rP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c>
          <w:tcPr>
            <w:tcW w:type="dxa" w:w="9314"/>
            <w:shd w:fill="DCFCE7" w:val="clear"/>
            <w:tcMar>
              <w:top w:type="dxa" w:w="120"/>
              <w:left w:type="dxa" w:w="160"/>
              <w:bottom w:type="dxa" w:w="120"/>
              <w:right w:type="dxa" w:w="160"/>
            </w:tcMar>
          </w:tcPr>
          <w:p>
            <w:pPr>
              <w:spacing w:after="0" w:before="0" w:line="276"/>
            </w:pPr>
            <w:r>
              <w:rPr>
                <w:rFonts w:ascii="Calibri" w:cs="Calibri" w:eastAsia="Calibri" w:hAnsi="Calibri"/>
                <w:b/>
                <w:bCs/>
                <w:color w:val="166534"/>
                <w:sz w:val="20"/>
                <w:szCs w:val="20"/>
              </w:rPr>
              <w:t xml:space="preserve">Keep the existing risk cards.  </w:t>
            </w:r>
            <w:r>
              <w:rPr>
                <w:rFonts w:ascii="Calibri" w:cs="Calibri" w:eastAsia="Calibri" w:hAnsi="Calibri"/>
                <w:color w:val="1E293B"/>
                <w:sz w:val="20"/>
                <w:szCs w:val="20"/>
              </w:rPr>
              <w:t xml:space="preserve">Critical Cue Missed, Noisy / Code-Mixed Speech, Integration / Staff Adoption are all well chosen and well worded. Do not touch them.</w:t>
            </w:r>
          </w:p>
        </w:tc>
      </w:tr>
    </w:tbl>
    <w:p>
      <w:r>
        <w:br w:type="page"/>
      </w:r>
    </w:p>
    <w:p>
      <w:pPr>
        <w:pStyle w:val="Heading1"/>
        <w:spacing w:after="150" w:before="340"/>
      </w:pPr>
      <w:r>
        <w:rPr>
          <w:rFonts w:ascii="Calibri" w:cs="Calibri" w:eastAsia="Calibri" w:hAnsi="Calibri"/>
          <w:b/>
          <w:bCs/>
          <w:color w:val="4F46E5"/>
          <w:sz w:val="30"/>
          <w:szCs w:val="30"/>
        </w:rPr>
        <w:t xml:space="preserve">7.  Slide 5 — Impact and Benefits</w:t>
      </w:r>
    </w:p>
    <w:p>
      <w:pPr>
        <w:spacing w:after="120" w:before="0" w:line="276"/>
      </w:pPr>
      <w:r>
        <w:rPr>
          <w:rFonts w:ascii="Calibri" w:cs="Calibri" w:eastAsia="Calibri" w:hAnsi="Calibri"/>
          <w:color w:val="1E293B"/>
          <w:sz w:val="20"/>
          <w:szCs w:val="20"/>
        </w:rPr>
        <w:t xml:space="preserve">The strongest slide in the deck. The friction-versus-SAHAY comparison and the three stakeholder cards stay exactly as they are. Only the bottom strip changes, and one row is added.</w:t>
      </w:r>
    </w:p>
    <w:p>
      <w:pPr>
        <w:pStyle w:val="Heading3"/>
        <w:spacing w:after="100" w:before="200"/>
      </w:pPr>
      <w:r>
        <w:rPr>
          <w:rFonts w:ascii="Calibri" w:cs="Calibri" w:eastAsia="Calibri" w:hAnsi="Calibri"/>
          <w:b/>
          <w:bCs/>
          <w:color w:val="64748B"/>
          <w:sz w:val="21"/>
          <w:szCs w:val="21"/>
        </w:rPr>
        <w:t xml:space="preserve">Change 7.1 — the bottom strip becomes the executive decision flow</w:t>
      </w:r>
    </w:p>
    <w:p>
      <w:pPr>
        <w:spacing w:after="120" w:before="0" w:line="276"/>
      </w:pPr>
      <w:r>
        <w:rPr>
          <w:rFonts w:ascii="Calibri" w:cs="Calibri" w:eastAsia="Calibri" w:hAnsi="Calibri"/>
          <w:color w:val="1E293B"/>
          <w:sz w:val="20"/>
          <w:szCs w:val="20"/>
        </w:rPr>
        <w:t xml:space="preserve">The existing FROM INPUT TO OUTCOME strip already has five chips. Keep the geometry, the chevrons and the pill captions. Re-point the content at what the officer actually does, which is the half of the product no competing team will show.</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2"/>
        <w:gridCol w:w="4191"/>
        <w:gridCol w:w="4471"/>
      </w:tblGrid>
      <w:tr>
        <w:trPr>
          <w:tblHeader/>
        </w:trPr>
        <w:tc>
          <w:tcPr>
            <w:tcW w:type="dxa" w:w="652"/>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Chip</w:t>
            </w:r>
          </w:p>
        </w:tc>
        <w:tc>
          <w:tcPr>
            <w:tcW w:type="dxa" w:w="4191"/>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Current</w:t>
            </w:r>
          </w:p>
        </w:tc>
        <w:tc>
          <w:tcPr>
            <w:tcW w:type="dxa" w:w="4471"/>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Replace with</w:t>
            </w:r>
          </w:p>
        </w:tc>
      </w:tr>
      <w:tr>
        <w:tc>
          <w:tcPr>
            <w:tcW w:type="dxa" w:w="652"/>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1</w:t>
            </w:r>
          </w:p>
        </w:tc>
        <w:tc>
          <w:tcPr>
            <w:tcW w:type="dxa" w:w="419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USER INPUT — Multilingual conversation with visible consent</w:t>
            </w:r>
          </w:p>
        </w:tc>
        <w:tc>
          <w:tcPr>
            <w:tcW w:type="dxa" w:w="447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CASE ARRIVES — Queue ordered by urgency. Never filtered by the machine</w:t>
            </w:r>
          </w:p>
        </w:tc>
      </w:tr>
      <w:tr>
        <w:tc>
          <w:tcPr>
            <w:tcW w:type="dxa" w:w="652"/>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2</w:t>
            </w:r>
          </w:p>
        </w:tc>
        <w:tc>
          <w:tcPr>
            <w:tcW w:type="dxa" w:w="4191"/>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STRUCTURED CASE — Transcript processed, key fields extracted</w:t>
            </w:r>
          </w:p>
        </w:tc>
        <w:tc>
          <w:tcPr>
            <w:tcW w:type="dxa" w:w="4471"/>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OFFICER CLAIMS — One case, one owner, from this moment logged</w:t>
            </w:r>
          </w:p>
        </w:tc>
      </w:tr>
      <w:tr>
        <w:tc>
          <w:tcPr>
            <w:tcW w:type="dxa" w:w="652"/>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3</w:t>
            </w:r>
          </w:p>
        </w:tc>
        <w:tc>
          <w:tcPr>
            <w:tcW w:type="dxa" w:w="419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RISK PRIORITISATION — AI analyses content, flags risk and assigns urgency</w:t>
            </w:r>
          </w:p>
        </w:tc>
        <w:tc>
          <w:tcPr>
            <w:tcW w:type="dxa" w:w="447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EVIDENCE SHOWN — Every dimension carries the words it came from</w:t>
            </w:r>
          </w:p>
        </w:tc>
      </w:tr>
      <w:tr>
        <w:tc>
          <w:tcPr>
            <w:tcW w:type="dxa" w:w="652"/>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4</w:t>
            </w:r>
          </w:p>
        </w:tc>
        <w:tc>
          <w:tcPr>
            <w:tcW w:type="dxa" w:w="4191"/>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HUMAN ACTION — Case routed to counsellor / police / relevant services</w:t>
            </w:r>
          </w:p>
        </w:tc>
        <w:tc>
          <w:tcPr>
            <w:tcW w:type="dxa" w:w="4471"/>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OFFICER DECIDES — Confirm, modify, reject or take over the conversation</w:t>
            </w:r>
          </w:p>
        </w:tc>
      </w:tr>
      <w:tr>
        <w:tc>
          <w:tcPr>
            <w:tcW w:type="dxa" w:w="652"/>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5</w:t>
            </w:r>
          </w:p>
        </w:tc>
        <w:tc>
          <w:tcPr>
            <w:tcW w:type="dxa" w:w="419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MEASURABLE OUTCOME — Faster response, better support and safer communities</w:t>
            </w:r>
          </w:p>
        </w:tc>
        <w:tc>
          <w:tcPr>
            <w:tcW w:type="dxa" w:w="447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ACTION AND AUDIT — Counsellor, medical, police, legal aid. All recorded</w:t>
            </w:r>
          </w:p>
        </w:tc>
      </w:tr>
    </w:tbl>
    <w:p>
      <w:pPr>
        <w:spacing w:after="130" w:before="0" w:line="276"/>
      </w:pPr>
      <w:r>
        <w:rPr>
          <w:rFonts w:ascii="Calibri" w:cs="Calibri" w:eastAsia="Calibri" w:hAnsi="Calibri"/>
          <w:color w:val="1E293B"/>
          <w:sz w:val="20"/>
          <w:szCs w:val="20"/>
        </w:rPr>
        <w:t xml:space="preserve"/>
      </w:r>
    </w:p>
    <w:p>
      <w:pPr>
        <w:spacing w:after="120" w:before="0" w:line="276"/>
      </w:pPr>
      <w:r>
        <w:rPr>
          <w:rFonts w:ascii="Calibri" w:cs="Calibri" w:eastAsia="Calibri" w:hAnsi="Calibri"/>
          <w:color w:val="1E293B"/>
          <w:sz w:val="20"/>
          <w:szCs w:val="20"/>
        </w:rPr>
        <w:t xml:space="preserve">Keep the existing pill captions underneath, adjusted: ORDERED NOT FILTERED · ONE OWNER · EVIDENCE LINKED · HUMAN DECIDES · FULLY AUDITED.</w:t>
      </w:r>
    </w:p>
    <w:p>
      <w:pPr>
        <w:pStyle w:val="Heading3"/>
        <w:spacing w:after="100" w:before="200"/>
      </w:pPr>
      <w:r>
        <w:rPr>
          <w:rFonts w:ascii="Calibri" w:cs="Calibri" w:eastAsia="Calibri" w:hAnsi="Calibri"/>
          <w:b/>
          <w:bCs/>
          <w:color w:val="64748B"/>
          <w:sz w:val="21"/>
          <w:szCs w:val="21"/>
        </w:rPr>
        <w:t xml:space="preserve">Change 7.2 — add one measured-outcome row</w:t>
      </w:r>
    </w:p>
    <w:p>
      <w:pPr>
        <w:spacing w:after="120" w:before="0" w:line="276"/>
      </w:pPr>
      <w:r>
        <w:rPr>
          <w:rFonts w:ascii="Calibri" w:cs="Calibri" w:eastAsia="Calibri" w:hAnsi="Calibri"/>
          <w:color w:val="1E293B"/>
          <w:sz w:val="20"/>
          <w:szCs w:val="20"/>
        </w:rPr>
        <w:t xml:space="preserve">Four figures, as large numerals with small captions, in the style already used on the slide. Use measured values where they exist and the word "target" where they do not.</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7"/>
        <w:gridCol w:w="6147"/>
      </w:tblGrid>
      <w:tr>
        <w:trPr>
          <w:tblHeader/>
        </w:trPr>
        <w:tc>
          <w:tcPr>
            <w:tcW w:type="dxa" w:w="3167"/>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Figure</w:t>
            </w:r>
          </w:p>
        </w:tc>
        <w:tc>
          <w:tcPr>
            <w:tcW w:type="dxa" w:w="6147"/>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Caption</w:t>
            </w:r>
          </w:p>
        </w:tc>
      </w:tr>
      <w:tr>
        <w:tc>
          <w:tcPr>
            <w:tcW w:type="dxa" w:w="3167"/>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Time to a prioritised, evidence-backed case</w:t>
            </w:r>
          </w:p>
        </w:tc>
        <w:tc>
          <w:tcPr>
            <w:tcW w:type="dxa" w:w="6147"/>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Against the current manual baseline. State both numbers.</w:t>
            </w:r>
          </w:p>
        </w:tc>
      </w:tr>
      <w:tr>
        <w:tc>
          <w:tcPr>
            <w:tcW w:type="dxa" w:w="3167"/>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Crisis-signal recall</w:t>
            </w:r>
          </w:p>
        </w:tc>
        <w:tc>
          <w:tcPr>
            <w:tcW w:type="dxa" w:w="6147"/>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On the held-out evaluation set. Report precision beside it, never recall alone.</w:t>
            </w:r>
          </w:p>
        </w:tc>
      </w:tr>
      <w:tr>
        <w:tc>
          <w:tcPr>
            <w:tcW w:type="dxa" w:w="3167"/>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Officer agreement rate</w:t>
            </w:r>
          </w:p>
        </w:tc>
        <w:tc>
          <w:tcPr>
            <w:tcW w:type="dxa" w:w="6147"/>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How often the officer accepts the AI priority unchanged — the trust measure.</w:t>
            </w:r>
          </w:p>
        </w:tc>
      </w:tr>
      <w:tr>
        <w:tc>
          <w:tcPr>
            <w:tcW w:type="dxa" w:w="3167"/>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Retellings avoided</w:t>
            </w:r>
          </w:p>
        </w:tc>
        <w:tc>
          <w:tcPr>
            <w:tcW w:type="dxa" w:w="6147"/>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How many times a person must repeat their account before reaching a decision-maker. Lead with this one.</w:t>
            </w:r>
          </w:p>
        </w:tc>
      </w:tr>
    </w:tbl>
    <w:p>
      <w:pPr>
        <w:spacing w:after="130" w:before="0" w:line="276"/>
      </w:pPr>
      <w:r>
        <w:rPr>
          <w:rFonts w:ascii="Calibri" w:cs="Calibri" w:eastAsia="Calibri" w:hAnsi="Calibri"/>
          <w:color w:val="1E293B"/>
          <w:sz w:val="20"/>
          <w:szCs w:val="20"/>
        </w:rPr>
        <w:t xml:space="preserve"/>
      </w:r>
    </w:p>
    <w:p>
      <w:pPr>
        <w:pStyle w:val="Heading3"/>
        <w:spacing w:after="100" w:before="200"/>
      </w:pPr>
      <w:r>
        <w:rPr>
          <w:rFonts w:ascii="Calibri" w:cs="Calibri" w:eastAsia="Calibri" w:hAnsi="Calibri"/>
          <w:b/>
          <w:bCs/>
          <w:color w:val="64748B"/>
          <w:sz w:val="21"/>
          <w:szCs w:val="21"/>
        </w:rPr>
        <w:t xml:space="preserve">Change 7.3 — a three-step roadmap ribbon, one line</w:t>
      </w:r>
    </w:p>
    <w:p>
      <w:pPr>
        <w:shd w:fill="F1F5F9" w:val="clear"/>
        <w:spacing w:after="0" w:before="60" w:line="200"/>
      </w:pPr>
      <w:r>
        <w:rPr>
          <w:rFonts w:ascii="Consolas" w:cs="Consolas" w:eastAsia="Consolas" w:hAnsi="Consolas"/>
          <w:color w:val="0F172A"/>
          <w:sz w:val="15"/>
          <w:szCs w:val="15"/>
        </w:rPr>
        <w:t xml:space="preserve">PILOT  one centre, 2 languages   -&gt;   STATE  districts, 8 languages</w:t>
      </w:r>
    </w:p>
    <w:p>
      <w:pPr>
        <w:shd w:fill="F1F5F9" w:val="clear"/>
        <w:spacing w:after="0" w:before="0" w:line="200"/>
      </w:pPr>
      <w:r>
        <w:rPr>
          <w:rFonts w:ascii="Consolas" w:cs="Consolas" w:eastAsia="Consolas" w:hAnsi="Consolas"/>
          <w:color w:val="0F172A"/>
          <w:sz w:val="15"/>
          <w:szCs w:val="15"/>
        </w:rPr>
        <w:t xml:space="preserve">   -&gt;   NATIONAL  14566 and allied helplines, 22 scheduled languages</w:t>
      </w:r>
    </w:p>
    <w:p>
      <w:pPr>
        <w:shd w:fill="F1F5F9" w:val="clear"/>
        <w:spacing w:after="0" w:before="0" w:line="200"/>
      </w:pPr>
      <w:r>
        <w:rPr>
          <w:rFonts w:ascii="Consolas" w:cs="Consolas" w:eastAsia="Consolas" w:hAnsi="Consolas"/>
          <w:color w:val="0F172A"/>
          <w:sz w:val="15"/>
          <w:szCs w:val="15"/>
        </w:rPr>
        <w:t xml:space="preserve">                  via AI4Bharat Indic models, each gated by evaluation</w:t>
      </w:r>
    </w:p>
    <w:p>
      <w:pPr>
        <w:spacing w:after="120" w:before="0" w:line="276"/>
      </w:pPr>
      <w:r>
        <w:rPr>
          <w:rFonts w:ascii="Calibri" w:cs="Calibri" w:eastAsia="Calibri" w:hAnsi="Calibri"/>
          <w:color w:val="1E293B"/>
          <w:sz w:val="20"/>
          <w:szCs w:val="20"/>
        </w:rPr>
        <w:t xml:space="preserve">This ribbon does more work than any other element on the slide. It shows the panel a team that has thought past the demo, and it sets the scope boundary in a form that reads as ambition rather than limitation.</w:t>
      </w:r>
    </w:p>
    <w:p>
      <w:pPr>
        <w:pStyle w:val="Heading1"/>
        <w:spacing w:after="150" w:before="340"/>
      </w:pPr>
      <w:r>
        <w:rPr>
          <w:rFonts w:ascii="Calibri" w:cs="Calibri" w:eastAsia="Calibri" w:hAnsi="Calibri"/>
          <w:b/>
          <w:bCs/>
          <w:color w:val="4F46E5"/>
          <w:sz w:val="30"/>
          <w:szCs w:val="30"/>
        </w:rPr>
        <w:t xml:space="preserve">8.  Slide 6 — Research and References</w:t>
      </w:r>
    </w:p>
    <w:p>
      <w:pPr>
        <w:pStyle w:val="ListParagraph"/>
        <w:numPr>
          <w:ilvl w:val="0"/>
          <w:numId w:val="3"/>
        </w:numPr>
        <w:spacing w:after="70" w:line="264"/>
      </w:pPr>
      <w:r>
        <w:rPr>
          <w:rFonts w:ascii="Calibri" w:cs="Calibri" w:eastAsia="Calibri" w:hAnsi="Calibri"/>
          <w:color w:val="1E293B"/>
          <w:sz w:val="20"/>
          <w:szCs w:val="20"/>
        </w:rPr>
        <w:t xml:space="preserve">Replace the Google Drive share link. A judge who hits a permission wall counts the reference as absent, and it looks careless.</w:t>
      </w:r>
    </w:p>
    <w:p>
      <w:pPr>
        <w:pStyle w:val="ListParagraph"/>
        <w:numPr>
          <w:ilvl w:val="0"/>
          <w:numId w:val="3"/>
        </w:numPr>
        <w:spacing w:after="70" w:line="264"/>
      </w:pPr>
      <w:r>
        <w:rPr>
          <w:rFonts w:ascii="Calibri" w:cs="Calibri" w:eastAsia="Calibri" w:hAnsi="Calibri"/>
          <w:color w:val="1E293B"/>
          <w:sz w:val="20"/>
          <w:szCs w:val="20"/>
        </w:rPr>
        <w:t xml:space="preserve">Add the AI4Bharat IndicVoices and Indic Parler-TTS references, so the multilingual claim on slides 3, 4 and 5 has a source.</w:t>
      </w:r>
    </w:p>
    <w:p>
      <w:pPr>
        <w:pStyle w:val="ListParagraph"/>
        <w:numPr>
          <w:ilvl w:val="0"/>
          <w:numId w:val="3"/>
        </w:numPr>
        <w:spacing w:after="70" w:line="264"/>
      </w:pPr>
      <w:r>
        <w:rPr>
          <w:rFonts w:ascii="Calibri" w:cs="Calibri" w:eastAsia="Calibri" w:hAnsi="Calibri"/>
          <w:color w:val="1E293B"/>
          <w:sz w:val="20"/>
          <w:szCs w:val="20"/>
        </w:rPr>
        <w:t xml:space="preserve">Add a DPDP Act 2023 citation, so the compliance claim on slide 4 has a source.</w:t>
      </w:r>
    </w:p>
    <w:p>
      <w:pPr>
        <w:pStyle w:val="ListParagraph"/>
        <w:numPr>
          <w:ilvl w:val="0"/>
          <w:numId w:val="3"/>
        </w:numPr>
        <w:spacing w:after="70" w:line="264"/>
      </w:pPr>
      <w:r>
        <w:rPr>
          <w:rFonts w:ascii="Calibri" w:cs="Calibri" w:eastAsia="Calibri" w:hAnsi="Calibri"/>
          <w:color w:val="1E293B"/>
          <w:sz w:val="20"/>
          <w:szCs w:val="20"/>
        </w:rPr>
        <w:t xml:space="preserve">Keep the DOI, the IndicConformer and faster-whisper repositories and the ACL Anthology entry — each supports a claim made elsewhere.</w:t>
      </w:r>
    </w:p>
    <w:p>
      <w:pPr>
        <w:pStyle w:val="ListParagraph"/>
        <w:numPr>
          <w:ilvl w:val="0"/>
          <w:numId w:val="3"/>
        </w:numPr>
        <w:spacing w:after="70" w:line="264"/>
      </w:pPr>
      <w:r>
        <w:rPr>
          <w:rFonts w:ascii="Calibri" w:cs="Calibri" w:eastAsia="Calibri" w:hAnsi="Calibri"/>
          <w:color w:val="1E293B"/>
          <w:sz w:val="20"/>
          <w:szCs w:val="20"/>
        </w:rPr>
        <w:t xml:space="preserve">Remove any reference that does not support a claim in the deck. A reference list is evidence, not decoration.</w:t>
      </w:r>
    </w:p>
    <w:p>
      <w:r>
        <w:br w:type="page"/>
      </w:r>
    </w:p>
    <w:p>
      <w:pPr>
        <w:pStyle w:val="Heading1"/>
        <w:spacing w:after="150" w:before="340"/>
      </w:pPr>
      <w:r>
        <w:rPr>
          <w:rFonts w:ascii="Calibri" w:cs="Calibri" w:eastAsia="Calibri" w:hAnsi="Calibri"/>
          <w:b/>
          <w:bCs/>
          <w:color w:val="4F46E5"/>
          <w:sz w:val="30"/>
          <w:szCs w:val="30"/>
        </w:rPr>
        <w:t xml:space="preserve">9.  Infographic discipline — word budget, type, colour, export</w:t>
      </w:r>
    </w:p>
    <w:p>
      <w:pPr>
        <w:spacing w:after="120" w:before="0" w:line="276"/>
      </w:pPr>
      <w:r>
        <w:rPr>
          <w:rFonts w:ascii="Calibri" w:cs="Calibri" w:eastAsia="Calibri" w:hAnsi="Calibri"/>
          <w:color w:val="1E293B"/>
          <w:sz w:val="20"/>
          <w:szCs w:val="20"/>
        </w:rPr>
        <w:t xml:space="preserve">The template asks for points, diagrams and infographics, and explicitly asks to avoid paragraphs. These are the limits that keep us inside that instruction.</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2"/>
        <w:gridCol w:w="6892"/>
      </w:tblGrid>
      <w:tr>
        <w:trPr>
          <w:tblHeader/>
        </w:trPr>
        <w:tc>
          <w:tcPr>
            <w:tcW w:type="dxa" w:w="2422"/>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Element</w:t>
            </w:r>
          </w:p>
        </w:tc>
        <w:tc>
          <w:tcPr>
            <w:tcW w:type="dxa" w:w="6892"/>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Limit</w:t>
            </w:r>
          </w:p>
        </w:tc>
      </w:tr>
      <w:tr>
        <w:tc>
          <w:tcPr>
            <w:tcW w:type="dxa" w:w="2422"/>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Whole slide</w:t>
            </w:r>
          </w:p>
        </w:tc>
        <w:tc>
          <w:tcPr>
            <w:tcW w:type="dxa" w:w="6892"/>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At most 110 words, excluding the heading and the template pointer lines</w:t>
            </w:r>
          </w:p>
        </w:tc>
      </w:tr>
      <w:tr>
        <w:tc>
          <w:tcPr>
            <w:tcW w:type="dxa" w:w="2422"/>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Card or chip label</w:t>
            </w:r>
          </w:p>
        </w:tc>
        <w:tc>
          <w:tcPr>
            <w:tcW w:type="dxa" w:w="6892"/>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At most 4 words, upper case</w:t>
            </w:r>
          </w:p>
        </w:tc>
      </w:tr>
      <w:tr>
        <w:tc>
          <w:tcPr>
            <w:tcW w:type="dxa" w:w="2422"/>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Card body</w:t>
            </w:r>
          </w:p>
        </w:tc>
        <w:tc>
          <w:tcPr>
            <w:tcW w:type="dxa" w:w="6892"/>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At most 16 words, one line of thought</w:t>
            </w:r>
          </w:p>
        </w:tc>
      </w:tr>
      <w:tr>
        <w:tc>
          <w:tcPr>
            <w:tcW w:type="dxa" w:w="2422"/>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Flow node</w:t>
            </w:r>
          </w:p>
        </w:tc>
        <w:tc>
          <w:tcPr>
            <w:tcW w:type="dxa" w:w="6892"/>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 label plus at most 3 bullets of 6 words each</w:t>
            </w:r>
          </w:p>
        </w:tc>
      </w:tr>
      <w:tr>
        <w:tc>
          <w:tcPr>
            <w:tcW w:type="dxa" w:w="2422"/>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Sentences on a slide</w:t>
            </w:r>
          </w:p>
        </w:tc>
        <w:tc>
          <w:tcPr>
            <w:tcW w:type="dxa" w:w="6892"/>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None. If it needs a full stop in the middle, it is too long</w:t>
            </w:r>
          </w:p>
        </w:tc>
      </w:tr>
      <w:tr>
        <w:tc>
          <w:tcPr>
            <w:tcW w:type="dxa" w:w="2422"/>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Body type</w:t>
            </w:r>
          </w:p>
        </w:tc>
        <w:tc>
          <w:tcPr>
            <w:tcW w:type="dxa" w:w="6892"/>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At least 14 pt at the template canvas size. Captions at least 11 pt. Never below 10 pt</w:t>
            </w:r>
          </w:p>
        </w:tc>
      </w:tr>
      <w:tr>
        <w:tc>
          <w:tcPr>
            <w:tcW w:type="dxa" w:w="2422"/>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Icons</w:t>
            </w:r>
          </w:p>
        </w:tc>
        <w:tc>
          <w:tcPr>
            <w:tcW w:type="dxa" w:w="6892"/>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One visual idea per icon, from a single family. No mixed illustration styles</w:t>
            </w:r>
          </w:p>
        </w:tc>
      </w:tr>
    </w:tbl>
    <w:p>
      <w:pPr>
        <w:spacing w:after="130" w:before="0" w:line="276"/>
      </w:pPr>
      <w:r>
        <w:rPr>
          <w:rFonts w:ascii="Calibri" w:cs="Calibri" w:eastAsia="Calibri" w:hAnsi="Calibri"/>
          <w:color w:val="1E293B"/>
          <w:sz w:val="20"/>
          <w:szCs w:val="20"/>
        </w:rPr>
        <w:t xml:space="preserve"/>
      </w:r>
    </w:p>
    <w:p>
      <w:pPr>
        <w:pStyle w:val="Heading3"/>
        <w:spacing w:after="100" w:before="200"/>
      </w:pPr>
      <w:r>
        <w:rPr>
          <w:rFonts w:ascii="Calibri" w:cs="Calibri" w:eastAsia="Calibri" w:hAnsi="Calibri"/>
          <w:b/>
          <w:bCs/>
          <w:color w:val="64748B"/>
          <w:sz w:val="21"/>
          <w:szCs w:val="21"/>
        </w:rPr>
        <w:t xml:space="preserve">Colour</w:t>
      </w:r>
    </w:p>
    <w:p>
      <w:pPr>
        <w:pStyle w:val="ListParagraph"/>
        <w:numPr>
          <w:ilvl w:val="0"/>
          <w:numId w:val="3"/>
        </w:numPr>
        <w:spacing w:after="70" w:line="264"/>
      </w:pPr>
      <w:r>
        <w:rPr>
          <w:rFonts w:ascii="Calibri" w:cs="Calibri" w:eastAsia="Calibri" w:hAnsi="Calibri"/>
          <w:color w:val="1E293B"/>
          <w:sz w:val="20"/>
          <w:szCs w:val="20"/>
        </w:rPr>
        <w:t xml:space="preserve">Keep the current palette: indigo, teal, amber, rose, slate. It already works.</w:t>
      </w:r>
    </w:p>
    <w:p>
      <w:pPr>
        <w:pStyle w:val="ListParagraph"/>
        <w:numPr>
          <w:ilvl w:val="0"/>
          <w:numId w:val="3"/>
        </w:numPr>
        <w:spacing w:after="70" w:line="264"/>
      </w:pPr>
      <w:r>
        <w:rPr>
          <w:rFonts w:ascii="Calibri" w:cs="Calibri" w:eastAsia="Calibri" w:hAnsi="Calibri"/>
          <w:color w:val="1E293B"/>
          <w:sz w:val="20"/>
          <w:szCs w:val="20"/>
        </w:rPr>
        <w:t xml:space="preserve">Reserve rose for the crisis path alone, on every slide. Nothing else may use it, decoratively or otherwise. One colour meaning one thing across six slides is what makes a deck feel designed.</w:t>
      </w:r>
    </w:p>
    <w:p>
      <w:pPr>
        <w:pStyle w:val="ListParagraph"/>
        <w:numPr>
          <w:ilvl w:val="0"/>
          <w:numId w:val="3"/>
        </w:numPr>
        <w:spacing w:after="70" w:line="264"/>
      </w:pPr>
      <w:r>
        <w:rPr>
          <w:rFonts w:ascii="Calibri" w:cs="Calibri" w:eastAsia="Calibri" w:hAnsi="Calibri"/>
          <w:color w:val="1E293B"/>
          <w:sz w:val="20"/>
          <w:szCs w:val="20"/>
        </w:rPr>
        <w:t xml:space="preserve">Never encode meaning in colour alone — every coloured path also carries a label or an icon.</w:t>
      </w:r>
    </w:p>
    <w:p>
      <w:pPr>
        <w:pStyle w:val="Heading3"/>
        <w:spacing w:after="100" w:before="200"/>
      </w:pPr>
      <w:r>
        <w:rPr>
          <w:rFonts w:ascii="Calibri" w:cs="Calibri" w:eastAsia="Calibri" w:hAnsi="Calibri"/>
          <w:b/>
          <w:bCs/>
          <w:color w:val="64748B"/>
          <w:sz w:val="21"/>
          <w:szCs w:val="21"/>
        </w:rPr>
        <w:t xml:space="preserve">Export, which matters more than the .pptx because the portal takes PDF</w:t>
      </w:r>
    </w:p>
    <w:p>
      <w:pPr>
        <w:pStyle w:val="ListParagraph"/>
        <w:numPr>
          <w:ilvl w:val="0"/>
          <w:numId w:val="3"/>
        </w:numPr>
        <w:spacing w:after="70" w:line="264"/>
      </w:pPr>
      <w:r>
        <w:rPr>
          <w:rFonts w:ascii="Calibri" w:cs="Calibri" w:eastAsia="Calibri" w:hAnsi="Calibri"/>
          <w:color w:val="1E293B"/>
          <w:sz w:val="20"/>
          <w:szCs w:val="20"/>
        </w:rPr>
        <w:t xml:space="preserve">Any new or edited diagram image: export at 3840 x 2160 px or better before placing it. The current diagram images are around 1660 px wide and will look soft when projected.</w:t>
      </w:r>
    </w:p>
    <w:p>
      <w:pPr>
        <w:pStyle w:val="ListParagraph"/>
        <w:numPr>
          <w:ilvl w:val="0"/>
          <w:numId w:val="3"/>
        </w:numPr>
        <w:spacing w:after="70" w:line="264"/>
      </w:pPr>
      <w:r>
        <w:rPr>
          <w:rFonts w:ascii="Calibri" w:cs="Calibri" w:eastAsia="Calibri" w:hAnsi="Calibri"/>
          <w:color w:val="1E293B"/>
          <w:sz w:val="20"/>
          <w:szCs w:val="20"/>
        </w:rPr>
        <w:t xml:space="preserve">Export to PDF with "Standard" or press quality, not "Minimum size". Minimum size will destroy the diagram text.</w:t>
      </w:r>
    </w:p>
    <w:p>
      <w:pPr>
        <w:pStyle w:val="ListParagraph"/>
        <w:numPr>
          <w:ilvl w:val="0"/>
          <w:numId w:val="3"/>
        </w:numPr>
        <w:spacing w:after="70" w:line="264"/>
      </w:pPr>
      <w:r>
        <w:rPr>
          <w:rFonts w:ascii="Calibri" w:cs="Calibri" w:eastAsia="Calibri" w:hAnsi="Calibri"/>
          <w:color w:val="1E293B"/>
          <w:sz w:val="20"/>
          <w:szCs w:val="20"/>
        </w:rPr>
        <w:t xml:space="preserve">Embed fonts, or convert headings to outlines, so the PDF renders identically on the portal and on the review machine.</w:t>
      </w:r>
    </w:p>
    <w:p>
      <w:pPr>
        <w:pStyle w:val="ListParagraph"/>
        <w:numPr>
          <w:ilvl w:val="0"/>
          <w:numId w:val="3"/>
        </w:numPr>
        <w:spacing w:after="70" w:line="264"/>
      </w:pPr>
      <w:r>
        <w:rPr>
          <w:rFonts w:ascii="Calibri" w:cs="Calibri" w:eastAsia="Calibri" w:hAnsi="Calibri"/>
          <w:color w:val="1E293B"/>
          <w:sz w:val="20"/>
          <w:szCs w:val="20"/>
        </w:rPr>
        <w:t xml:space="preserve">Open the exported PDF at 100 per cent and read the smallest label on every slide. If you cannot, the label is too small.</w:t>
      </w:r>
    </w:p>
    <w:p>
      <w:pPr>
        <w:pStyle w:val="ListParagraph"/>
        <w:numPr>
          <w:ilvl w:val="0"/>
          <w:numId w:val="3"/>
        </w:numPr>
        <w:spacing w:after="70" w:line="264"/>
      </w:pPr>
      <w:r>
        <w:rPr>
          <w:rFonts w:ascii="Calibri" w:cs="Calibri" w:eastAsia="Calibri" w:hAnsi="Calibri"/>
          <w:color w:val="1E293B"/>
          <w:sz w:val="20"/>
          <w:szCs w:val="20"/>
        </w:rPr>
        <w:t xml:space="preserve">Check the file size limit on the portal before uploading. The deck is currently around 15 MB, almost all images.</w:t>
      </w:r>
    </w:p>
    <w:p>
      <w:r>
        <w:br w:type="page"/>
      </w:r>
    </w:p>
    <w:p>
      <w:pPr>
        <w:pStyle w:val="Heading1"/>
        <w:spacing w:after="150" w:before="340"/>
      </w:pPr>
      <w:r>
        <w:rPr>
          <w:rFonts w:ascii="Calibri" w:cs="Calibri" w:eastAsia="Calibri" w:hAnsi="Calibri"/>
          <w:b/>
          <w:bCs/>
          <w:color w:val="4F46E5"/>
          <w:sz w:val="30"/>
          <w:szCs w:val="30"/>
        </w:rPr>
        <w:t xml:space="preserve">10.  Claims discipline — what we may and may not say</w:t>
      </w:r>
    </w:p>
    <w:p>
      <w:pPr>
        <w:spacing w:after="120" w:before="0" w:line="276"/>
      </w:pPr>
      <w:r>
        <w:rPr>
          <w:rFonts w:ascii="Calibri" w:cs="Calibri" w:eastAsia="Calibri" w:hAnsi="Calibri"/>
          <w:color w:val="1E293B"/>
          <w:sz w:val="20"/>
          <w:szCs w:val="20"/>
        </w:rPr>
        <w:t xml:space="preserve">Agree these before the presentation and do not improvise around them under questioning. In this domain one over-claim costs more than any technical gap.</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71"/>
        <w:gridCol w:w="4843"/>
      </w:tblGrid>
      <w:tr>
        <w:trPr>
          <w:tblHeader/>
        </w:trPr>
        <w:tc>
          <w:tcPr>
            <w:tcW w:type="dxa" w:w="4471"/>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Say this</w:t>
            </w:r>
          </w:p>
        </w:tc>
        <w:tc>
          <w:tcPr>
            <w:tcW w:type="dxa" w:w="4843"/>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Never say this</w:t>
            </w:r>
          </w:p>
        </w:tc>
      </w:tr>
      <w:tr>
        <w:tc>
          <w:tcPr>
            <w:tcW w:type="dxa" w:w="447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An assistive prioritisation indicator from nine transparent dimensions with published weights</w:t>
            </w:r>
          </w:p>
        </w:tc>
        <w:tc>
          <w:tcPr>
            <w:tcW w:type="dxa" w:w="4843"/>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 trauma score, a diagnosis, or a clinical assessment</w:t>
            </w:r>
          </w:p>
        </w:tc>
      </w:tr>
      <w:tr>
        <w:tc>
          <w:tcPr>
            <w:tcW w:type="dxa" w:w="4471"/>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Linguistic and acoustic indicators that raise a dimension and can trigger escalation</w:t>
            </w:r>
          </w:p>
        </w:tc>
        <w:tc>
          <w:tcPr>
            <w:tcW w:type="dxa" w:w="4843"/>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The system detects depression, PTSD or suicidal ideation</w:t>
            </w:r>
          </w:p>
        </w:tc>
      </w:tr>
      <w:tr>
        <w:tc>
          <w:tcPr>
            <w:tcW w:type="dxa" w:w="447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Crisis language forces an immediate human takeover within the same turn</w:t>
            </w:r>
          </w:p>
        </w:tc>
        <w:tc>
          <w:tcPr>
            <w:tcW w:type="dxa" w:w="4843"/>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The system handles crises</w:t>
            </w:r>
          </w:p>
        </w:tc>
      </w:tr>
      <w:tr>
        <w:tc>
          <w:tcPr>
            <w:tcW w:type="dxa" w:w="4471"/>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The AI recommends; a trained officer decides, and the decision is logged</w:t>
            </w:r>
          </w:p>
        </w:tc>
        <w:tc>
          <w:tcPr>
            <w:tcW w:type="dxa" w:w="4843"/>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The system routes or assigns cases</w:t>
            </w:r>
          </w:p>
        </w:tc>
      </w:tr>
      <w:tr>
        <w:tc>
          <w:tcPr>
            <w:tcW w:type="dxa" w:w="447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Open Indian speech models across 22 scheduled languages, each added after its own evaluation</w:t>
            </w:r>
          </w:p>
        </w:tc>
        <w:tc>
          <w:tcPr>
            <w:tcW w:type="dxa" w:w="4843"/>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Supports 22 Indian languages</w:t>
            </w:r>
          </w:p>
        </w:tc>
      </w:tr>
      <w:tr>
        <w:tc>
          <w:tcPr>
            <w:tcW w:type="dxa" w:w="4471"/>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Designed to meet the DPDP Act 2023</w:t>
            </w:r>
          </w:p>
        </w:tc>
        <w:tc>
          <w:tcPr>
            <w:tcW w:type="dxa" w:w="4843"/>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Certified, compliant or audited</w:t>
            </w:r>
          </w:p>
        </w:tc>
      </w:tr>
      <w:tr>
        <w:tc>
          <w:tcPr>
            <w:tcW w:type="dxa" w:w="447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An integration-ready module for the existing helpline</w:t>
            </w:r>
          </w:p>
        </w:tc>
        <w:tc>
          <w:tcPr>
            <w:tcW w:type="dxa" w:w="4843"/>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 replacement for the helpline</w:t>
            </w:r>
          </w:p>
        </w:tc>
      </w:tr>
    </w:tbl>
    <w:p>
      <w:pPr>
        <w:spacing w:after="130" w:before="0" w:line="276"/>
      </w:pPr>
      <w:r>
        <w:rPr>
          <w:rFonts w:ascii="Calibri" w:cs="Calibri" w:eastAsia="Calibri" w:hAnsi="Calibri"/>
          <w:color w:val="1E293B"/>
          <w:sz w:val="20"/>
          <w:szCs w:val="20"/>
        </w:rP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c>
          <w:tcPr>
            <w:tcW w:type="dxa" w:w="9314"/>
            <w:shd w:fill="E0E7FF" w:val="clear"/>
            <w:tcMar>
              <w:top w:type="dxa" w:w="120"/>
              <w:left w:type="dxa" w:w="160"/>
              <w:bottom w:type="dxa" w:w="120"/>
              <w:right w:type="dxa" w:w="160"/>
            </w:tcMar>
          </w:tcPr>
          <w:p>
            <w:pPr>
              <w:spacing w:after="0" w:before="0" w:line="276"/>
            </w:pPr>
            <w:r>
              <w:rPr>
                <w:rFonts w:ascii="Calibri" w:cs="Calibri" w:eastAsia="Calibri" w:hAnsi="Calibri"/>
                <w:b/>
                <w:bCs/>
                <w:color w:val="312E81"/>
                <w:sz w:val="20"/>
                <w:szCs w:val="20"/>
              </w:rPr>
              <w:t xml:space="preserve">Prepare for this question.  </w:t>
            </w:r>
            <w:r>
              <w:rPr>
                <w:rFonts w:ascii="Calibri" w:cs="Calibri" w:eastAsia="Calibri" w:hAnsi="Calibri"/>
                <w:color w:val="1E293B"/>
                <w:sz w:val="20"/>
                <w:szCs w:val="20"/>
              </w:rPr>
              <w:t xml:space="preserve">Someone will ask whether an AI should be assessing trauma at all. The answer, in this order and inside twenty seconds: it does not, and we do not claim it does. It is a bounded intake instrument. It captures the account once, shows the officer the evidence, and escalates immediately on a crisis signal. Every clinical and procedural judgement stays with a trained person.</w:t>
            </w:r>
          </w:p>
        </w:tc>
      </w:tr>
    </w:tbl>
    <w:p>
      <w:r>
        <w:br w:type="page"/>
      </w:r>
    </w:p>
    <w:p>
      <w:pPr>
        <w:pStyle w:val="Heading1"/>
        <w:spacing w:after="150" w:before="340"/>
      </w:pPr>
      <w:r>
        <w:rPr>
          <w:rFonts w:ascii="Calibri" w:cs="Calibri" w:eastAsia="Calibri" w:hAnsi="Calibri"/>
          <w:b/>
          <w:bCs/>
          <w:color w:val="4F46E5"/>
          <w:sz w:val="30"/>
          <w:szCs w:val="30"/>
        </w:rPr>
        <w:t xml:space="preserve">11.  Compliance flags, corrections and priority order</w:t>
      </w:r>
    </w:p>
    <w:p>
      <w:pPr>
        <w:pStyle w:val="Heading3"/>
        <w:spacing w:after="100" w:before="200"/>
      </w:pPr>
      <w:r>
        <w:rPr>
          <w:rFonts w:ascii="Calibri" w:cs="Calibri" w:eastAsia="Calibri" w:hAnsi="Calibri"/>
          <w:b/>
          <w:bCs/>
          <w:color w:val="64748B"/>
          <w:sz w:val="21"/>
          <w:szCs w:val="21"/>
        </w:rPr>
        <w:t xml:space="preserve">Compliance flags against the official template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5"/>
        <w:gridCol w:w="3167"/>
        <w:gridCol w:w="3912"/>
      </w:tblGrid>
      <w:tr>
        <w:trPr>
          <w:tblHeader/>
        </w:trPr>
        <w:tc>
          <w:tcPr>
            <w:tcW w:type="dxa" w:w="2235"/>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Flag</w:t>
            </w:r>
          </w:p>
        </w:tc>
        <w:tc>
          <w:tcPr>
            <w:tcW w:type="dxa" w:w="3167"/>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Status</w:t>
            </w:r>
          </w:p>
        </w:tc>
        <w:tc>
          <w:tcPr>
            <w:tcW w:type="dxa" w:w="3912"/>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Action</w:t>
            </w:r>
          </w:p>
        </w:tc>
      </w:tr>
      <w:tr>
        <w:tc>
          <w:tcPr>
            <w:tcW w:type="dxa" w:w="2235"/>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Six-slide limit</w:t>
            </w:r>
          </w:p>
        </w:tc>
        <w:tc>
          <w:tcPr>
            <w:tcW w:type="dxa" w:w="3167"/>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Met — the deck has exactly six</w:t>
            </w:r>
          </w:p>
        </w:tc>
        <w:tc>
          <w:tcPr>
            <w:tcW w:type="dxa" w:w="3912"/>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Do not add a slide. Every change in this document fits inside an existing one</w:t>
            </w:r>
          </w:p>
        </w:tc>
      </w:tr>
      <w:tr>
        <w:tc>
          <w:tcPr>
            <w:tcW w:type="dxa" w:w="2235"/>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Idea-details pointers retained</w:t>
            </w:r>
          </w:p>
        </w:tc>
        <w:tc>
          <w:tcPr>
            <w:tcW w:type="dxa" w:w="3167"/>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Not met — the pointer lines under each heading are missing</w:t>
            </w:r>
          </w:p>
        </w:tc>
        <w:tc>
          <w:tcPr>
            <w:tcW w:type="dxa" w:w="3912"/>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Restore them as small grey subtitle text under each slide heading. Low effort, removes the only real compliance risk in the deck</w:t>
            </w:r>
          </w:p>
        </w:tc>
      </w:tr>
      <w:tr>
        <w:tc>
          <w:tcPr>
            <w:tcW w:type="dxa" w:w="2235"/>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Instructions slide deleted</w:t>
            </w:r>
          </w:p>
        </w:tc>
        <w:tc>
          <w:tcPr>
            <w:tcW w:type="dxa" w:w="3167"/>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Met</w:t>
            </w:r>
          </w:p>
        </w:tc>
        <w:tc>
          <w:tcPr>
            <w:tcW w:type="dxa" w:w="3912"/>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None</w:t>
            </w:r>
          </w:p>
        </w:tc>
      </w:tr>
      <w:tr>
        <w:tc>
          <w:tcPr>
            <w:tcW w:type="dxa" w:w="2235"/>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No paragraphs on slides</w:t>
            </w:r>
          </w:p>
        </w:tc>
        <w:tc>
          <w:tcPr>
            <w:tcW w:type="dxa" w:w="3167"/>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Mostly met — a few cards run long</w:t>
            </w:r>
          </w:p>
        </w:tc>
        <w:tc>
          <w:tcPr>
            <w:tcW w:type="dxa" w:w="3912"/>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Trim to the word budget in section 9</w:t>
            </w:r>
          </w:p>
        </w:tc>
      </w:tr>
      <w:tr>
        <w:tc>
          <w:tcPr>
            <w:tcW w:type="dxa" w:w="2235"/>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Template canvas size</w:t>
            </w:r>
          </w:p>
        </w:tc>
        <w:tc>
          <w:tcPr>
            <w:tcW w:type="dxa" w:w="3167"/>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Deviates, both are 16:9</w:t>
            </w:r>
          </w:p>
        </w:tc>
        <w:tc>
          <w:tcPr>
            <w:tcW w:type="dxa" w:w="3912"/>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Accept for now. See the canvas note in section 1</w:t>
            </w:r>
          </w:p>
        </w:tc>
      </w:tr>
      <w:tr>
        <w:tc>
          <w:tcPr>
            <w:tcW w:type="dxa" w:w="2235"/>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PDF submission</w:t>
            </w:r>
          </w:p>
        </w:tc>
        <w:tc>
          <w:tcPr>
            <w:tcW w:type="dxa" w:w="3167"/>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Pending</w:t>
            </w:r>
          </w:p>
        </w:tc>
        <w:tc>
          <w:tcPr>
            <w:tcW w:type="dxa" w:w="3912"/>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Export and proof-read the PDF, not the .pptx</w:t>
            </w:r>
          </w:p>
        </w:tc>
      </w:tr>
    </w:tbl>
    <w:p>
      <w:pPr>
        <w:spacing w:after="130" w:before="0" w:line="276"/>
      </w:pPr>
      <w:r>
        <w:rPr>
          <w:rFonts w:ascii="Calibri" w:cs="Calibri" w:eastAsia="Calibri" w:hAnsi="Calibri"/>
          <w:color w:val="1E293B"/>
          <w:sz w:val="20"/>
          <w:szCs w:val="20"/>
        </w:rPr>
        <w:t xml:space="preserve"/>
      </w:r>
    </w:p>
    <w:p>
      <w:pPr>
        <w:pStyle w:val="Heading3"/>
        <w:spacing w:after="100" w:before="200"/>
      </w:pPr>
      <w:r>
        <w:rPr>
          <w:rFonts w:ascii="Calibri" w:cs="Calibri" w:eastAsia="Calibri" w:hAnsi="Calibri"/>
          <w:b/>
          <w:bCs/>
          <w:color w:val="64748B"/>
          <w:sz w:val="21"/>
          <w:szCs w:val="21"/>
        </w:rPr>
        <w:t xml:space="preserve">Corrections required before submission</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
        <w:gridCol w:w="3726"/>
        <w:gridCol w:w="4657"/>
      </w:tblGrid>
      <w:tr>
        <w:trPr>
          <w:tblHeader/>
        </w:trPr>
        <w:tc>
          <w:tcPr>
            <w:tcW w:type="dxa" w:w="931"/>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Slide</w:t>
            </w:r>
          </w:p>
        </w:tc>
        <w:tc>
          <w:tcPr>
            <w:tcW w:type="dxa" w:w="3726"/>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Found</w:t>
            </w:r>
          </w:p>
        </w:tc>
        <w:tc>
          <w:tcPr>
            <w:tcW w:type="dxa" w:w="4657"/>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8"/>
                <w:szCs w:val="18"/>
              </w:rPr>
              <w:t xml:space="preserve">Correct to</w:t>
            </w:r>
          </w:p>
        </w:tc>
      </w:tr>
      <w:tr>
        <w:tc>
          <w:tcPr>
            <w:tcW w:type="dxa" w:w="93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2</w:t>
            </w:r>
          </w:p>
        </w:tc>
        <w:tc>
          <w:tcPr>
            <w:tcW w:type="dxa" w:w="3726"/>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multilngual</w:t>
            </w:r>
          </w:p>
        </w:tc>
        <w:tc>
          <w:tcPr>
            <w:tcW w:type="dxa" w:w="4657"/>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multilingual</w:t>
            </w:r>
          </w:p>
        </w:tc>
      </w:tr>
      <w:tr>
        <w:tc>
          <w:tcPr>
            <w:tcW w:type="dxa" w:w="931"/>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2</w:t>
            </w:r>
          </w:p>
        </w:tc>
        <w:tc>
          <w:tcPr>
            <w:tcW w:type="dxa" w:w="3726"/>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VICITM SPEAKS</w:t>
            </w:r>
          </w:p>
        </w:tc>
        <w:tc>
          <w:tcPr>
            <w:tcW w:type="dxa" w:w="4657"/>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VICTIM SPEAKS</w:t>
            </w:r>
          </w:p>
        </w:tc>
      </w:tr>
      <w:tr>
        <w:tc>
          <w:tcPr>
            <w:tcW w:type="dxa" w:w="93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2</w:t>
            </w:r>
          </w:p>
        </w:tc>
        <w:tc>
          <w:tcPr>
            <w:tcW w:type="dxa" w:w="3726"/>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Consellors</w:t>
            </w:r>
          </w:p>
        </w:tc>
        <w:tc>
          <w:tcPr>
            <w:tcW w:type="dxa" w:w="4657"/>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Counsellors</w:t>
            </w:r>
          </w:p>
        </w:tc>
      </w:tr>
      <w:tr>
        <w:tc>
          <w:tcPr>
            <w:tcW w:type="dxa" w:w="931"/>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2</w:t>
            </w:r>
          </w:p>
        </w:tc>
        <w:tc>
          <w:tcPr>
            <w:tcW w:type="dxa" w:w="3726"/>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Explaniable insights</w:t>
            </w:r>
          </w:p>
        </w:tc>
        <w:tc>
          <w:tcPr>
            <w:tcW w:type="dxa" w:w="4657"/>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Explainable insights</w:t>
            </w:r>
          </w:p>
        </w:tc>
      </w:tr>
      <w:tr>
        <w:tc>
          <w:tcPr>
            <w:tcW w:type="dxa" w:w="93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4</w:t>
            </w:r>
          </w:p>
        </w:tc>
        <w:tc>
          <w:tcPr>
            <w:tcW w:type="dxa" w:w="3726"/>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Viabilty</w:t>
            </w:r>
          </w:p>
        </w:tc>
        <w:tc>
          <w:tcPr>
            <w:tcW w:type="dxa" w:w="4657"/>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Viability</w:t>
            </w:r>
          </w:p>
        </w:tc>
      </w:tr>
      <w:tr>
        <w:tc>
          <w:tcPr>
            <w:tcW w:type="dxa" w:w="931"/>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4</w:t>
            </w:r>
          </w:p>
        </w:tc>
        <w:tc>
          <w:tcPr>
            <w:tcW w:type="dxa" w:w="3726"/>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WHY THE IDEA IS VIABILE</w:t>
            </w:r>
          </w:p>
        </w:tc>
        <w:tc>
          <w:tcPr>
            <w:tcW w:type="dxa" w:w="4657"/>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WHY THE IDEA IS VIABLE</w:t>
            </w:r>
          </w:p>
        </w:tc>
      </w:tr>
      <w:tr>
        <w:tc>
          <w:tcPr>
            <w:tcW w:type="dxa" w:w="93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5</w:t>
            </w:r>
          </w:p>
        </w:tc>
        <w:tc>
          <w:tcPr>
            <w:tcW w:type="dxa" w:w="3726"/>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Smater administration</w:t>
            </w:r>
          </w:p>
        </w:tc>
        <w:tc>
          <w:tcPr>
            <w:tcW w:type="dxa" w:w="4657"/>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Smarter administration</w:t>
            </w:r>
          </w:p>
        </w:tc>
      </w:tr>
      <w:tr>
        <w:tc>
          <w:tcPr>
            <w:tcW w:type="dxa" w:w="931"/>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5</w:t>
            </w:r>
          </w:p>
        </w:tc>
        <w:tc>
          <w:tcPr>
            <w:tcW w:type="dxa" w:w="3726"/>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Faster responsible</w:t>
            </w:r>
          </w:p>
        </w:tc>
        <w:tc>
          <w:tcPr>
            <w:tcW w:type="dxa" w:w="4657"/>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Faster response — confirm the intended wording</w:t>
            </w:r>
          </w:p>
        </w:tc>
      </w:tr>
      <w:tr>
        <w:tc>
          <w:tcPr>
            <w:tcW w:type="dxa" w:w="93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1</w:t>
            </w:r>
          </w:p>
        </w:tc>
        <w:tc>
          <w:tcPr>
            <w:tcW w:type="dxa" w:w="3726"/>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Team ID reads TBA</w:t>
            </w:r>
          </w:p>
        </w:tc>
        <w:tc>
          <w:tcPr>
            <w:tcW w:type="dxa" w:w="4657"/>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The registered Team ID</w:t>
            </w:r>
          </w:p>
        </w:tc>
      </w:tr>
      <w:tr>
        <w:tc>
          <w:tcPr>
            <w:tcW w:type="dxa" w:w="931"/>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5</w:t>
            </w:r>
          </w:p>
        </w:tc>
        <w:tc>
          <w:tcPr>
            <w:tcW w:type="dxa" w:w="3726"/>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Google Drive share link</w:t>
            </w:r>
          </w:p>
        </w:tc>
        <w:tc>
          <w:tcPr>
            <w:tcW w:type="dxa" w:w="4657"/>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 publicly resolvable citation</w:t>
            </w:r>
          </w:p>
        </w:tc>
      </w:tr>
      <w:tr>
        <w:tc>
          <w:tcPr>
            <w:tcW w:type="dxa" w:w="931"/>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File</w:t>
            </w:r>
          </w:p>
        </w:tc>
        <w:tc>
          <w:tcPr>
            <w:tcW w:type="dxa" w:w="3726"/>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SIH2026.pptx(1).pptx</w:t>
            </w:r>
          </w:p>
        </w:tc>
        <w:tc>
          <w:tcPr>
            <w:tcW w:type="dxa" w:w="4657"/>
            <w:shd w:fill="FFFFFF"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SIH2026_ALTF4_SIH26093.pptx</w:t>
            </w:r>
          </w:p>
        </w:tc>
      </w:tr>
      <w:tr>
        <w:tc>
          <w:tcPr>
            <w:tcW w:type="dxa" w:w="931"/>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File</w:t>
            </w:r>
          </w:p>
        </w:tc>
        <w:tc>
          <w:tcPr>
            <w:tcW w:type="dxa" w:w="3726"/>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A second, unused AWS architecture image is still embedded</w:t>
            </w:r>
          </w:p>
        </w:tc>
        <w:tc>
          <w:tcPr>
            <w:tcW w:type="dxa" w:w="4657"/>
            <w:shd w:fill="F8FAFC" w:val="clear"/>
            <w:tcMar>
              <w:top w:type="dxa" w:w="90"/>
              <w:left w:type="dxa" w:w="110"/>
              <w:bottom w:type="dxa" w:w="90"/>
              <w:right w:type="dxa" w:w="110"/>
            </w:tcMar>
          </w:tcPr>
          <w:p>
            <w:pPr>
              <w:spacing w:after="0" w:line="240"/>
            </w:pPr>
            <w:r>
              <w:rPr>
                <w:rFonts w:ascii="Calibri" w:cs="Calibri" w:eastAsia="Calibri" w:hAnsi="Calibri"/>
                <w:color w:val="1E293B"/>
                <w:sz w:val="18"/>
                <w:szCs w:val="18"/>
              </w:rPr>
              <w:t xml:space="preserve">Delete it — 1.5 MB of dead weight telling a conflicting story</w:t>
            </w:r>
          </w:p>
        </w:tc>
      </w:tr>
    </w:tbl>
    <w:p>
      <w:pPr>
        <w:spacing w:after="130" w:before="0" w:line="276"/>
      </w:pPr>
      <w:r>
        <w:rPr>
          <w:rFonts w:ascii="Calibri" w:cs="Calibri" w:eastAsia="Calibri" w:hAnsi="Calibri"/>
          <w:color w:val="1E293B"/>
          <w:sz w:val="20"/>
          <w:szCs w:val="20"/>
        </w:rPr>
        <w:t xml:space="preserve"/>
      </w:r>
    </w:p>
    <w:p>
      <w:pPr>
        <w:pStyle w:val="Heading3"/>
        <w:spacing w:after="100" w:before="200"/>
      </w:pPr>
      <w:r>
        <w:rPr>
          <w:rFonts w:ascii="Calibri" w:cs="Calibri" w:eastAsia="Calibri" w:hAnsi="Calibri"/>
          <w:b/>
          <w:bCs/>
          <w:color w:val="64748B"/>
          <w:sz w:val="21"/>
          <w:szCs w:val="21"/>
        </w:rPr>
        <w:t xml:space="preserve">Priority order</w:t>
      </w:r>
    </w:p>
    <w:p>
      <w:pPr>
        <w:pStyle w:val="ListParagraph"/>
        <w:numPr>
          <w:ilvl w:val="0"/>
          <w:numId w:val="4"/>
        </w:numPr>
        <w:spacing w:after="70" w:line="264"/>
      </w:pPr>
      <w:r>
        <w:rPr>
          <w:rFonts w:ascii="Calibri" w:cs="Calibri" w:eastAsia="Calibri" w:hAnsi="Calibri"/>
          <w:color w:val="1E293B"/>
          <w:sz w:val="20"/>
          <w:szCs w:val="20"/>
        </w:rPr>
        <w:t xml:space="preserve">Slide 3: the crisis interrupt, the two path labels and the role-filter chip. Largest gain, smallest edit.</w:t>
      </w:r>
    </w:p>
    <w:p>
      <w:pPr>
        <w:pStyle w:val="ListParagraph"/>
        <w:numPr>
          <w:ilvl w:val="0"/>
          <w:numId w:val="4"/>
        </w:numPr>
        <w:spacing w:after="70" w:line="264"/>
      </w:pPr>
      <w:r>
        <w:rPr>
          <w:rFonts w:ascii="Calibri" w:cs="Calibri" w:eastAsia="Calibri" w:hAnsi="Calibri"/>
          <w:color w:val="1E293B"/>
          <w:sz w:val="20"/>
          <w:szCs w:val="20"/>
        </w:rPr>
        <w:t xml:space="preserve">Slide 3: the infrastructure strip along the foot. This is the architecture answer.</w:t>
      </w:r>
    </w:p>
    <w:p>
      <w:pPr>
        <w:pStyle w:val="ListParagraph"/>
        <w:numPr>
          <w:ilvl w:val="0"/>
          <w:numId w:val="4"/>
        </w:numPr>
        <w:spacing w:after="70" w:line="264"/>
      </w:pPr>
      <w:r>
        <w:rPr>
          <w:rFonts w:ascii="Calibri" w:cs="Calibri" w:eastAsia="Calibri" w:hAnsi="Calibri"/>
          <w:color w:val="1E293B"/>
          <w:sz w:val="20"/>
          <w:szCs w:val="20"/>
        </w:rPr>
        <w:t xml:space="preserve">Slide 4: the Data Protection and Sovereignty card.</w:t>
      </w:r>
    </w:p>
    <w:p>
      <w:pPr>
        <w:pStyle w:val="ListParagraph"/>
        <w:numPr>
          <w:ilvl w:val="0"/>
          <w:numId w:val="4"/>
        </w:numPr>
        <w:spacing w:after="70" w:line="264"/>
      </w:pPr>
      <w:r>
        <w:rPr>
          <w:rFonts w:ascii="Calibri" w:cs="Calibri" w:eastAsia="Calibri" w:hAnsi="Calibri"/>
          <w:color w:val="1E293B"/>
          <w:sz w:val="20"/>
          <w:szCs w:val="20"/>
        </w:rPr>
        <w:t xml:space="preserve">Slide 3: the stack subtitles, plus the AI4Bharat and Silero tiles.</w:t>
      </w:r>
    </w:p>
    <w:p>
      <w:pPr>
        <w:pStyle w:val="ListParagraph"/>
        <w:numPr>
          <w:ilvl w:val="0"/>
          <w:numId w:val="4"/>
        </w:numPr>
        <w:spacing w:after="70" w:line="264"/>
      </w:pPr>
      <w:r>
        <w:rPr>
          <w:rFonts w:ascii="Calibri" w:cs="Calibri" w:eastAsia="Calibri" w:hAnsi="Calibri"/>
          <w:color w:val="1E293B"/>
          <w:sz w:val="20"/>
          <w:szCs w:val="20"/>
        </w:rPr>
        <w:t xml:space="preserve">Slide 2: the consent gate and the crisis branch.</w:t>
      </w:r>
    </w:p>
    <w:p>
      <w:pPr>
        <w:pStyle w:val="ListParagraph"/>
        <w:numPr>
          <w:ilvl w:val="0"/>
          <w:numId w:val="4"/>
        </w:numPr>
        <w:spacing w:after="70" w:line="264"/>
      </w:pPr>
      <w:r>
        <w:rPr>
          <w:rFonts w:ascii="Calibri" w:cs="Calibri" w:eastAsia="Calibri" w:hAnsi="Calibri"/>
          <w:color w:val="1E293B"/>
          <w:sz w:val="20"/>
          <w:szCs w:val="20"/>
        </w:rPr>
        <w:t xml:space="preserve">Slide 5: the executive flow strip and the roadmap ribbon.</w:t>
      </w:r>
    </w:p>
    <w:p>
      <w:pPr>
        <w:pStyle w:val="ListParagraph"/>
        <w:numPr>
          <w:ilvl w:val="0"/>
          <w:numId w:val="4"/>
        </w:numPr>
        <w:spacing w:after="70" w:line="264"/>
      </w:pPr>
      <w:r>
        <w:rPr>
          <w:rFonts w:ascii="Calibri" w:cs="Calibri" w:eastAsia="Calibri" w:hAnsi="Calibri"/>
          <w:color w:val="1E293B"/>
          <w:sz w:val="20"/>
          <w:szCs w:val="20"/>
        </w:rPr>
        <w:t xml:space="preserve">Spelling, Team ID, references, pointer lines, file rename, PDF export check.</w:t>
      </w:r>
    </w:p>
    <w:p>
      <w:pPr>
        <w:pStyle w:val="Heading3"/>
        <w:spacing w:after="100" w:before="200"/>
      </w:pPr>
      <w:r>
        <w:rPr>
          <w:rFonts w:ascii="Calibri" w:cs="Calibri" w:eastAsia="Calibri" w:hAnsi="Calibri"/>
          <w:b/>
          <w:bCs/>
          <w:color w:val="64748B"/>
          <w:sz w:val="21"/>
          <w:szCs w:val="21"/>
        </w:rPr>
        <w:t xml:space="preserve">Done when</w:t>
      </w:r>
    </w:p>
    <w:p>
      <w:pPr>
        <w:pStyle w:val="ListParagraph"/>
        <w:numPr>
          <w:ilvl w:val="0"/>
          <w:numId w:val="3"/>
        </w:numPr>
        <w:spacing w:after="70" w:line="264"/>
      </w:pPr>
      <w:r>
        <w:rPr>
          <w:rFonts w:ascii="Calibri" w:cs="Calibri" w:eastAsia="Calibri" w:hAnsi="Calibri"/>
          <w:color w:val="1E293B"/>
          <w:sz w:val="20"/>
          <w:szCs w:val="20"/>
        </w:rPr>
        <w:t xml:space="preserve">The crisis path appears on slides 2 and 3, in the reserved colour, and nowhere else uses that colour.</w:t>
      </w:r>
    </w:p>
    <w:p>
      <w:pPr>
        <w:pStyle w:val="ListParagraph"/>
        <w:numPr>
          <w:ilvl w:val="0"/>
          <w:numId w:val="3"/>
        </w:numPr>
        <w:spacing w:after="70" w:line="264"/>
      </w:pPr>
      <w:r>
        <w:rPr>
          <w:rFonts w:ascii="Calibri" w:cs="Calibri" w:eastAsia="Calibri" w:hAnsi="Calibri"/>
          <w:color w:val="1E293B"/>
          <w:sz w:val="20"/>
          <w:szCs w:val="20"/>
        </w:rPr>
        <w:t xml:space="preserve">The words "the LLM only phrases it" appear on slide 3.</w:t>
      </w:r>
    </w:p>
    <w:p>
      <w:pPr>
        <w:pStyle w:val="ListParagraph"/>
        <w:numPr>
          <w:ilvl w:val="0"/>
          <w:numId w:val="3"/>
        </w:numPr>
        <w:spacing w:after="70" w:line="264"/>
      </w:pPr>
      <w:r>
        <w:rPr>
          <w:rFonts w:ascii="Calibri" w:cs="Calibri" w:eastAsia="Calibri" w:hAnsi="Calibri"/>
          <w:color w:val="1E293B"/>
          <w:sz w:val="20"/>
          <w:szCs w:val="20"/>
        </w:rPr>
        <w:t xml:space="preserve">The privacy boundary is shown as a filter on a diagram, not only written as a claim.</w:t>
      </w:r>
    </w:p>
    <w:p>
      <w:pPr>
        <w:pStyle w:val="ListParagraph"/>
        <w:numPr>
          <w:ilvl w:val="0"/>
          <w:numId w:val="3"/>
        </w:numPr>
        <w:spacing w:after="70" w:line="264"/>
      </w:pPr>
      <w:r>
        <w:rPr>
          <w:rFonts w:ascii="Calibri" w:cs="Calibri" w:eastAsia="Calibri" w:hAnsi="Calibri"/>
          <w:color w:val="1E293B"/>
          <w:sz w:val="20"/>
          <w:szCs w:val="20"/>
        </w:rPr>
        <w:t xml:space="preserve">A human decision node appears at the end of every flow on every slide.</w:t>
      </w:r>
    </w:p>
    <w:p>
      <w:pPr>
        <w:pStyle w:val="ListParagraph"/>
        <w:numPr>
          <w:ilvl w:val="0"/>
          <w:numId w:val="3"/>
        </w:numPr>
        <w:spacing w:after="70" w:line="264"/>
      </w:pPr>
      <w:r>
        <w:rPr>
          <w:rFonts w:ascii="Calibri" w:cs="Calibri" w:eastAsia="Calibri" w:hAnsi="Calibri"/>
          <w:color w:val="1E293B"/>
          <w:sz w:val="20"/>
          <w:szCs w:val="20"/>
        </w:rPr>
        <w:t xml:space="preserve">AI4Bharat appears on slide 3, slide 4 and slide 5, worded as roadmap coverage.</w:t>
      </w:r>
    </w:p>
    <w:p>
      <w:pPr>
        <w:pStyle w:val="ListParagraph"/>
        <w:numPr>
          <w:ilvl w:val="0"/>
          <w:numId w:val="3"/>
        </w:numPr>
        <w:spacing w:after="70" w:line="264"/>
      </w:pPr>
      <w:r>
        <w:rPr>
          <w:rFonts w:ascii="Calibri" w:cs="Calibri" w:eastAsia="Calibri" w:hAnsi="Calibri"/>
          <w:color w:val="1E293B"/>
          <w:sz w:val="20"/>
          <w:szCs w:val="20"/>
        </w:rPr>
        <w:t xml:space="preserve">No slide names a single cloud vendor as a requirement.</w:t>
      </w:r>
    </w:p>
    <w:p>
      <w:pPr>
        <w:pStyle w:val="ListParagraph"/>
        <w:numPr>
          <w:ilvl w:val="0"/>
          <w:numId w:val="3"/>
        </w:numPr>
        <w:spacing w:after="70" w:line="264"/>
      </w:pPr>
      <w:r>
        <w:rPr>
          <w:rFonts w:ascii="Calibri" w:cs="Calibri" w:eastAsia="Calibri" w:hAnsi="Calibri"/>
          <w:color w:val="1E293B"/>
          <w:sz w:val="20"/>
          <w:szCs w:val="20"/>
        </w:rPr>
        <w:t xml:space="preserve">No number appears without either a measurement or the word "target".</w:t>
      </w:r>
    </w:p>
    <w:p>
      <w:pPr>
        <w:pStyle w:val="ListParagraph"/>
        <w:numPr>
          <w:ilvl w:val="0"/>
          <w:numId w:val="3"/>
        </w:numPr>
        <w:spacing w:after="70" w:line="264"/>
      </w:pPr>
      <w:r>
        <w:rPr>
          <w:rFonts w:ascii="Calibri" w:cs="Calibri" w:eastAsia="Calibri" w:hAnsi="Calibri"/>
          <w:color w:val="1E293B"/>
          <w:sz w:val="20"/>
          <w:szCs w:val="20"/>
        </w:rPr>
        <w:t xml:space="preserve">No slide exceeds 110 words and no slide contains a paragraph.</w:t>
      </w:r>
    </w:p>
    <w:p>
      <w:pPr>
        <w:pStyle w:val="ListParagraph"/>
        <w:numPr>
          <w:ilvl w:val="0"/>
          <w:numId w:val="3"/>
        </w:numPr>
        <w:spacing w:after="70" w:line="264"/>
      </w:pPr>
      <w:r>
        <w:rPr>
          <w:rFonts w:ascii="Calibri" w:cs="Calibri" w:eastAsia="Calibri" w:hAnsi="Calibri"/>
          <w:color w:val="1E293B"/>
          <w:sz w:val="20"/>
          <w:szCs w:val="20"/>
        </w:rPr>
        <w:t xml:space="preserve">The pointer lines from the official template are present under every slide heading.</w:t>
      </w:r>
    </w:p>
    <w:p>
      <w:pPr>
        <w:pStyle w:val="ListParagraph"/>
        <w:numPr>
          <w:ilvl w:val="0"/>
          <w:numId w:val="3"/>
        </w:numPr>
        <w:spacing w:after="70" w:line="264"/>
      </w:pPr>
      <w:r>
        <w:rPr>
          <w:rFonts w:ascii="Calibri" w:cs="Calibri" w:eastAsia="Calibri" w:hAnsi="Calibri"/>
          <w:color w:val="1E293B"/>
          <w:sz w:val="20"/>
          <w:szCs w:val="20"/>
        </w:rPr>
        <w:t xml:space="preserve">The exported PDF is legible at 100 per cent, including the smallest caption.</w:t>
      </w:r>
    </w:p>
    <w:p>
      <w:pPr>
        <w:spacing w:after="160" w:before="0" w:line="276"/>
      </w:pPr>
      <w:r>
        <w:rPr>
          <w:rFonts w:ascii="Calibri" w:cs="Calibri" w:eastAsia="Calibri" w:hAnsi="Calibri"/>
          <w:color w:val="1E293B"/>
          <w:sz w:val="20"/>
          <w:szCs w:val="20"/>
        </w:rPr>
        <w:t xml:space="preserve"/>
      </w:r>
    </w:p>
    <w:p>
      <w:pPr>
        <w:pBdr>
          <w:bottom w:val="single" w:color="CBD5E1" w:sz="6"/>
        </w:pBdr>
        <w:spacing w:after="150" w:before="60"/>
      </w:pPr>
      <w:r>
        <w:rPr>
          <w:sz w:val="2"/>
          <w:szCs w:val="2"/>
        </w:rPr>
        <w:t xml:space="preserve"/>
      </w:r>
    </w:p>
    <w:p>
      <w:pPr>
        <w:spacing w:after="120" w:before="0" w:line="276"/>
      </w:pPr>
      <w:r>
        <w:rPr>
          <w:rFonts w:ascii="Calibri" w:cs="Calibri" w:eastAsia="Calibri" w:hAnsi="Calibri"/>
          <w:i/>
          <w:iCs/>
          <w:color w:val="64748B"/>
          <w:sz w:val="18"/>
          <w:szCs w:val="18"/>
        </w:rPr>
        <w:t xml:space="preserve">End of specification. Every change listed here fits inside the existing six slides and the existing visual system. Nothing in this document requires a new slide, a new layout or a redesign.</w:t>
      </w:r>
    </w:p>
    <w:sectPr>
      <w:pgSz w:w="11906" w:h="16838" w:orient="portrait"/>
      <w:pgMar w:top="1150" w:right="1296" w:bottom="115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240"/>
      </w:pPr>
    </w:lvl>
  </w:abstractNum>
  <w:abstractNum w:abstractNumId="4"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SAHAY-AI — SIH 2026 Deck Update Specification v2</dc:title>
  <dc:creator>Team ALT F4</dc:creator>
  <dc:description>Content updates for the existing six-slide SIH 2026 deck, within the official template rules</dc:description>
  <cp:lastModifiedBy>Un-named</cp:lastModifiedBy>
  <cp:revision>1</cp:revision>
  <dcterms:created xsi:type="dcterms:W3CDTF">2026-09-22T16:48:45.529Z</dcterms:created>
  <dcterms:modified xsi:type="dcterms:W3CDTF">2026-09-22T16:48:45.532Z</dcterms:modified>
</cp:coreProperties>
</file>

<file path=docProps/custom.xml><?xml version="1.0" encoding="utf-8"?>
<Properties xmlns="http://schemas.openxmlformats.org/officeDocument/2006/custom-properties" xmlns:vt="http://schemas.openxmlformats.org/officeDocument/2006/docPropsVTypes"/>
</file>