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color w:val="1A5376"/>
          <w:sz w:val="40"/>
        </w:rPr>
        <w:t>SmartFruit: An Edge AI System for Intelligent</w:t>
        <w:br/>
        <w:t>Fruit Recognition, Classification, and Automated</w:t>
        <w:br/>
        <w:t>Sorting Using Deep Learning and Embedded Computing</w:t>
      </w:r>
    </w:p>
    <w:p/>
    <w:p>
      <w:pPr>
        <w:jc w:val="center"/>
      </w:pPr>
      <w:r>
        <w:rPr>
          <w:rFonts w:ascii="Times New Roman" w:hAnsi="Times New Roman"/>
          <w:b/>
          <w:sz w:val="26"/>
        </w:rPr>
        <w:t>Adveith Walke, Khushi Solanki, Bhavisha Chauhan</w:t>
      </w:r>
    </w:p>
    <w:p>
      <w:pPr>
        <w:jc w:val="center"/>
      </w:pPr>
      <w:r>
        <w:rPr>
          <w:rFonts w:ascii="Times New Roman" w:hAnsi="Times New Roman"/>
          <w:i/>
          <w:sz w:val="22"/>
        </w:rPr>
        <w:t>School of Computer Science, Engineering and Applications</w:t>
        <w:br/>
        <w:t>D Y Patil International University, Akurdi, Pune, India – 411044</w:t>
      </w:r>
    </w:p>
    <w:p/>
    <w:p>
      <w:pPr>
        <w:jc w:val="center"/>
      </w:pPr>
      <w:r>
        <w:rPr>
          <w:rFonts w:ascii="Times New Roman" w:hAnsi="Times New Roman"/>
          <w:b/>
          <w:sz w:val="24"/>
        </w:rPr>
        <w:t>Project Guide: Dr. Maheshwari Biradar</w:t>
      </w:r>
    </w:p>
    <w:p>
      <w:pPr>
        <w:jc w:val="center"/>
      </w:pPr>
      <w:r>
        <w:rPr>
          <w:rFonts w:ascii="Times New Roman" w:hAnsi="Times New Roman"/>
          <w:sz w:val="22"/>
        </w:rPr>
        <w:t>Academic Year: 2025–2026</w:t>
      </w:r>
    </w:p>
    <w:p>
      <w:r>
        <w:br w:type="page"/>
      </w:r>
    </w:p>
    <w:p>
      <w:pPr>
        <w:pStyle w:val="Heading1"/>
      </w:pPr>
      <w:r>
        <w:t>Abstract</w:t>
      </w:r>
    </w:p>
    <w:p>
      <w:pPr>
        <w:spacing w:after="120" w:before="0" w:lineRule="auto" w:line="276"/>
        <w:ind w:firstLine="0"/>
        <w:jc w:val="both"/>
      </w:pPr>
      <w:r>
        <w:rPr>
          <w:rFonts w:ascii="Times New Roman" w:hAnsi="Times New Roman"/>
          <w:b w:val="0"/>
          <w:i w:val="0"/>
          <w:sz w:val="22"/>
        </w:rPr>
        <w:t>Automated quality assessment of agricultural produce represents one of the most commercially significant intersections of artificial intelligence and food science. This report presents SmartFruit, a fully integrated edge-AI cyber-physical system designed to perform real-time fruit recognition, freshness classification, and automated mechanical sorting with minimal human intervention. The system is built on an NVIDIA Jetson embedded computing platform and driven by a convolutional neural network (CNN) trained using cloud-based GPU resources provided through Google Colab.</w:t>
      </w:r>
    </w:p>
    <w:p>
      <w:pPr>
        <w:spacing w:after="120" w:before="0" w:lineRule="auto" w:line="276"/>
        <w:ind w:firstLine="0"/>
        <w:jc w:val="both"/>
      </w:pPr>
      <w:r>
        <w:rPr>
          <w:rFonts w:ascii="Times New Roman" w:hAnsi="Times New Roman"/>
          <w:b w:val="0"/>
          <w:i w:val="0"/>
          <w:sz w:val="22"/>
        </w:rPr>
        <w:t>The CNN training pipeline encompasses comprehensive image preprocessing, data augmentation strategies designed to simulate real-world variability, and systematic evaluation using accuracy curves, training loss trajectories, and confusion matrices across six commercially significant fruit categories. Following training, the model is serialised to the Open Neural Network Exchange (ONNX) format, providing a vendor-neutral portable artifact that decouples the training environment from the deployment target. On the NVIDIA Jetson platform, ONNX Runtime executes the model through a TensorRT-optimised execution provider, achieving mean inference latency of 8.7 milliseconds per classification frame—well within the latency budget required for industrial sorting applications.</w:t>
      </w:r>
    </w:p>
    <w:p>
      <w:pPr>
        <w:spacing w:after="120" w:before="0" w:lineRule="auto" w:line="276"/>
        <w:ind w:firstLine="0"/>
        <w:jc w:val="both"/>
      </w:pPr>
      <w:r>
        <w:rPr>
          <w:rFonts w:ascii="Times New Roman" w:hAnsi="Times New Roman"/>
          <w:b w:val="0"/>
          <w:i w:val="0"/>
          <w:sz w:val="22"/>
        </w:rPr>
        <w:t>The physical sorting mechanism integrates an RGB camera module for visual acquisition, an HC-SR04 ultrasonic sensor for fruit presence detection, TCRT5000 infrared sensors for positional alignment verification, MQ-series volatile organic compound (VOC) sensors and an HX711 load cell for multimodal freshness assessment, and three MG996R servo motors for mechanical diversion into one of six output channels. A lightweight logistic regression meta-learner fuses visual confidence scores with VOC and mass readings for ambiguous predictions, improving system-level accuracy by 1.8 percentage points on the ambiguous-sample subset.</w:t>
      </w:r>
    </w:p>
    <w:p>
      <w:pPr>
        <w:spacing w:after="120" w:before="0" w:lineRule="auto" w:line="276"/>
        <w:ind w:firstLine="0"/>
        <w:jc w:val="both"/>
      </w:pPr>
      <w:r>
        <w:rPr>
          <w:rFonts w:ascii="Times New Roman" w:hAnsi="Times New Roman"/>
          <w:b w:val="0"/>
          <w:i w:val="0"/>
          <w:sz w:val="22"/>
        </w:rPr>
        <w:t>Experimental evaluation of the complete SmartFruit system demonstrates a mean classification accuracy of 96.6% across six fruit categories with a total end-to-end processing cycle of 39.2 milliseconds, supporting a sustained throughput of approximately 76 items per minute. These results validate the feasibility of deploying cloud-trained deep learning models on resource-constrained edge devices to create operationally viable autonomous sorting systems applicable to automated fruit grading, cold-chain logistics, precision agriculture, and consumer freshness monitoring.</w:t>
      </w:r>
    </w:p>
    <w:p>
      <w:pPr>
        <w:spacing w:after="120" w:before="0" w:lineRule="auto" w:line="276"/>
        <w:ind w:firstLine="0"/>
        <w:jc w:val="both"/>
      </w:pPr>
      <w:r>
        <w:rPr>
          <w:rFonts w:ascii="Times New Roman" w:hAnsi="Times New Roman"/>
          <w:b w:val="0"/>
          <w:i/>
          <w:sz w:val="22"/>
        </w:rPr>
        <w:t>Keywords: Edge AI, Convolutional Neural Network, Fruit Classification, NVIDIA Jetson, ONNX Runtime, TensorRT, Automated Sorting, Precision Agriculture, Computer Vision, Multimodal Sensing, Sensor Fusion, Food Quality Assessment.</w:t>
      </w:r>
    </w:p>
    <w:p>
      <w:r>
        <w:br w:type="page"/>
      </w:r>
    </w:p>
    <w:p>
      <w:pPr>
        <w:pStyle w:val="Heading1"/>
      </w:pPr>
      <w:r>
        <w:t>Table of Contents</w:t>
      </w:r>
    </w:p>
    <w:p>
      <w:pPr>
        <w:spacing w:after="40" w:before="0"/>
        <w:ind w:left="0"/>
      </w:pPr>
      <w:r>
        <w:rPr>
          <w:rFonts w:ascii="Times New Roman" w:hAnsi="Times New Roman"/>
          <w:sz w:val="22"/>
        </w:rPr>
        <w:t>I.  Introduction</w:t>
      </w:r>
    </w:p>
    <w:p>
      <w:pPr>
        <w:spacing w:after="40" w:before="0"/>
        <w:ind w:left="360"/>
      </w:pPr>
      <w:r>
        <w:rPr>
          <w:rFonts w:ascii="Times New Roman" w:hAnsi="Times New Roman"/>
          <w:sz w:val="22"/>
        </w:rPr>
        <w:t xml:space="preserve">    A. Scale and Economic Impact of Post-Harvest Food Loss</w:t>
      </w:r>
    </w:p>
    <w:p>
      <w:pPr>
        <w:spacing w:after="40" w:before="0"/>
        <w:ind w:left="360"/>
      </w:pPr>
      <w:r>
        <w:rPr>
          <w:rFonts w:ascii="Times New Roman" w:hAnsi="Times New Roman"/>
          <w:sz w:val="22"/>
        </w:rPr>
        <w:t xml:space="preserve">    B. Limitations of Conventional Manual Inspection</w:t>
      </w:r>
    </w:p>
    <w:p>
      <w:pPr>
        <w:spacing w:after="40" w:before="0"/>
        <w:ind w:left="360"/>
      </w:pPr>
      <w:r>
        <w:rPr>
          <w:rFonts w:ascii="Times New Roman" w:hAnsi="Times New Roman"/>
          <w:sz w:val="22"/>
        </w:rPr>
        <w:t xml:space="preserve">    C. Convolutional Neural Networks in Agricultural Vision</w:t>
      </w:r>
    </w:p>
    <w:p>
      <w:pPr>
        <w:spacing w:after="40" w:before="0"/>
        <w:ind w:left="360"/>
      </w:pPr>
      <w:r>
        <w:rPr>
          <w:rFonts w:ascii="Times New Roman" w:hAnsi="Times New Roman"/>
          <w:sz w:val="22"/>
        </w:rPr>
        <w:t xml:space="preserve">    D. Edge Computing as an Enabler of Autonomous Sorting Systems</w:t>
      </w:r>
    </w:p>
    <w:p>
      <w:pPr>
        <w:spacing w:after="40" w:before="0"/>
        <w:ind w:left="0"/>
      </w:pPr>
      <w:r>
        <w:rPr>
          <w:rFonts w:ascii="Times New Roman" w:hAnsi="Times New Roman"/>
          <w:sz w:val="22"/>
        </w:rPr>
        <w:t>II.  Literature Review</w:t>
      </w:r>
    </w:p>
    <w:p>
      <w:pPr>
        <w:spacing w:after="40" w:before="0"/>
        <w:ind w:left="360"/>
      </w:pPr>
      <w:r>
        <w:rPr>
          <w:rFonts w:ascii="Times New Roman" w:hAnsi="Times New Roman"/>
          <w:sz w:val="22"/>
        </w:rPr>
        <w:t xml:space="preserve">    A. CNN-Based Fruit and Vegetable Classification</w:t>
      </w:r>
    </w:p>
    <w:p>
      <w:pPr>
        <w:spacing w:after="40" w:before="0"/>
        <w:ind w:left="360"/>
      </w:pPr>
      <w:r>
        <w:rPr>
          <w:rFonts w:ascii="Times New Roman" w:hAnsi="Times New Roman"/>
          <w:sz w:val="22"/>
        </w:rPr>
        <w:t xml:space="preserve">    B. Multimodal and Sensor-Fusion Approaches</w:t>
      </w:r>
    </w:p>
    <w:p>
      <w:pPr>
        <w:spacing w:after="40" w:before="0"/>
        <w:ind w:left="360"/>
      </w:pPr>
      <w:r>
        <w:rPr>
          <w:rFonts w:ascii="Times New Roman" w:hAnsi="Times New Roman"/>
          <w:sz w:val="22"/>
        </w:rPr>
        <w:t xml:space="preserve">    C. Edge AI and Embedded Deployment</w:t>
      </w:r>
    </w:p>
    <w:p>
      <w:pPr>
        <w:spacing w:after="40" w:before="0"/>
        <w:ind w:left="360"/>
      </w:pPr>
      <w:r>
        <w:rPr>
          <w:rFonts w:ascii="Times New Roman" w:hAnsi="Times New Roman"/>
          <w:sz w:val="22"/>
        </w:rPr>
        <w:t xml:space="preserve">    D. ONNX as a Portability Standard</w:t>
      </w:r>
    </w:p>
    <w:p>
      <w:pPr>
        <w:spacing w:after="40" w:before="0"/>
        <w:ind w:left="360"/>
      </w:pPr>
      <w:r>
        <w:rPr>
          <w:rFonts w:ascii="Times New Roman" w:hAnsi="Times New Roman"/>
          <w:sz w:val="22"/>
        </w:rPr>
        <w:t xml:space="preserve">    E. Research Gap</w:t>
      </w:r>
    </w:p>
    <w:p>
      <w:pPr>
        <w:spacing w:after="40" w:before="0"/>
        <w:ind w:left="0"/>
      </w:pPr>
      <w:r>
        <w:rPr>
          <w:rFonts w:ascii="Times New Roman" w:hAnsi="Times New Roman"/>
          <w:sz w:val="22"/>
        </w:rPr>
        <w:t>III.  Methodology</w:t>
      </w:r>
    </w:p>
    <w:p>
      <w:pPr>
        <w:spacing w:after="40" w:before="0"/>
        <w:ind w:left="360"/>
      </w:pPr>
      <w:r>
        <w:rPr>
          <w:rFonts w:ascii="Times New Roman" w:hAnsi="Times New Roman"/>
          <w:sz w:val="22"/>
        </w:rPr>
        <w:t xml:space="preserve">    A. Dataset Preparation and Labelling</w:t>
      </w:r>
    </w:p>
    <w:p>
      <w:pPr>
        <w:spacing w:after="40" w:before="0"/>
        <w:ind w:left="360"/>
      </w:pPr>
      <w:r>
        <w:rPr>
          <w:rFonts w:ascii="Times New Roman" w:hAnsi="Times New Roman"/>
          <w:sz w:val="22"/>
        </w:rPr>
        <w:t xml:space="preserve">    B. Image Preprocessing and Augmentation</w:t>
      </w:r>
    </w:p>
    <w:p>
      <w:pPr>
        <w:spacing w:after="40" w:before="0"/>
        <w:ind w:left="360"/>
      </w:pPr>
      <w:r>
        <w:rPr>
          <w:rFonts w:ascii="Times New Roman" w:hAnsi="Times New Roman"/>
          <w:sz w:val="22"/>
        </w:rPr>
        <w:t xml:space="preserve">    C. CNN Model Architecture</w:t>
      </w:r>
    </w:p>
    <w:p>
      <w:pPr>
        <w:spacing w:after="40" w:before="0"/>
        <w:ind w:left="360"/>
      </w:pPr>
      <w:r>
        <w:rPr>
          <w:rFonts w:ascii="Times New Roman" w:hAnsi="Times New Roman"/>
          <w:sz w:val="22"/>
        </w:rPr>
        <w:t xml:space="preserve">    D. Training Process on Google Colab GPU</w:t>
      </w:r>
    </w:p>
    <w:p>
      <w:pPr>
        <w:spacing w:after="40" w:before="0"/>
        <w:ind w:left="360"/>
      </w:pPr>
      <w:r>
        <w:rPr>
          <w:rFonts w:ascii="Times New Roman" w:hAnsi="Times New Roman"/>
          <w:sz w:val="22"/>
        </w:rPr>
        <w:t xml:space="preserve">    E. Model Export to ONNX</w:t>
      </w:r>
    </w:p>
    <w:p>
      <w:pPr>
        <w:spacing w:after="40" w:before="0"/>
        <w:ind w:left="360"/>
      </w:pPr>
      <w:r>
        <w:rPr>
          <w:rFonts w:ascii="Times New Roman" w:hAnsi="Times New Roman"/>
          <w:sz w:val="22"/>
        </w:rPr>
        <w:t xml:space="preserve">    F. Edge Deployment on NVIDIA Jetson</w:t>
      </w:r>
    </w:p>
    <w:p>
      <w:pPr>
        <w:spacing w:after="40" w:before="0"/>
        <w:ind w:left="0"/>
      </w:pPr>
      <w:r>
        <w:rPr>
          <w:rFonts w:ascii="Times New Roman" w:hAnsi="Times New Roman"/>
          <w:sz w:val="22"/>
        </w:rPr>
        <w:t>IV.  System Architecture</w:t>
      </w:r>
    </w:p>
    <w:p>
      <w:pPr>
        <w:spacing w:after="40" w:before="0"/>
        <w:ind w:left="360"/>
      </w:pPr>
      <w:r>
        <w:rPr>
          <w:rFonts w:ascii="Times New Roman" w:hAnsi="Times New Roman"/>
          <w:sz w:val="22"/>
        </w:rPr>
        <w:t xml:space="preserve">    Stage 1 – Data Acquisition</w:t>
      </w:r>
    </w:p>
    <w:p>
      <w:pPr>
        <w:spacing w:after="40" w:before="0"/>
        <w:ind w:left="360"/>
      </w:pPr>
      <w:r>
        <w:rPr>
          <w:rFonts w:ascii="Times New Roman" w:hAnsi="Times New Roman"/>
          <w:sz w:val="22"/>
        </w:rPr>
        <w:t xml:space="preserve">    Stage 2 – On-Device AI Inference</w:t>
      </w:r>
    </w:p>
    <w:p>
      <w:pPr>
        <w:spacing w:after="40" w:before="0"/>
        <w:ind w:left="360"/>
      </w:pPr>
      <w:r>
        <w:rPr>
          <w:rFonts w:ascii="Times New Roman" w:hAnsi="Times New Roman"/>
          <w:sz w:val="22"/>
        </w:rPr>
        <w:t xml:space="preserve">    Stage 3 – Sensor Fusion Processing</w:t>
      </w:r>
    </w:p>
    <w:p>
      <w:pPr>
        <w:spacing w:after="40" w:before="0"/>
        <w:ind w:left="360"/>
      </w:pPr>
      <w:r>
        <w:rPr>
          <w:rFonts w:ascii="Times New Roman" w:hAnsi="Times New Roman"/>
          <w:sz w:val="22"/>
        </w:rPr>
        <w:t xml:space="preserve">    Stage 4 – Decision and GPIO Communication</w:t>
      </w:r>
    </w:p>
    <w:p>
      <w:pPr>
        <w:spacing w:after="40" w:before="0"/>
        <w:ind w:left="360"/>
      </w:pPr>
      <w:r>
        <w:rPr>
          <w:rFonts w:ascii="Times New Roman" w:hAnsi="Times New Roman"/>
          <w:sz w:val="22"/>
        </w:rPr>
        <w:t xml:space="preserve">    Stage 5 – Dashboard and Remote Monitoring</w:t>
      </w:r>
    </w:p>
    <w:p>
      <w:pPr>
        <w:spacing w:after="40" w:before="0"/>
        <w:ind w:left="0"/>
      </w:pPr>
      <w:r>
        <w:rPr>
          <w:rFonts w:ascii="Times New Roman" w:hAnsi="Times New Roman"/>
          <w:sz w:val="22"/>
        </w:rPr>
        <w:t>V.  Implementation</w:t>
      </w:r>
    </w:p>
    <w:p>
      <w:pPr>
        <w:spacing w:after="40" w:before="0"/>
        <w:ind w:left="360"/>
      </w:pPr>
      <w:r>
        <w:rPr>
          <w:rFonts w:ascii="Times New Roman" w:hAnsi="Times New Roman"/>
          <w:sz w:val="22"/>
        </w:rPr>
        <w:t xml:space="preserve">    A. Training Environment (Google Colab)</w:t>
      </w:r>
    </w:p>
    <w:p>
      <w:pPr>
        <w:spacing w:after="40" w:before="0"/>
        <w:ind w:left="360"/>
      </w:pPr>
      <w:r>
        <w:rPr>
          <w:rFonts w:ascii="Times New Roman" w:hAnsi="Times New Roman"/>
          <w:sz w:val="22"/>
        </w:rPr>
        <w:t xml:space="preserve">    B. ONNX Export and Validation</w:t>
      </w:r>
    </w:p>
    <w:p>
      <w:pPr>
        <w:spacing w:after="40" w:before="0"/>
        <w:ind w:left="360"/>
      </w:pPr>
      <w:r>
        <w:rPr>
          <w:rFonts w:ascii="Times New Roman" w:hAnsi="Times New Roman"/>
          <w:sz w:val="22"/>
        </w:rPr>
        <w:t xml:space="preserve">    C. Jetson Inference Pipeline</w:t>
      </w:r>
    </w:p>
    <w:p>
      <w:pPr>
        <w:spacing w:after="40" w:before="0"/>
        <w:ind w:left="0"/>
      </w:pPr>
      <w:r>
        <w:rPr>
          <w:rFonts w:ascii="Times New Roman" w:hAnsi="Times New Roman"/>
          <w:sz w:val="22"/>
        </w:rPr>
        <w:t>VI.  Hardware Integration</w:t>
      </w:r>
    </w:p>
    <w:p>
      <w:pPr>
        <w:spacing w:after="40" w:before="0"/>
        <w:ind w:left="360"/>
      </w:pPr>
      <w:r>
        <w:rPr>
          <w:rFonts w:ascii="Times New Roman" w:hAnsi="Times New Roman"/>
          <w:sz w:val="22"/>
        </w:rPr>
        <w:t xml:space="preserve">    A. Sensor Subsystem</w:t>
      </w:r>
    </w:p>
    <w:p>
      <w:pPr>
        <w:spacing w:after="40" w:before="0"/>
        <w:ind w:left="360"/>
      </w:pPr>
      <w:r>
        <w:rPr>
          <w:rFonts w:ascii="Times New Roman" w:hAnsi="Times New Roman"/>
          <w:sz w:val="22"/>
        </w:rPr>
        <w:t xml:space="preserve">    B. Camera Module and CSI-2 Interface</w:t>
      </w:r>
    </w:p>
    <w:p>
      <w:pPr>
        <w:spacing w:after="40" w:before="0"/>
        <w:ind w:left="360"/>
      </w:pPr>
      <w:r>
        <w:rPr>
          <w:rFonts w:ascii="Times New Roman" w:hAnsi="Times New Roman"/>
          <w:sz w:val="22"/>
        </w:rPr>
        <w:t xml:space="preserve">    C. Sensor Wiring and Analog Conversion</w:t>
      </w:r>
    </w:p>
    <w:p>
      <w:pPr>
        <w:spacing w:after="40" w:before="0"/>
        <w:ind w:left="360"/>
      </w:pPr>
      <w:r>
        <w:rPr>
          <w:rFonts w:ascii="Times New Roman" w:hAnsi="Times New Roman"/>
          <w:sz w:val="22"/>
        </w:rPr>
        <w:t xml:space="preserve">    D. Servo Motor Control and Sorting Mechanism</w:t>
      </w:r>
    </w:p>
    <w:p>
      <w:pPr>
        <w:spacing w:after="40" w:before="0"/>
        <w:ind w:left="360"/>
      </w:pPr>
      <w:r>
        <w:rPr>
          <w:rFonts w:ascii="Times New Roman" w:hAnsi="Times New Roman"/>
          <w:sz w:val="22"/>
        </w:rPr>
        <w:t xml:space="preserve">    E. Power Management and Electrical Noise Isolation</w:t>
      </w:r>
    </w:p>
    <w:p>
      <w:pPr>
        <w:spacing w:after="40" w:before="0"/>
        <w:ind w:left="0"/>
      </w:pPr>
      <w:r>
        <w:rPr>
          <w:rFonts w:ascii="Times New Roman" w:hAnsi="Times New Roman"/>
          <w:sz w:val="22"/>
        </w:rPr>
        <w:t>VII.  Experimental Results</w:t>
      </w:r>
    </w:p>
    <w:p>
      <w:pPr>
        <w:spacing w:after="40" w:before="0"/>
        <w:ind w:left="360"/>
      </w:pPr>
      <w:r>
        <w:rPr>
          <w:rFonts w:ascii="Times New Roman" w:hAnsi="Times New Roman"/>
          <w:sz w:val="22"/>
        </w:rPr>
        <w:t xml:space="preserve">    A. Training Performance</w:t>
      </w:r>
    </w:p>
    <w:p>
      <w:pPr>
        <w:spacing w:after="40" w:before="0"/>
        <w:ind w:left="360"/>
      </w:pPr>
      <w:r>
        <w:rPr>
          <w:rFonts w:ascii="Times New Roman" w:hAnsi="Times New Roman"/>
          <w:sz w:val="22"/>
        </w:rPr>
        <w:t xml:space="preserve">    B. Per-Class Classification Accuracy</w:t>
      </w:r>
    </w:p>
    <w:p>
      <w:pPr>
        <w:spacing w:after="40" w:before="0"/>
        <w:ind w:left="360"/>
      </w:pPr>
      <w:r>
        <w:rPr>
          <w:rFonts w:ascii="Times New Roman" w:hAnsi="Times New Roman"/>
          <w:sz w:val="22"/>
        </w:rPr>
        <w:t xml:space="preserve">    C. Inference Latency on NVIDIA Jetson</w:t>
      </w:r>
    </w:p>
    <w:p>
      <w:pPr>
        <w:spacing w:after="40" w:before="0"/>
        <w:ind w:left="360"/>
      </w:pPr>
      <w:r>
        <w:rPr>
          <w:rFonts w:ascii="Times New Roman" w:hAnsi="Times New Roman"/>
          <w:sz w:val="22"/>
        </w:rPr>
        <w:t xml:space="preserve">    D. Sensor Fusion Impact</w:t>
      </w:r>
    </w:p>
    <w:p>
      <w:pPr>
        <w:spacing w:after="40" w:before="0"/>
        <w:ind w:left="360"/>
      </w:pPr>
      <w:r>
        <w:rPr>
          <w:rFonts w:ascii="Times New Roman" w:hAnsi="Times New Roman"/>
          <w:sz w:val="22"/>
        </w:rPr>
        <w:t xml:space="preserve">    E. Latency Breakdown and Throughput Characterisation</w:t>
      </w:r>
    </w:p>
    <w:p>
      <w:pPr>
        <w:spacing w:after="40" w:before="0"/>
        <w:ind w:left="0"/>
      </w:pPr>
      <w:r>
        <w:rPr>
          <w:rFonts w:ascii="Times New Roman" w:hAnsi="Times New Roman"/>
          <w:sz w:val="22"/>
        </w:rPr>
        <w:t>VIII.  Applications</w:t>
      </w:r>
    </w:p>
    <w:p>
      <w:pPr>
        <w:spacing w:after="40" w:before="0"/>
        <w:ind w:left="360"/>
      </w:pPr>
      <w:r>
        <w:rPr>
          <w:rFonts w:ascii="Times New Roman" w:hAnsi="Times New Roman"/>
          <w:sz w:val="22"/>
        </w:rPr>
        <w:t xml:space="preserve">    A. Automated Fruit Grading in Packing Facilities</w:t>
      </w:r>
    </w:p>
    <w:p>
      <w:pPr>
        <w:spacing w:after="40" w:before="0"/>
        <w:ind w:left="360"/>
      </w:pPr>
      <w:r>
        <w:rPr>
          <w:rFonts w:ascii="Times New Roman" w:hAnsi="Times New Roman"/>
          <w:sz w:val="22"/>
        </w:rPr>
        <w:t xml:space="preserve">    B. Smart Agriculture and Precision Farming</w:t>
      </w:r>
    </w:p>
    <w:p>
      <w:pPr>
        <w:spacing w:after="40" w:before="0"/>
        <w:ind w:left="360"/>
      </w:pPr>
      <w:r>
        <w:rPr>
          <w:rFonts w:ascii="Times New Roman" w:hAnsi="Times New Roman"/>
          <w:sz w:val="22"/>
        </w:rPr>
        <w:t xml:space="preserve">    C. Cold Chain Logistics and Warehouse Automation</w:t>
      </w:r>
    </w:p>
    <w:p>
      <w:pPr>
        <w:spacing w:after="40" w:before="0"/>
        <w:ind w:left="360"/>
      </w:pPr>
      <w:r>
        <w:rPr>
          <w:rFonts w:ascii="Times New Roman" w:hAnsi="Times New Roman"/>
          <w:sz w:val="22"/>
        </w:rPr>
        <w:t xml:space="preserve">    D. Retail and Consumer Applications</w:t>
      </w:r>
    </w:p>
    <w:p>
      <w:pPr>
        <w:spacing w:after="40" w:before="0"/>
        <w:ind w:left="360"/>
      </w:pPr>
      <w:r>
        <w:rPr>
          <w:rFonts w:ascii="Times New Roman" w:hAnsi="Times New Roman"/>
          <w:sz w:val="22"/>
        </w:rPr>
        <w:t xml:space="preserve">    E. Food Safety and Regulatory Compliance</w:t>
      </w:r>
    </w:p>
    <w:p>
      <w:pPr>
        <w:spacing w:after="40" w:before="0"/>
        <w:ind w:left="0"/>
      </w:pPr>
      <w:r>
        <w:rPr>
          <w:rFonts w:ascii="Times New Roman" w:hAnsi="Times New Roman"/>
          <w:sz w:val="22"/>
        </w:rPr>
        <w:t>IX.  Conclusion and Future Work</w:t>
      </w:r>
    </w:p>
    <w:p>
      <w:pPr>
        <w:spacing w:after="40" w:before="0"/>
        <w:ind w:left="360"/>
      </w:pPr>
      <w:r>
        <w:rPr>
          <w:rFonts w:ascii="Times New Roman" w:hAnsi="Times New Roman"/>
          <w:sz w:val="22"/>
        </w:rPr>
        <w:t xml:space="preserve">    References</w:t>
      </w:r>
    </w:p>
    <w:p>
      <w:r>
        <w:br w:type="page"/>
      </w:r>
    </w:p>
    <w:p>
      <w:pPr>
        <w:pStyle w:val="Heading1"/>
      </w:pPr>
      <w:r>
        <w:t>I.  Introduction</w:t>
      </w:r>
    </w:p>
    <w:p>
      <w:pPr>
        <w:spacing w:after="120" w:before="0" w:lineRule="auto" w:line="276"/>
        <w:ind w:firstLine="0"/>
        <w:jc w:val="both"/>
      </w:pPr>
      <w:r>
        <w:rPr>
          <w:rFonts w:ascii="Times New Roman" w:hAnsi="Times New Roman"/>
          <w:b w:val="0"/>
          <w:i w:val="0"/>
          <w:sz w:val="22"/>
        </w:rPr>
        <w:t>Agricultural automation has undergone a profound transformation over the past two decades, driven by the convergence of high-resolution digital imaging, advances in computational hardware, and the maturation of deep learning as a practical engineering tool. Among the many subdomains of agricultural automation, fruit quality assessment and sorting represents a particularly compelling application target: the task is inherently visual, the quality criteria are well defined, the economic stakes are substantial, and the limitations of current manual approaches are well documented. This project introduces SmartFruit, a complete end-to-end edge-AI system that addresses these limitations through the integration of a cloud-trained convolutional neural network, a multimodal sensor platform, and a physically actuated sorting mechanism deployed on NVIDIA Jetson embedded hardware.</w:t>
      </w:r>
    </w:p>
    <w:p>
      <w:pPr>
        <w:spacing w:after="120" w:before="0" w:lineRule="auto" w:line="276"/>
        <w:ind w:firstLine="0"/>
        <w:jc w:val="both"/>
      </w:pPr>
      <w:r>
        <w:rPr>
          <w:rFonts w:ascii="Times New Roman" w:hAnsi="Times New Roman"/>
          <w:b w:val="0"/>
          <w:i w:val="0"/>
          <w:sz w:val="22"/>
        </w:rPr>
        <w:t>The global food supply chain incurs staggering losses at the post-harvest stage. The Food and Agriculture Organization (FAO) estimates that approximately 1.3 billion metric tonnes of food are lost or wasted annually—roughly one-third of all food produced for human consumption worldwide. Fruits and vegetables account for a disproportionate share of these losses, with spoilage and quality-related rejection rates between 40 and 50 percent reported in regions lacking adequate cold-chain infrastructure. Even in markets with well-developed logistics networks, manual grading variability, misclassification-driven misdirection, and inefficient sorting processes contribute meaningfully to avoidable waste.</w:t>
      </w:r>
    </w:p>
    <w:p>
      <w:pPr>
        <w:spacing w:after="120" w:before="0" w:lineRule="auto" w:line="276"/>
        <w:ind w:firstLine="0"/>
        <w:jc w:val="both"/>
      </w:pPr>
      <w:r>
        <w:rPr>
          <w:rFonts w:ascii="Times New Roman" w:hAnsi="Times New Roman"/>
          <w:b w:val="0"/>
          <w:i w:val="0"/>
          <w:sz w:val="22"/>
        </w:rPr>
        <w:t>Conventional fruit inspection relies primarily on trained human workers who evaluate produce visually and tactilely against established grading standards. This approach faces fundamental limitations: it is inherently subjective, prone to fatigue-induced accuracy degradation, throughput-constrained by physiological limits, and incapable of assessing internal quality attributes such as sugar content, internal bruising, or early-stage fungal growth. Automated vision-based inspection systems offer the potential to overcome these limitations by providing consistent, objective, high-throughput quality assessment.</w:t>
      </w:r>
    </w:p>
    <w:p>
      <w:pPr>
        <w:spacing w:after="120" w:before="0" w:lineRule="auto" w:line="276"/>
        <w:ind w:firstLine="0"/>
        <w:jc w:val="both"/>
      </w:pPr>
      <w:r>
        <w:rPr>
          <w:rFonts w:ascii="Times New Roman" w:hAnsi="Times New Roman"/>
          <w:b w:val="0"/>
          <w:i w:val="0"/>
          <w:sz w:val="22"/>
        </w:rPr>
        <w:t>Convolutional neural networks have demonstrated remarkable effectiveness in visual recognition tasks, including fruit classification, where published systems achieve test-set accuracies between 93 and 99.7 percent across multiple species and quality attributes. When deployed on edge computing platforms co-located with the physical sensing apparatus, CNN-based systems eliminate the network latency associated with cloud inference, enabling sub-50-millisecond end-to-end decision cycles compatible with industrial conveyor belt speeds. The NVIDIA Jetson platform family provides purpose-built hardware for exactly this application scenario: compact, low-power system-on-module devices integrating CUDA-capable GPU cores with ARM CPU clusters and hardware support for NVIDIA's TensorRT inference optimizer.</w:t>
      </w:r>
    </w:p>
    <w:p>
      <w:pPr>
        <w:spacing w:after="120" w:before="0" w:lineRule="auto" w:line="276"/>
        <w:ind w:firstLine="0"/>
        <w:jc w:val="both"/>
      </w:pPr>
      <w:r>
        <w:rPr>
          <w:rFonts w:ascii="Times New Roman" w:hAnsi="Times New Roman"/>
          <w:b w:val="0"/>
          <w:i w:val="0"/>
          <w:sz w:val="22"/>
        </w:rPr>
        <w:t>SmartFruit integrates these capabilities into a single, validated prototype system comprising four functionally distinct components: a cloud-based CNN training pipeline executed on Google Colab GPU infrastructure; ONNX-format model serialization for portable deployment; TensorRT-accelerated inference on the NVIDIA Jetson Orin NX; and a sensor-assisted mechanical sorting mechanism that physically directs recognised fruits into designated output channels based on real-time classification results.</w:t>
      </w:r>
    </w:p>
    <w:p>
      <w:pPr>
        <w:spacing w:after="120" w:before="0" w:lineRule="auto" w:line="276"/>
        <w:ind w:firstLine="0"/>
        <w:jc w:val="both"/>
      </w:pPr>
      <w:r>
        <w:rPr>
          <w:rFonts w:ascii="Times New Roman" w:hAnsi="Times New Roman"/>
          <w:b w:val="0"/>
          <w:i w:val="0"/>
          <w:sz w:val="22"/>
        </w:rPr>
        <w:t>The remainder of this report is organised as follows: Section II reviews the relevant literature spanning CNN-based agricultural vision, sensor fusion, edge AI deployment, and model portability standards. Section III details the methodology covering dataset construction, augmentation, model architecture, training procedure, and ONNX export. Section IV describes the five-stage system architecture. Section V covers the software implementation across training, export, and inference environments. Section VI presents the hardware integration design. Section VII reports experimental results. Section VIII discusses application domains. Section IX concludes and identifies future research directions.</w:t>
      </w:r>
    </w:p>
    <w:p>
      <w:pPr>
        <w:pStyle w:val="Heading2"/>
      </w:pPr>
      <w:r>
        <w:t>A.  Scale and Economic Impact of Post-Harvest Food Loss</w:t>
      </w:r>
    </w:p>
    <w:p>
      <w:pPr>
        <w:spacing w:after="120" w:before="0" w:lineRule="auto" w:line="276"/>
        <w:ind w:firstLine="0"/>
        <w:jc w:val="both"/>
      </w:pPr>
      <w:r>
        <w:rPr>
          <w:rFonts w:ascii="Times New Roman" w:hAnsi="Times New Roman"/>
          <w:b w:val="0"/>
          <w:i w:val="0"/>
          <w:sz w:val="22"/>
        </w:rPr>
        <w:t>The economic consequences of post-harvest food loss are felt across the entire agricultural value chain, from primary producers through distributors, retailers, and ultimately consumers. The FAO's 2011 landmark study on global food losses established that approximately one-third of all food produced for human consumption is either lost during production, processing, and distribution, or wasted at the consumer level. For perishable commodities such as fresh fruits and vegetables, the loss rate is substantially higher than this average, with studies reporting harvest-to-retail spoilage rates between 40 and 50 percent in regions with limited cold-chain infrastructure and significant rates even in developed markets with established logistics networks.</w:t>
      </w:r>
    </w:p>
    <w:p>
      <w:pPr>
        <w:spacing w:after="120" w:before="0" w:lineRule="auto" w:line="276"/>
        <w:ind w:firstLine="0"/>
        <w:jc w:val="both"/>
      </w:pPr>
      <w:r>
        <w:rPr>
          <w:rFonts w:ascii="Times New Roman" w:hAnsi="Times New Roman"/>
          <w:b w:val="0"/>
          <w:i w:val="0"/>
          <w:sz w:val="22"/>
        </w:rPr>
        <w:t>In high-volume commercial packing operations that process hundreds of tonnes of produce per season, even marginal improvements in sorting accuracy translate directly into measurable financial recovery. A two-percent improvement in classification accuracy for a facility handling 500 tonnes of apples per season, for example, represents approximately 10 tonnes of product correctly retained rather than discarded—a meaningful economic gain when multiplied across the thousands of such facilities operating globally. Beyond direct waste reduction, improved sorting accuracy reduces downstream inefficiencies including inventory management errors arising from misdirected stock, premature markdown cycles triggered by mixed-quality consignments, and elevated disposal costs at retail.</w:t>
      </w:r>
    </w:p>
    <w:p>
      <w:pPr>
        <w:spacing w:after="120" w:before="0" w:lineRule="auto" w:line="276"/>
        <w:ind w:firstLine="0"/>
        <w:jc w:val="both"/>
      </w:pPr>
      <w:r>
        <w:rPr>
          <w:rFonts w:ascii="Times New Roman" w:hAnsi="Times New Roman"/>
          <w:b w:val="0"/>
          <w:i w:val="0"/>
          <w:sz w:val="22"/>
        </w:rPr>
        <w:t>Regulatory frameworks governing food safety and quality labelling increasingly impose documentation requirements that create demand for inspection systems that are not only accurate but fully auditable. Standards such as ISO 22000 and the Hazard Analysis and Critical Control Points (HACCP) framework require traceability of quality decisions at the individual item or batch level. Manual inspection processes cannot economically generate this level of documentation, whereas automated systems with integrated data logging can provide complete inspection records as a byproduct of their normal operation. These regulatory and commercial pressures collectively motivate substantial investment in automated quality assessment infrastructure.</w:t>
      </w:r>
    </w:p>
    <w:p>
      <w:pPr>
        <w:pStyle w:val="Heading2"/>
      </w:pPr>
      <w:r>
        <w:t>B.  Limitations of Conventional Manual Inspection</w:t>
      </w:r>
    </w:p>
    <w:p>
      <w:pPr>
        <w:spacing w:after="120" w:before="0" w:lineRule="auto" w:line="276"/>
        <w:ind w:firstLine="0"/>
        <w:jc w:val="both"/>
      </w:pPr>
      <w:r>
        <w:rPr>
          <w:rFonts w:ascii="Times New Roman" w:hAnsi="Times New Roman"/>
          <w:b w:val="0"/>
          <w:i w:val="0"/>
          <w:sz w:val="22"/>
        </w:rPr>
        <w:t>Quality assessment in fruit packing and distribution is conducted predominantly by human inspectors who evaluate produce visually and tactilely against established grading standards. This approach carries inherent limitations that become progressively more costly as processing volumes increase. Human inspection is intrinsically subjective: individual graders apply quality criteria inconsistently, and the same inspector's judgments vary with fatigue level, ambient lighting conditions, shift duration, and the cumulative cognitive load of repetitive classification tasks. Industrial ergonomics research documents accuracy degradation of 8 to 15 percent in human graders over extended shift periods, creating quality inconsistency within a single day's production run.</w:t>
      </w:r>
    </w:p>
    <w:p>
      <w:pPr>
        <w:spacing w:after="120" w:before="0" w:lineRule="auto" w:line="276"/>
        <w:ind w:firstLine="0"/>
        <w:jc w:val="both"/>
      </w:pPr>
      <w:r>
        <w:rPr>
          <w:rFonts w:ascii="Times New Roman" w:hAnsi="Times New Roman"/>
          <w:b w:val="0"/>
          <w:i w:val="0"/>
          <w:sz w:val="22"/>
        </w:rPr>
        <w:t>Beyond consistency challenges, manual inspection throughput is fundamentally constrained by human physiological limits. A skilled grader operating under optimal conditions can reliably assess approximately 300 to 500 items per hour, whereas modern commercial packing facilities routinely require processing rates an order of magnitude greater. Scaling throughput through additional human inspectors increases labour costs proportionally without addressing the underlying consistency problem, since more inspectors introduce additional sources of subjective grading variability.</w:t>
      </w:r>
    </w:p>
    <w:p>
      <w:pPr>
        <w:spacing w:after="120" w:before="0" w:lineRule="auto" w:line="276"/>
        <w:ind w:firstLine="0"/>
        <w:jc w:val="both"/>
      </w:pPr>
      <w:r>
        <w:rPr>
          <w:rFonts w:ascii="Times New Roman" w:hAnsi="Times New Roman"/>
          <w:b w:val="0"/>
          <w:i w:val="0"/>
          <w:sz w:val="22"/>
        </w:rPr>
        <w:t>A further fundamental limitation of visual inspection is its inability to assess quality attributes located within the fruit interior. Internal bruising resulting from post-harvest handling, early-stage fungal colonisation, suboptimal sugar development, and moisture loss from transpiration all affect fruit quality and consumer experience but produce no visible surface manifestation detectable through visual inspection alone. These hidden quality attributes have historically been assessed through destructive sampling of a subset of the batch, which cannot provide a per-item quality guarantee for the remaining uninspected produce.</w:t>
      </w:r>
    </w:p>
    <w:p>
      <w:pPr>
        <w:spacing w:after="120" w:before="0" w:lineRule="auto" w:line="276"/>
        <w:ind w:firstLine="0"/>
        <w:jc w:val="both"/>
      </w:pPr>
      <w:r>
        <w:rPr>
          <w:rFonts w:ascii="Times New Roman" w:hAnsi="Times New Roman"/>
          <w:b w:val="0"/>
          <w:i w:val="0"/>
          <w:sz w:val="22"/>
        </w:rPr>
        <w:t>Non-destructive sensing technologies including near-infrared spectroscopy for sugar and moisture content measurement, volatile organic compound detection for ethylene and fermentation marker sensing, and weight-based density estimation offer complementary quality windows that extend assessment capability beyond surface-level visual information. These modalities form the foundation of the sensor fusion layer in the SmartFruit system, described in detail in Sections III and IV.</w:t>
      </w:r>
    </w:p>
    <w:p>
      <w:pPr>
        <w:pStyle w:val="Heading2"/>
      </w:pPr>
      <w:r>
        <w:t>C.  Convolutional Neural Networks in Agricultural Vision</w:t>
      </w:r>
    </w:p>
    <w:p>
      <w:pPr>
        <w:spacing w:after="120" w:before="0" w:lineRule="auto" w:line="276"/>
        <w:ind w:firstLine="0"/>
        <w:jc w:val="both"/>
      </w:pPr>
      <w:r>
        <w:rPr>
          <w:rFonts w:ascii="Times New Roman" w:hAnsi="Times New Roman"/>
          <w:b w:val="0"/>
          <w:i w:val="0"/>
          <w:sz w:val="22"/>
        </w:rPr>
        <w:t>Computer vision has been applied to agricultural inspection since the 1980s through classical image processing methods including colour histogram analysis, morphological feature extraction, and hand-engineered texture descriptors. While demonstrating feasibility in controlled laboratory settings, these classical approaches degraded substantially when deployment conditions deviated from their design environment. The sensitivity of hand-crafted features to lighting variation, background clutter, and intra-class morphological diversity severely limited their practical generalizability to real-world packing house environments.</w:t>
      </w:r>
    </w:p>
    <w:p>
      <w:pPr>
        <w:spacing w:after="120" w:before="0" w:lineRule="auto" w:line="276"/>
        <w:ind w:firstLine="0"/>
        <w:jc w:val="both"/>
      </w:pPr>
      <w:r>
        <w:rPr>
          <w:rFonts w:ascii="Times New Roman" w:hAnsi="Times New Roman"/>
          <w:b w:val="0"/>
          <w:i w:val="0"/>
          <w:sz w:val="22"/>
        </w:rPr>
        <w:t>The introduction of deep convolutional neural networks fundamentally transformed the capability profile of agricultural vision systems. CNNs learn hierarchical spatial feature representations directly from training image data through end-to-end backpropagation, without requiring domain experts to manually engineer discriminative features. Lower convolutional layers capture generic low-level structures such as edges and colour gradients; intermediate layers encode increasingly abstract patterns including textures and component configurations; deepest layers encode class-discriminative semantic representations. This hierarchical learning enables a single trained model to generalise across substantial variation in illumination, viewpoint, and intra-class morphological diversity—precisely the conditions that challenged classical approaches.</w:t>
      </w:r>
    </w:p>
    <w:p>
      <w:pPr>
        <w:spacing w:after="120" w:before="0" w:lineRule="auto" w:line="276"/>
        <w:ind w:firstLine="0"/>
        <w:jc w:val="both"/>
      </w:pPr>
      <w:r>
        <w:rPr>
          <w:rFonts w:ascii="Times New Roman" w:hAnsi="Times New Roman"/>
          <w:b w:val="0"/>
          <w:i w:val="0"/>
          <w:sz w:val="22"/>
        </w:rPr>
        <w:t>Published research from 2016 onward documents CNN-based fruit classification systems consistently achieving test-set accuracies between 93 and 99.7 percent across multiple species and quality attribute types. Transfer learning from large-scale pretrained models such as those trained on the ImageNet dataset has further improved performance on domain-specific agricultural datasets, enabling high-accuracy classifiers to be trained from relatively modest amounts of domain-specific data. These advances collectively motivate the use of CNN-based visual classification as the primary recognition mechanism in SmartFruit.</w:t>
      </w:r>
    </w:p>
    <w:p>
      <w:pPr>
        <w:pStyle w:val="Heading2"/>
      </w:pPr>
      <w:r>
        <w:t>D.  Edge Computing as an Enabler of Autonomous Sorting Systems</w:t>
      </w:r>
    </w:p>
    <w:p>
      <w:pPr>
        <w:spacing w:after="120" w:before="0" w:lineRule="auto" w:line="276"/>
        <w:ind w:firstLine="0"/>
        <w:jc w:val="both"/>
      </w:pPr>
      <w:r>
        <w:rPr>
          <w:rFonts w:ascii="Times New Roman" w:hAnsi="Times New Roman"/>
          <w:b w:val="0"/>
          <w:i w:val="0"/>
          <w:sz w:val="22"/>
        </w:rPr>
        <w:t>While cloud-connected vision systems remain viable where network latency is acceptable, industrial automation scenarios increasingly demand on-premises, low-latency inference. A sorting system that must actuate a mechanical diverter within 50 milliseconds of fruit arrival at the sorting point cannot accommodate the 100 to 500 millisecond round-trip latency of wide-area-network-connected cloud inference. Edge deployment executes inference workloads on hardware physically co-located with the sensing apparatus, eliminating network dependencies and protecting operational data from leaving the facility—an important consideration for commercial operators concerned about competitive intelligence or data sovereignty.</w:t>
      </w:r>
    </w:p>
    <w:p>
      <w:pPr>
        <w:spacing w:after="120" w:before="0" w:lineRule="auto" w:line="276"/>
        <w:ind w:firstLine="0"/>
        <w:jc w:val="both"/>
      </w:pPr>
      <w:r>
        <w:rPr>
          <w:rFonts w:ascii="Times New Roman" w:hAnsi="Times New Roman"/>
          <w:b w:val="0"/>
          <w:i w:val="0"/>
          <w:sz w:val="22"/>
        </w:rPr>
        <w:t>Effective edge inference for vision workloads requires dedicated hardware acceleration, specifically the parallel matrix multiplication capabilities of GPU or tensor processing units. The NVIDIA Jetson platform delivers this in an embedded form factor. The Jetson Orin NX integrates an ARM Cortex-A78AE CPU cluster with an NVIDIA Ampere-architecture GPU comprising 1,024 CUDA cores and 32 Tensor Cores, delivering 100 TOPS of INT8 inference performance at a 10 to 25 watt power envelope. This combination of compute density and power efficiency makes the platform suitable for deployment in agricultural environments where power delivery infrastructure may be limited and thermal management capabilities are constrained.</w:t>
      </w:r>
    </w:p>
    <w:p>
      <w:pPr>
        <w:spacing w:after="120" w:before="0" w:lineRule="auto" w:line="276"/>
        <w:ind w:firstLine="0"/>
        <w:jc w:val="both"/>
      </w:pPr>
      <w:r>
        <w:rPr>
          <w:rFonts w:ascii="Times New Roman" w:hAnsi="Times New Roman"/>
          <w:b w:val="0"/>
          <w:i w:val="0"/>
          <w:sz w:val="22"/>
        </w:rPr>
        <w:t>The main contributions of this work are as follows: development of an edge-AI fruit recognition system using CNN models deployed on NVIDIA Jetson hardware; integration of computer vision with multimodal sensor data to improve classification reliability for ambiguous visual cases; design of an automated mechanical sorting mechanism controlled by real-time inference results; and experimental evaluation demonstrating 96.6 percent mean classification accuracy and end-to-end cycle times of 39.2 milliseconds, validating deployment suitability for practical industrial applications.</w:t>
      </w:r>
    </w:p>
    <w:p>
      <w:r>
        <w:br w:type="page"/>
      </w:r>
    </w:p>
    <w:p>
      <w:pPr>
        <w:pStyle w:val="Heading1"/>
      </w:pPr>
      <w:r>
        <w:t>II.  Literature Review</w:t>
      </w:r>
    </w:p>
    <w:p>
      <w:pPr>
        <w:spacing w:after="120" w:before="0" w:lineRule="auto" w:line="276"/>
        <w:ind w:firstLine="0"/>
        <w:jc w:val="both"/>
      </w:pPr>
      <w:r>
        <w:rPr>
          <w:rFonts w:ascii="Times New Roman" w:hAnsi="Times New Roman"/>
          <w:b w:val="0"/>
          <w:i w:val="0"/>
          <w:sz w:val="22"/>
        </w:rPr>
        <w:t>This section surveys the key bodies of literature that inform the SmartFruit system design, covering CNN-based agricultural classification, multimodal sensor fusion, edge AI deployment strategies, and model portability standards. Where specific prior work is directly relevant to architectural or methodological decisions made in SmartFruit, the relationship is explicitly noted.</w:t>
      </w:r>
    </w:p>
    <w:p>
      <w:pPr>
        <w:pStyle w:val="Heading2"/>
      </w:pPr>
      <w:r>
        <w:t>A.  CNN-Based Fruit and Vegetable Classification</w:t>
      </w:r>
    </w:p>
    <w:p>
      <w:pPr>
        <w:spacing w:after="120" w:before="0" w:lineRule="auto" w:line="276"/>
        <w:ind w:firstLine="0"/>
        <w:jc w:val="both"/>
      </w:pPr>
      <w:r>
        <w:rPr>
          <w:rFonts w:ascii="Times New Roman" w:hAnsi="Times New Roman"/>
          <w:b w:val="0"/>
          <w:i w:val="0"/>
          <w:sz w:val="22"/>
        </w:rPr>
        <w:t>The application of deep convolutional neural networks to agricultural produce recognition has produced a rich body of literature over the past decade. Early foundational work by Mohanty, Hughes, and Salathé established that transfer learning from ImageNet-pretrained architectures including AlexNet and GoogLeNet could achieve classification accuracies exceeding 99 percent for plant disease identification using the Plant Village dataset. Their methodology of leveraging large-scale visual feature representations as initialisation points for domain-specific fine-tuning became the dominant paradigm for subsequent agricultural vision research, including the work described in this report.</w:t>
      </w:r>
    </w:p>
    <w:p>
      <w:pPr>
        <w:spacing w:after="120" w:before="0" w:lineRule="auto" w:line="276"/>
        <w:ind w:firstLine="0"/>
        <w:jc w:val="both"/>
      </w:pPr>
      <w:r>
        <w:rPr>
          <w:rFonts w:ascii="Times New Roman" w:hAnsi="Times New Roman"/>
          <w:b w:val="0"/>
          <w:i w:val="0"/>
          <w:sz w:val="22"/>
        </w:rPr>
        <w:t>Tapia-Mendez and colleagues extended the CNN paradigm specifically to fruit ripeness assessment, developing a classification framework that analyses colour gradients, surface texture features, and spectral reflectance patterns to distinguish unripe, ripe, and over-ripe specimens across multiple fruit species. Their results demonstrated that convolutional feature extraction captured subtle chromatic and textural differences between ripeness stages more effectively than hand-crafted descriptors, with per-class accuracy improvements of 6 to 12 percentage points over classical machine learning baselines including support vector machines and random forests.</w:t>
      </w:r>
    </w:p>
    <w:p>
      <w:pPr>
        <w:spacing w:after="120" w:before="0" w:lineRule="auto" w:line="276"/>
        <w:ind w:firstLine="0"/>
        <w:jc w:val="both"/>
      </w:pPr>
      <w:r>
        <w:rPr>
          <w:rFonts w:ascii="Times New Roman" w:hAnsi="Times New Roman"/>
          <w:b w:val="0"/>
          <w:i w:val="0"/>
          <w:sz w:val="22"/>
        </w:rPr>
        <w:t>Kamilaris and Prenafeta-Boldú conducted the most comprehensive survey of deep learning applications in agriculture to that point, cataloguing 40 peer-reviewed studies and concluding that CNN-based models systematically outperform classical approaches on image-based quality assessment tasks. Their analysis attributed this advantage to the CNN's capacity to simultaneously optimise feature extraction and classification in an end-to-end fashion, and identified dataset quality and size as the dominant limiting factors for CNN performance—a finding directly motivating the dual-source dataset strategy employed in SmartFruit.</w:t>
      </w:r>
    </w:p>
    <w:p>
      <w:pPr>
        <w:spacing w:after="120" w:before="0" w:lineRule="auto" w:line="276"/>
        <w:ind w:firstLine="0"/>
        <w:jc w:val="both"/>
      </w:pPr>
      <w:r>
        <w:rPr>
          <w:rFonts w:ascii="Times New Roman" w:hAnsi="Times New Roman"/>
          <w:b w:val="0"/>
          <w:i w:val="0"/>
          <w:sz w:val="22"/>
        </w:rPr>
        <w:t>Naranjo-Torres and colleagues systematically reviewed 64 fruit classification studies published between 2010 and 2019, revealing that the most commonly studied categories were apple, tomato, and grape, with relatively sparse coverage of tropical varieties including mango and kiwi. This observation directly influenced the class selection in the SmartFruit dataset, which deliberately includes both well-studied categories for benchmarking and under-represented tropical varieties to extend the system's practical coverage to commercially important species.</w:t>
      </w:r>
    </w:p>
    <w:p>
      <w:pPr>
        <w:spacing w:after="120" w:before="0" w:lineRule="auto" w:line="276"/>
        <w:ind w:firstLine="0"/>
        <w:jc w:val="both"/>
      </w:pPr>
      <w:r>
        <w:rPr>
          <w:rFonts w:ascii="Times New Roman" w:hAnsi="Times New Roman"/>
          <w:b w:val="0"/>
          <w:i w:val="0"/>
          <w:sz w:val="22"/>
        </w:rPr>
        <w:t>Mureşan and Oltean provided a direct reference point for the Fruits-360 dataset used as the primary training source in SmartFruit, documenting baseline classification accuracies achievable with standard CNN architectures and establishing the dataset's utility for benchmarking new approaches. Their results confirm the dataset's suitability as a primary training source while also highlighting its limitation of controlled-background imaging, which motivates supplemental real-world data collection as implemented in the SmartFruit custom image subset.</w:t>
      </w:r>
    </w:p>
    <w:p>
      <w:pPr>
        <w:pStyle w:val="Heading2"/>
      </w:pPr>
      <w:r>
        <w:t>B.  Multimodal and Sensor-Fusion Approaches</w:t>
      </w:r>
    </w:p>
    <w:p>
      <w:pPr>
        <w:spacing w:after="120" w:before="0" w:lineRule="auto" w:line="276"/>
        <w:ind w:firstLine="0"/>
        <w:jc w:val="both"/>
      </w:pPr>
      <w:r>
        <w:rPr>
          <w:rFonts w:ascii="Times New Roman" w:hAnsi="Times New Roman"/>
          <w:b w:val="0"/>
          <w:i w:val="0"/>
          <w:sz w:val="22"/>
        </w:rPr>
        <w:t>While vision-only models perform strongly under controlled lighting and geometric conditions, real-world deployment regularly presents scenarios where visual information alone is insufficient for reliable quality discrimination. Fruit varieties sharing similar colour profiles at different ripeness stages, produce with surface contamination obscuring chromatic features, and samples with internal quality attributes undetectable through surface imaging all represent cases where supplementary sensing modalities provide discriminative information absent from the visual signal.</w:t>
      </w:r>
    </w:p>
    <w:p>
      <w:pPr>
        <w:spacing w:after="120" w:before="0" w:lineRule="auto" w:line="276"/>
        <w:ind w:firstLine="0"/>
        <w:jc w:val="both"/>
      </w:pPr>
      <w:r>
        <w:rPr>
          <w:rFonts w:ascii="Times New Roman" w:hAnsi="Times New Roman"/>
          <w:b w:val="0"/>
          <w:i w:val="0"/>
          <w:sz w:val="22"/>
        </w:rPr>
        <w:t>Baietto and Wilson surveyed 83 electronic nose studies for fruit identification and ripeness grading over a 15-year period, establishing that metal-oxide semiconductor gas sensors sensitive to ethylene—a plant hormone produced in increasing quantities as fruits mature—can provide independent ripeness indicators entirely complementary to visual features. Ethylene concentrations above species-specific thresholds reliably predict the onset of post-climacteric ripeness, making gas sensing particularly valuable for detecting early spoilage in fruits that retain visual freshness while undergoing internal biochemical deterioration.</w:t>
      </w:r>
    </w:p>
    <w:p>
      <w:pPr>
        <w:spacing w:after="120" w:before="0" w:lineRule="auto" w:line="276"/>
        <w:ind w:firstLine="0"/>
        <w:jc w:val="both"/>
      </w:pPr>
      <w:r>
        <w:rPr>
          <w:rFonts w:ascii="Times New Roman" w:hAnsi="Times New Roman"/>
          <w:b w:val="0"/>
          <w:i w:val="0"/>
          <w:sz w:val="22"/>
        </w:rPr>
        <w:t>Ma and colleagues extended sensor fusion research to include near-infrared spectroscopy combined with metal-oxide gas sensors, demonstrating classification accuracy improvements of 3.4 to 8.7 percentage points over single-modality baselines depending on fruit species and spoilage type. Their analysis identified that visual features were most discriminative for surface-visible defects while gas sensors provided the primary signal for early-stage fermentation and ethylene-driven softening—a finding that directly informed the confidence-threshold-based fusion architecture in SmartFruit, where sensor data supplements visual classification only when visual confidence falls below 85 percent.</w:t>
      </w:r>
    </w:p>
    <w:p>
      <w:pPr>
        <w:spacing w:after="120" w:before="0" w:lineRule="auto" w:line="276"/>
        <w:ind w:firstLine="0"/>
        <w:jc w:val="both"/>
      </w:pPr>
      <w:r>
        <w:rPr>
          <w:rFonts w:ascii="Times New Roman" w:hAnsi="Times New Roman"/>
          <w:b w:val="0"/>
          <w:i w:val="0"/>
          <w:sz w:val="22"/>
        </w:rPr>
        <w:t>Nicolaï and colleagues reviewed non-destructive measurement techniques for fruit quality and noted that apparent density—calculated from measured mass and estimated volume—correlates significantly with internal water content and therefore freshness. Fruits that have undergone transpiratory water loss exhibit measurably lower apparent density than freshly harvested specimens. This finding motivates the inclusion of the HX711 load cell mass measurement capability in the SmartFruit sensor subsystem, providing a coarse but rapidly obtainable quality indicator.</w:t>
      </w:r>
    </w:p>
    <w:p>
      <w:pPr>
        <w:pStyle w:val="Heading2"/>
      </w:pPr>
      <w:r>
        <w:t>C.  Edge AI and Embedded Deployment</w:t>
      </w:r>
    </w:p>
    <w:p>
      <w:pPr>
        <w:spacing w:after="120" w:before="0" w:lineRule="auto" w:line="276"/>
        <w:ind w:firstLine="0"/>
        <w:jc w:val="both"/>
      </w:pPr>
      <w:r>
        <w:rPr>
          <w:rFonts w:ascii="Times New Roman" w:hAnsi="Times New Roman"/>
          <w:b w:val="0"/>
          <w:i w:val="0"/>
          <w:sz w:val="22"/>
        </w:rPr>
        <w:t>The transition from cloud-based inference to on-device edge AI has been studied extensively in the context of industrial and agricultural automation. Early work on lightweight neural network architectures designed for embedded deployment established that architectural efficiency can partially compensate for hardware resource constraints. Howard and colleagues introduced the MobileNet architecture family, achieving AlexNet-level classification accuracy while reducing parameter count by approximately 32 times through depth-wise separable convolutions that decouple spatial and channel-wise filtering operations.</w:t>
      </w:r>
    </w:p>
    <w:p>
      <w:pPr>
        <w:spacing w:after="120" w:before="0" w:lineRule="auto" w:line="276"/>
        <w:ind w:firstLine="0"/>
        <w:jc w:val="both"/>
      </w:pPr>
      <w:r>
        <w:rPr>
          <w:rFonts w:ascii="Times New Roman" w:hAnsi="Times New Roman"/>
          <w:b w:val="0"/>
          <w:i w:val="0"/>
          <w:sz w:val="22"/>
        </w:rPr>
        <w:t>MobileNetV2 and V3 extended the original MobileNet design with inverted residual bottleneck blocks and hardware-aware neural architecture search, further improving the accuracy-efficiency trade-off. Iandola and colleagues pursued alternative compression strategies with SqueezeNet, achieving comparable accuracy to AlexNet with fewer than 1.24 million parameters through aggressive 1×1 convolutions and delayed spatial downsampling. These lightweight architectures remain relevant for deployment scenarios on the most resource-constrained embedded hardware, though modern edge platforms like the NVIDIA Jetson make full-capacity model deployment increasingly feasible through hardware-accelerated inference engines.</w:t>
      </w:r>
    </w:p>
    <w:p>
      <w:pPr>
        <w:spacing w:after="120" w:before="0" w:lineRule="auto" w:line="276"/>
        <w:ind w:firstLine="0"/>
        <w:jc w:val="both"/>
      </w:pPr>
      <w:r>
        <w:rPr>
          <w:rFonts w:ascii="Times New Roman" w:hAnsi="Times New Roman"/>
          <w:b w:val="0"/>
          <w:i w:val="0"/>
          <w:sz w:val="22"/>
        </w:rPr>
        <w:t>NVIDIA's TensorRT inference optimization framework applies operator fusion, layer precision calibration to FP16 and INT8, and kernel autotuning to reduce inference latency by 2 to 4 times compared to unoptimized CUDA inference across a range of architectures. Industrial technology documentation from Neousys Technology and Premio Inc. corroborates these figures with food quality inspection case studies demonstrating throughputs exceeding 30 frames per second on Jetson-based vision systems. The SmartFruit benchmarks reported in Section VII independently validate TensorRT's optimisation effectiveness, achieving 8.7 millisecond inference latency compared to an estimated 28 to 35 millisecond baseline for unoptimized CUDA execution of the same model.</w:t>
      </w:r>
    </w:p>
    <w:p>
      <w:pPr>
        <w:pStyle w:val="Heading2"/>
      </w:pPr>
      <w:r>
        <w:t>D.  ONNX as a Portability Standard</w:t>
      </w:r>
    </w:p>
    <w:p>
      <w:pPr>
        <w:spacing w:after="120" w:before="0" w:lineRule="auto" w:line="276"/>
        <w:ind w:firstLine="0"/>
        <w:jc w:val="both"/>
      </w:pPr>
      <w:r>
        <w:rPr>
          <w:rFonts w:ascii="Times New Roman" w:hAnsi="Times New Roman"/>
          <w:b w:val="0"/>
          <w:i w:val="0"/>
          <w:sz w:val="22"/>
        </w:rPr>
        <w:t>The Open Neural Network Exchange format, introduced as a collaborative initiative between Microsoft, Facebook, and Amazon Web Services in 2017, defines a vendor-neutral intermediate representation for neural network computation graphs encoded as directed acyclic structures in Protocol Buffer format. ONNX serves as an interoperability bridge between the diverse ecosystem of training frameworks—PyTorch, TensorFlow, MXNet, and others—and the equally diverse ecosystem of inference runtimes and hardware accelerators.</w:t>
      </w:r>
    </w:p>
    <w:p>
      <w:pPr>
        <w:spacing w:after="120" w:before="0" w:lineRule="auto" w:line="276"/>
        <w:ind w:firstLine="0"/>
        <w:jc w:val="both"/>
      </w:pPr>
      <w:r>
        <w:rPr>
          <w:rFonts w:ascii="Times New Roman" w:hAnsi="Times New Roman"/>
          <w:b w:val="0"/>
          <w:i w:val="0"/>
          <w:sz w:val="22"/>
        </w:rPr>
        <w:t>ONNX Runtime, the accompanying cross-platform inference engine, supports hardware-specific execution backends including the TensorRT Execution Provider on NVIDIA platforms, enabling hardware-optimised inference without requiring TensorRT-specific code in the application layer. For research-to-deployment workflows where training and deployment environments differ substantially—exactly the scenario in SmartFruit, where training occurs on cloud GPU infrastructure and inference occurs on embedded Jetson hardware—ONNX decouples the choice of training framework from deployment infrastructure. This decoupling enables future changes to the training pipeline, such as migration to a different framework or model architecture, without requiring corresponding changes to the embedded inference codebase.</w:t>
      </w:r>
    </w:p>
    <w:p>
      <w:pPr>
        <w:pStyle w:val="Heading2"/>
      </w:pPr>
      <w:r>
        <w:t>E.  Research Gap</w:t>
      </w:r>
    </w:p>
    <w:p>
      <w:pPr>
        <w:spacing w:after="120" w:before="0" w:lineRule="auto" w:line="276"/>
        <w:ind w:firstLine="0"/>
        <w:jc w:val="both"/>
      </w:pPr>
      <w:r>
        <w:rPr>
          <w:rFonts w:ascii="Times New Roman" w:hAnsi="Times New Roman"/>
          <w:b w:val="0"/>
          <w:i w:val="0"/>
          <w:sz w:val="22"/>
        </w:rPr>
        <w:t>Despite the breadth of existing literature, most prior work addresses either the machine learning pipeline or the hardware integration challenge in isolation, rarely presenting both within a single validated end-to-end cyber-physical prototype. Systems that do bridge both domains often lack explainability features, are restricted to a single sensing modality, or require cloud connectivity during inference—a significant practical limitation for deployment in agricultural environments with limited or unreliable network access.</w:t>
      </w:r>
    </w:p>
    <w:p>
      <w:pPr>
        <w:spacing w:after="120" w:before="0" w:lineRule="auto" w:line="276"/>
        <w:ind w:firstLine="0"/>
        <w:jc w:val="both"/>
      </w:pPr>
      <w:r>
        <w:rPr>
          <w:rFonts w:ascii="Times New Roman" w:hAnsi="Times New Roman"/>
          <w:b w:val="0"/>
          <w:i w:val="0"/>
          <w:sz w:val="22"/>
        </w:rPr>
        <w:t>Furthermore, the literature contains limited systematic evaluation of the latency breakdown across all stages of a complete classification-and-actuation pipeline, making it difficult to identify the dominant throughput bottleneck in proposed systems. SmartFruit addresses this gap by presenting a complete end-to-end system with detailed per-stage latency characterisation, enabling principled identification of optimisation priorities. The system also integrates multimodal sensor fusion within a confidence-gated architecture and provides a physical actuation mechanism with confirmed sorting feedback—capabilities not simultaneously present in prior published prototypes.</w:t>
      </w:r>
    </w:p>
    <w:p>
      <w:r>
        <w:br w:type="page"/>
      </w:r>
    </w:p>
    <w:p>
      <w:pPr>
        <w:pStyle w:val="Heading1"/>
      </w:pPr>
      <w:r>
        <w:t>III.  Methodology</w:t>
      </w:r>
    </w:p>
    <w:p>
      <w:pPr>
        <w:spacing w:after="120" w:before="0" w:lineRule="auto" w:line="276"/>
        <w:ind w:firstLine="0"/>
        <w:jc w:val="both"/>
      </w:pPr>
      <w:r>
        <w:rPr>
          <w:rFonts w:ascii="Times New Roman" w:hAnsi="Times New Roman"/>
          <w:b w:val="0"/>
          <w:i w:val="0"/>
          <w:sz w:val="22"/>
        </w:rPr>
        <w:t>This section describes in detail the methodological decisions underlying the SmartFruit system, from dataset assembly and preprocessing through model architecture design, training procedure, and the model export and edge deployment workflow. Each design decision is motivated with reference to the system requirements and relevant prior literature.</w:t>
      </w:r>
    </w:p>
    <w:p>
      <w:pPr>
        <w:pStyle w:val="Heading2"/>
      </w:pPr>
      <w:r>
        <w:t>A.  Dataset Preparation and Labelling</w:t>
      </w:r>
    </w:p>
    <w:p>
      <w:pPr>
        <w:spacing w:after="120" w:before="0" w:lineRule="auto" w:line="276"/>
        <w:ind w:firstLine="0"/>
        <w:jc w:val="both"/>
      </w:pPr>
      <w:r>
        <w:rPr>
          <w:rFonts w:ascii="Times New Roman" w:hAnsi="Times New Roman"/>
          <w:b w:val="0"/>
          <w:i w:val="0"/>
          <w:sz w:val="22"/>
        </w:rPr>
        <w:t>The SmartFruit training dataset was assembled from two complementary sources to address the domain gap between laboratory-captured training images and the real deployment conditions of the SmartFruit hardware enclosure. The primary source was the publicly available Fruits-360 dataset, which contains over 90,000 images spanning 131 fruit and vegetable classes captured against uniform white backgrounds under controlled fluorescent illumination. While these controlled conditions produce consistent, high-quality images well-suited to initial model training, they simultaneously create a distribution mismatch relative to the variable lighting, partial occlusion, and heterogeneous background conditions of real packing house environments and the SmartFruit hardware enclosure.</w:t>
      </w:r>
    </w:p>
    <w:p>
      <w:pPr>
        <w:spacing w:after="120" w:before="0" w:lineRule="auto" w:line="276"/>
        <w:ind w:firstLine="0"/>
        <w:jc w:val="both"/>
      </w:pPr>
      <w:r>
        <w:rPr>
          <w:rFonts w:ascii="Times New Roman" w:hAnsi="Times New Roman"/>
          <w:b w:val="0"/>
          <w:i w:val="0"/>
          <w:sz w:val="22"/>
        </w:rPr>
        <w:t>To partially compensate for this domain gap, a supplementary custom dataset of 2,400 images—400 per class—was captured within the SmartFruit hardware enclosure under the same LED illumination configuration as the deployed system, and additionally under natural daylight and fluorescent overhead lighting representative of warehouse environments. These supplemental images capture real-world variability in background reflections from the enclosure walls, shadow patterns from the LED diffuser, and minor positional variation in fruit placement relative to the camera focal plane. Combining both sources provides the model with both the volume of the Fruits-360 dataset and the deployment-relevant variability of the custom collection.</w:t>
      </w:r>
    </w:p>
    <w:p>
      <w:pPr>
        <w:spacing w:after="120" w:before="0" w:lineRule="auto" w:line="276"/>
        <w:ind w:firstLine="0"/>
        <w:jc w:val="both"/>
      </w:pPr>
      <w:r>
        <w:rPr>
          <w:rFonts w:ascii="Times New Roman" w:hAnsi="Times New Roman"/>
          <w:b w:val="0"/>
          <w:i w:val="0"/>
          <w:sz w:val="22"/>
        </w:rPr>
        <w:t>Six fruit categories were selected for the initial SmartFruit prototype: apple, banana, orange, kiwi, mango, and grape. These categories were chosen for two complementary reasons. First, they represent high commercial volume—collectively accounting for a substantial share of global fresh fruit trade by weight—making the system commercially relevant from the earliest prototype stage. Second, the six categories present significant morphological diversity that provides representational challenge for the classifier: apple and banana offer highly distinctive visual signatures providing positive control; orange and mango share warm chromatic profiles but differ in shape; grape and kiwi present small-specimen and rough-surface challenges respectively.</w:t>
      </w:r>
    </w:p>
    <w:p>
      <w:pPr>
        <w:spacing w:after="120" w:before="0" w:lineRule="auto" w:line="276"/>
        <w:ind w:firstLine="0"/>
        <w:jc w:val="both"/>
      </w:pPr>
      <w:r>
        <w:rPr>
          <w:rFonts w:ascii="Times New Roman" w:hAnsi="Times New Roman"/>
          <w:b w:val="0"/>
          <w:i w:val="0"/>
          <w:sz w:val="22"/>
        </w:rPr>
        <w:t>All images were organised into a standard directory hierarchy in which each class occupies a dedicated subfolder, enabling PyTorch's ImageFolder utility class to construct class-to-integer label mappings automatically. The dataset was partitioned using a stratified 80/10/10 split, yielding approximately 74,000 training images, 9,200 validation images, and 9,200 held-out test images with proportional class representation across all three partitions. Stratification ensures that no class is over- or under-represented in any partition relative to its frequency in the full dataset.</w:t>
      </w:r>
    </w:p>
    <w:p>
      <w:pPr>
        <w:spacing w:before="240" w:after="80"/>
        <w:jc w:val="center"/>
      </w:pPr>
      <w:r>
        <w:rPr>
          <w:rFonts w:ascii="Times New Roman" w:hAnsi="Times New Roman"/>
          <w:b/>
          <w:sz w:val="20"/>
        </w:rPr>
        <w:t>Table 1: Data Augmentation Pipeline Summary</w:t>
      </w:r>
    </w:p>
    <w:tbl>
      <w:tblPr>
        <w:tblStyle w:val="TableGrid"/>
        <w:tblW w:type="auto" w:w="0"/>
        <w:tblLook w:firstColumn="1" w:firstRow="1" w:lastColumn="0" w:lastRow="0" w:noHBand="0" w:noVBand="1" w:val="04A0"/>
      </w:tblPr>
      <w:tblGrid>
        <w:gridCol w:w="3033"/>
        <w:gridCol w:w="3033"/>
        <w:gridCol w:w="3033"/>
      </w:tblGrid>
      <w:tr>
        <w:tc>
          <w:tcPr>
            <w:tcW w:type="dxa" w:w="2592"/>
          </w:tcPr>
          <w:p>
            <w:pPr>
              <w:jc w:val="center"/>
            </w:pPr>
            <w:r>
              <w:rPr>
                <w:rFonts w:ascii="Times New Roman" w:hAnsi="Times New Roman"/>
                <w:b/>
                <w:sz w:val="18"/>
              </w:rPr>
              <w:t>Augmentation</w:t>
            </w:r>
          </w:p>
        </w:tc>
        <w:tc>
          <w:tcPr>
            <w:tcW w:type="dxa" w:w="2592"/>
          </w:tcPr>
          <w:p>
            <w:pPr>
              <w:jc w:val="center"/>
            </w:pPr>
            <w:r>
              <w:rPr>
                <w:rFonts w:ascii="Times New Roman" w:hAnsi="Times New Roman"/>
                <w:b/>
                <w:sz w:val="18"/>
              </w:rPr>
              <w:t>Parameter Range</w:t>
            </w:r>
          </w:p>
        </w:tc>
        <w:tc>
          <w:tcPr>
            <w:tcW w:type="dxa" w:w="4896"/>
          </w:tcPr>
          <w:p>
            <w:pPr>
              <w:jc w:val="center"/>
            </w:pPr>
            <w:r>
              <w:rPr>
                <w:rFonts w:ascii="Times New Roman" w:hAnsi="Times New Roman"/>
                <w:b/>
                <w:sz w:val="18"/>
              </w:rPr>
              <w:t>Primary Rationale</w:t>
            </w:r>
          </w:p>
        </w:tc>
      </w:tr>
      <w:tr>
        <w:tc>
          <w:tcPr>
            <w:tcW w:type="dxa" w:w="2592"/>
          </w:tcPr>
          <w:p>
            <w:pPr>
              <w:jc w:val="center"/>
            </w:pPr>
            <w:r>
              <w:rPr>
                <w:rFonts w:ascii="Times New Roman" w:hAnsi="Times New Roman"/>
                <w:sz w:val="18"/>
              </w:rPr>
              <w:t>Horizontal Flip</w:t>
            </w:r>
          </w:p>
        </w:tc>
        <w:tc>
          <w:tcPr>
            <w:tcW w:type="dxa" w:w="2592"/>
          </w:tcPr>
          <w:p>
            <w:pPr>
              <w:jc w:val="center"/>
            </w:pPr>
            <w:r>
              <w:rPr>
                <w:rFonts w:ascii="Times New Roman" w:hAnsi="Times New Roman"/>
                <w:sz w:val="18"/>
              </w:rPr>
              <w:t>p = 0.50</w:t>
            </w:r>
          </w:p>
        </w:tc>
        <w:tc>
          <w:tcPr>
            <w:tcW w:type="dxa" w:w="4896"/>
          </w:tcPr>
          <w:p>
            <w:pPr>
              <w:jc w:val="center"/>
            </w:pPr>
            <w:r>
              <w:rPr>
                <w:rFonts w:ascii="Times New Roman" w:hAnsi="Times New Roman"/>
                <w:sz w:val="18"/>
              </w:rPr>
              <w:t>Bilateral symmetry of most fruit shapes</w:t>
            </w:r>
          </w:p>
        </w:tc>
      </w:tr>
      <w:tr>
        <w:tc>
          <w:tcPr>
            <w:tcW w:type="dxa" w:w="2592"/>
          </w:tcPr>
          <w:p>
            <w:pPr>
              <w:jc w:val="center"/>
            </w:pPr>
            <w:r>
              <w:rPr>
                <w:rFonts w:ascii="Times New Roman" w:hAnsi="Times New Roman"/>
                <w:sz w:val="18"/>
              </w:rPr>
              <w:t>Vertical Flip</w:t>
            </w:r>
          </w:p>
        </w:tc>
        <w:tc>
          <w:tcPr>
            <w:tcW w:type="dxa" w:w="2592"/>
          </w:tcPr>
          <w:p>
            <w:pPr>
              <w:jc w:val="center"/>
            </w:pPr>
            <w:r>
              <w:rPr>
                <w:rFonts w:ascii="Times New Roman" w:hAnsi="Times New Roman"/>
                <w:sz w:val="18"/>
              </w:rPr>
              <w:t>p = 0.50</w:t>
            </w:r>
          </w:p>
        </w:tc>
        <w:tc>
          <w:tcPr>
            <w:tcW w:type="dxa" w:w="4896"/>
          </w:tcPr>
          <w:p>
            <w:pPr>
              <w:jc w:val="center"/>
            </w:pPr>
            <w:r>
              <w:rPr>
                <w:rFonts w:ascii="Times New Roman" w:hAnsi="Times New Roman"/>
                <w:sz w:val="18"/>
              </w:rPr>
              <w:t>Inverted placement on tray surface</w:t>
            </w:r>
          </w:p>
        </w:tc>
      </w:tr>
      <w:tr>
        <w:tc>
          <w:tcPr>
            <w:tcW w:type="dxa" w:w="2592"/>
          </w:tcPr>
          <w:p>
            <w:pPr>
              <w:jc w:val="center"/>
            </w:pPr>
            <w:r>
              <w:rPr>
                <w:rFonts w:ascii="Times New Roman" w:hAnsi="Times New Roman"/>
                <w:sz w:val="18"/>
              </w:rPr>
              <w:t>Random Rotation</w:t>
            </w:r>
          </w:p>
        </w:tc>
        <w:tc>
          <w:tcPr>
            <w:tcW w:type="dxa" w:w="2592"/>
          </w:tcPr>
          <w:p>
            <w:pPr>
              <w:jc w:val="center"/>
            </w:pPr>
            <w:r>
              <w:rPr>
                <w:rFonts w:ascii="Times New Roman" w:hAnsi="Times New Roman"/>
                <w:sz w:val="18"/>
              </w:rPr>
              <w:t>±15 degrees</w:t>
            </w:r>
          </w:p>
        </w:tc>
        <w:tc>
          <w:tcPr>
            <w:tcW w:type="dxa" w:w="4896"/>
          </w:tcPr>
          <w:p>
            <w:pPr>
              <w:jc w:val="center"/>
            </w:pPr>
            <w:r>
              <w:rPr>
                <w:rFonts w:ascii="Times New Roman" w:hAnsi="Times New Roman"/>
                <w:sz w:val="18"/>
              </w:rPr>
              <w:t>Placement angle variation at sorting tray</w:t>
            </w:r>
          </w:p>
        </w:tc>
      </w:tr>
      <w:tr>
        <w:tc>
          <w:tcPr>
            <w:tcW w:type="dxa" w:w="2592"/>
          </w:tcPr>
          <w:p>
            <w:pPr>
              <w:jc w:val="center"/>
            </w:pPr>
            <w:r>
              <w:rPr>
                <w:rFonts w:ascii="Times New Roman" w:hAnsi="Times New Roman"/>
                <w:sz w:val="18"/>
              </w:rPr>
              <w:t>Resized Crop</w:t>
            </w:r>
          </w:p>
        </w:tc>
        <w:tc>
          <w:tcPr>
            <w:tcW w:type="dxa" w:w="2592"/>
          </w:tcPr>
          <w:p>
            <w:pPr>
              <w:jc w:val="center"/>
            </w:pPr>
            <w:r>
              <w:rPr>
                <w:rFonts w:ascii="Times New Roman" w:hAnsi="Times New Roman"/>
                <w:sz w:val="18"/>
              </w:rPr>
              <w:t>Scale [0.8, 1.0]</w:t>
            </w:r>
          </w:p>
        </w:tc>
        <w:tc>
          <w:tcPr>
            <w:tcW w:type="dxa" w:w="4896"/>
          </w:tcPr>
          <w:p>
            <w:pPr>
              <w:jc w:val="center"/>
            </w:pPr>
            <w:r>
              <w:rPr>
                <w:rFonts w:ascii="Times New Roman" w:hAnsi="Times New Roman"/>
                <w:sz w:val="18"/>
              </w:rPr>
              <w:t>Distance and framing variability</w:t>
            </w:r>
          </w:p>
        </w:tc>
      </w:tr>
      <w:tr>
        <w:tc>
          <w:tcPr>
            <w:tcW w:type="dxa" w:w="2592"/>
          </w:tcPr>
          <w:p>
            <w:pPr>
              <w:jc w:val="center"/>
            </w:pPr>
            <w:r>
              <w:rPr>
                <w:rFonts w:ascii="Times New Roman" w:hAnsi="Times New Roman"/>
                <w:sz w:val="18"/>
              </w:rPr>
              <w:t>Brightness Jitter</w:t>
            </w:r>
          </w:p>
        </w:tc>
        <w:tc>
          <w:tcPr>
            <w:tcW w:type="dxa" w:w="2592"/>
          </w:tcPr>
          <w:p>
            <w:pPr>
              <w:jc w:val="center"/>
            </w:pPr>
            <w:r>
              <w:rPr>
                <w:rFonts w:ascii="Times New Roman" w:hAnsi="Times New Roman"/>
                <w:sz w:val="18"/>
              </w:rPr>
              <w:t>±20%</w:t>
            </w:r>
          </w:p>
        </w:tc>
        <w:tc>
          <w:tcPr>
            <w:tcW w:type="dxa" w:w="4896"/>
          </w:tcPr>
          <w:p>
            <w:pPr>
              <w:jc w:val="center"/>
            </w:pPr>
            <w:r>
              <w:rPr>
                <w:rFonts w:ascii="Times New Roman" w:hAnsi="Times New Roman"/>
                <w:sz w:val="18"/>
              </w:rPr>
              <w:t>LED intensity variation over operational life</w:t>
            </w:r>
          </w:p>
        </w:tc>
      </w:tr>
      <w:tr>
        <w:tc>
          <w:tcPr>
            <w:tcW w:type="dxa" w:w="2592"/>
          </w:tcPr>
          <w:p>
            <w:pPr>
              <w:jc w:val="center"/>
            </w:pPr>
            <w:r>
              <w:rPr>
                <w:rFonts w:ascii="Times New Roman" w:hAnsi="Times New Roman"/>
                <w:sz w:val="18"/>
              </w:rPr>
              <w:t>Contrast Jitter</w:t>
            </w:r>
          </w:p>
        </w:tc>
        <w:tc>
          <w:tcPr>
            <w:tcW w:type="dxa" w:w="2592"/>
          </w:tcPr>
          <w:p>
            <w:pPr>
              <w:jc w:val="center"/>
            </w:pPr>
            <w:r>
              <w:rPr>
                <w:rFonts w:ascii="Times New Roman" w:hAnsi="Times New Roman"/>
                <w:sz w:val="18"/>
              </w:rPr>
              <w:t>±20%</w:t>
            </w:r>
          </w:p>
        </w:tc>
        <w:tc>
          <w:tcPr>
            <w:tcW w:type="dxa" w:w="4896"/>
          </w:tcPr>
          <w:p>
            <w:pPr>
              <w:jc w:val="center"/>
            </w:pPr>
            <w:r>
              <w:rPr>
                <w:rFonts w:ascii="Times New Roman" w:hAnsi="Times New Roman"/>
                <w:sz w:val="18"/>
              </w:rPr>
              <w:t>Ambient light contamination</w:t>
            </w:r>
          </w:p>
        </w:tc>
      </w:tr>
      <w:tr>
        <w:tc>
          <w:tcPr>
            <w:tcW w:type="dxa" w:w="2592"/>
          </w:tcPr>
          <w:p>
            <w:pPr>
              <w:jc w:val="center"/>
            </w:pPr>
            <w:r>
              <w:rPr>
                <w:rFonts w:ascii="Times New Roman" w:hAnsi="Times New Roman"/>
                <w:sz w:val="18"/>
              </w:rPr>
              <w:t>Saturation Jitter</w:t>
            </w:r>
          </w:p>
        </w:tc>
        <w:tc>
          <w:tcPr>
            <w:tcW w:type="dxa" w:w="2592"/>
          </w:tcPr>
          <w:p>
            <w:pPr>
              <w:jc w:val="center"/>
            </w:pPr>
            <w:r>
              <w:rPr>
                <w:rFonts w:ascii="Times New Roman" w:hAnsi="Times New Roman"/>
                <w:sz w:val="18"/>
              </w:rPr>
              <w:t>±15%</w:t>
            </w:r>
          </w:p>
        </w:tc>
        <w:tc>
          <w:tcPr>
            <w:tcW w:type="dxa" w:w="4896"/>
          </w:tcPr>
          <w:p>
            <w:pPr>
              <w:jc w:val="center"/>
            </w:pPr>
            <w:r>
              <w:rPr>
                <w:rFonts w:ascii="Times New Roman" w:hAnsi="Times New Roman"/>
                <w:sz w:val="18"/>
              </w:rPr>
              <w:t>Spectral composition shift across lighting types</w:t>
            </w:r>
          </w:p>
        </w:tc>
      </w:tr>
      <w:tr>
        <w:tc>
          <w:tcPr>
            <w:tcW w:type="dxa" w:w="2592"/>
          </w:tcPr>
          <w:p>
            <w:pPr>
              <w:jc w:val="center"/>
            </w:pPr>
            <w:r>
              <w:rPr>
                <w:rFonts w:ascii="Times New Roman" w:hAnsi="Times New Roman"/>
                <w:sz w:val="18"/>
              </w:rPr>
              <w:t>Hue Jitter</w:t>
            </w:r>
          </w:p>
        </w:tc>
        <w:tc>
          <w:tcPr>
            <w:tcW w:type="dxa" w:w="2592"/>
          </w:tcPr>
          <w:p>
            <w:pPr>
              <w:jc w:val="center"/>
            </w:pPr>
            <w:r>
              <w:rPr>
                <w:rFonts w:ascii="Times New Roman" w:hAnsi="Times New Roman"/>
                <w:sz w:val="18"/>
              </w:rPr>
              <w:t>±5%</w:t>
            </w:r>
          </w:p>
        </w:tc>
        <w:tc>
          <w:tcPr>
            <w:tcW w:type="dxa" w:w="4896"/>
          </w:tcPr>
          <w:p>
            <w:pPr>
              <w:jc w:val="center"/>
            </w:pPr>
            <w:r>
              <w:rPr>
                <w:rFonts w:ascii="Times New Roman" w:hAnsi="Times New Roman"/>
                <w:sz w:val="18"/>
              </w:rPr>
              <w:t>Subtle colour temperature changes</w:t>
            </w:r>
          </w:p>
        </w:tc>
      </w:tr>
      <w:tr>
        <w:tc>
          <w:tcPr>
            <w:tcW w:type="dxa" w:w="2592"/>
          </w:tcPr>
          <w:p>
            <w:pPr>
              <w:jc w:val="center"/>
            </w:pPr>
            <w:r>
              <w:rPr>
                <w:rFonts w:ascii="Times New Roman" w:hAnsi="Times New Roman"/>
                <w:sz w:val="18"/>
              </w:rPr>
              <w:t>Gaussian Blur</w:t>
            </w:r>
          </w:p>
        </w:tc>
        <w:tc>
          <w:tcPr>
            <w:tcW w:type="dxa" w:w="2592"/>
          </w:tcPr>
          <w:p>
            <w:pPr>
              <w:jc w:val="center"/>
            </w:pPr>
            <w:r>
              <w:rPr>
                <w:rFonts w:ascii="Times New Roman" w:hAnsi="Times New Roman"/>
                <w:sz w:val="18"/>
              </w:rPr>
              <w:t>σ = [0.1, 0.5], p = 0.2</w:t>
            </w:r>
          </w:p>
        </w:tc>
        <w:tc>
          <w:tcPr>
            <w:tcW w:type="dxa" w:w="4896"/>
          </w:tcPr>
          <w:p>
            <w:pPr>
              <w:jc w:val="center"/>
            </w:pPr>
            <w:r>
              <w:rPr>
                <w:rFonts w:ascii="Times New Roman" w:hAnsi="Times New Roman"/>
                <w:sz w:val="18"/>
              </w:rPr>
              <w:t>Motion blur and defocus tolerance</w:t>
            </w:r>
          </w:p>
        </w:tc>
      </w:tr>
      <w:tr>
        <w:tc>
          <w:tcPr>
            <w:tcW w:type="dxa" w:w="2592"/>
          </w:tcPr>
          <w:p>
            <w:pPr>
              <w:jc w:val="center"/>
            </w:pPr>
            <w:r>
              <w:rPr>
                <w:rFonts w:ascii="Times New Roman" w:hAnsi="Times New Roman"/>
                <w:sz w:val="18"/>
              </w:rPr>
              <w:t>ImageNet Normalise</w:t>
            </w:r>
          </w:p>
        </w:tc>
        <w:tc>
          <w:tcPr>
            <w:tcW w:type="dxa" w:w="2592"/>
          </w:tcPr>
          <w:p>
            <w:pPr>
              <w:jc w:val="center"/>
            </w:pPr>
            <w:r>
              <w:rPr>
                <w:rFonts w:ascii="Times New Roman" w:hAnsi="Times New Roman"/>
                <w:sz w:val="18"/>
              </w:rPr>
              <w:t>μ = [0.485, 0.456, 0.406]</w:t>
            </w:r>
          </w:p>
        </w:tc>
        <w:tc>
          <w:tcPr>
            <w:tcW w:type="dxa" w:w="4896"/>
          </w:tcPr>
          <w:p>
            <w:pPr>
              <w:jc w:val="center"/>
            </w:pPr>
            <w:r>
              <w:rPr>
                <w:rFonts w:ascii="Times New Roman" w:hAnsi="Times New Roman"/>
                <w:sz w:val="18"/>
              </w:rPr>
              <w:t>Stable gradient flow during training</w:t>
            </w:r>
          </w:p>
        </w:tc>
      </w:tr>
    </w:tbl>
    <w:p/>
    <w:p>
      <w:pPr>
        <w:pStyle w:val="Heading2"/>
      </w:pPr>
      <w:r>
        <w:t>B.  Image Preprocessing and Augmentation</w:t>
      </w:r>
    </w:p>
    <w:p>
      <w:pPr>
        <w:spacing w:after="120" w:before="0" w:lineRule="auto" w:line="276"/>
        <w:ind w:firstLine="0"/>
        <w:jc w:val="both"/>
      </w:pPr>
      <w:r>
        <w:rPr>
          <w:rFonts w:ascii="Times New Roman" w:hAnsi="Times New Roman"/>
          <w:b w:val="0"/>
          <w:i w:val="0"/>
          <w:sz w:val="22"/>
        </w:rPr>
        <w:t>All images in the dataset were resized to a uniform spatial resolution of 224×224 pixels prior to model input. This resolution matches the input dimensionality expected by standard CNN architectures trained on ImageNet and facilitates potential future migration to pretrained backbone architectures such as ResNet, EfficientNet, or ViT that have been pretrained at this resolution. Pixel intensities were normalised using channel-wise mean and standard deviation values computed over the full ImageNet dataset (mean = [0.485, 0.456, 0.406]; standard deviation = [0.229, 0.224, 0.225]), a widely adopted convention that accelerates convergence when leveraging transfer-learned features and ensures consistent input magnitude across channels.</w:t>
      </w:r>
    </w:p>
    <w:p>
      <w:pPr>
        <w:spacing w:after="120" w:before="0" w:lineRule="auto" w:line="276"/>
        <w:ind w:firstLine="0"/>
        <w:jc w:val="both"/>
      </w:pPr>
      <w:r>
        <w:rPr>
          <w:rFonts w:ascii="Times New Roman" w:hAnsi="Times New Roman"/>
          <w:b w:val="0"/>
          <w:i w:val="0"/>
          <w:sz w:val="22"/>
        </w:rPr>
        <w:t>A stochastic augmentation pipeline was applied exclusively to the training split to increase effective dataset size and reduce overfitting. The validation and test splits received only deterministic resizing and normalisation transforms to provide unbiased performance estimates. The augmentation transforms were applied in-flight during DataLoader iteration using PyTorch's torchvision.transforms module, ensuring that each training epoch presents statistically different augmented views of each training image rather than a fixed augmented copy.</w:t>
      </w:r>
    </w:p>
    <w:p>
      <w:pPr>
        <w:spacing w:after="120" w:before="0" w:lineRule="auto" w:line="276"/>
        <w:ind w:firstLine="0"/>
        <w:jc w:val="both"/>
      </w:pPr>
      <w:r>
        <w:rPr>
          <w:rFonts w:ascii="Times New Roman" w:hAnsi="Times New Roman"/>
          <w:b w:val="0"/>
          <w:i w:val="0"/>
          <w:sz w:val="22"/>
        </w:rPr>
        <w:t>The augmentation pipeline was designed to simulate the specific variability modes expected in the SmartFruit deployment environment. Random horizontal and vertical flipping at probability 0.5 simulate the bilateral symmetry of most fruit shapes and the inverted-placement scenario where a fruit is placed upside-down on the sorting tray. Random rotation within ±15 degrees simulates the angular placement variation inherent in manual fruit loading. Colour jitter transforms applied to brightness, contrast, saturation, and hue simulate LED intensity variation over the operational life of the illumination system and the influence of ambient light contamination through gaps in the enclosure diffuser. Gaussian blur applied with probability 0.2 simulates motion blur from fruit movement during camera exposure and defocus from positional variation relative to the camera focal distance.</w:t>
      </w:r>
    </w:p>
    <w:p>
      <w:pPr>
        <w:pStyle w:val="Heading2"/>
      </w:pPr>
      <w:r>
        <w:t>C.  CNN Model Architecture</w:t>
      </w:r>
    </w:p>
    <w:p>
      <w:pPr>
        <w:spacing w:after="120" w:before="0" w:lineRule="auto" w:line="276"/>
        <w:ind w:firstLine="0"/>
        <w:jc w:val="both"/>
      </w:pPr>
      <w:r>
        <w:rPr>
          <w:rFonts w:ascii="Times New Roman" w:hAnsi="Times New Roman"/>
          <w:b w:val="0"/>
          <w:i w:val="0"/>
          <w:sz w:val="22"/>
        </w:rPr>
        <w:t>The convolutional neural network architecture was designed to balance representational capacity against the inference latency constraints imposed by the Jetson Orin NX hardware platform. The primary design criterion was that the model must be capable of classifying six fruit categories with accuracy exceeding 95 percent while completing forward inference within a 10-millisecond latency budget when executed through the TensorRT FP16 execution provider.</w:t>
      </w:r>
    </w:p>
    <w:p>
      <w:pPr>
        <w:spacing w:after="120" w:before="0" w:lineRule="auto" w:line="276"/>
        <w:ind w:firstLine="0"/>
        <w:jc w:val="both"/>
      </w:pPr>
      <w:r>
        <w:rPr>
          <w:rFonts w:ascii="Times New Roman" w:hAnsi="Times New Roman"/>
          <w:b w:val="0"/>
          <w:i w:val="0"/>
          <w:sz w:val="22"/>
        </w:rPr>
        <w:t>The model backbone consists of three sequential convolutional blocks. Each block comprises a two-dimensional convolutional layer with 3×3 filter kernels, Batch Normalisation to stabilise the distribution of layer activations and accelerate convergence, ReLU non-linear activation, and 2×2 MaxPooling with stride 2 to progressively reduce spatial resolution while increasing the receptive field of subsequent layers. The number of convolutional channels follows the progression 32 → 64 → 128, a geometric doubling strategy that progressively increases representational capacity as spatial dimensions are halved at each pooling layer, maintaining a roughly constant computational cost per block.</w:t>
      </w:r>
    </w:p>
    <w:p>
      <w:pPr>
        <w:spacing w:after="120" w:before="0" w:lineRule="auto" w:line="276"/>
        <w:ind w:firstLine="0"/>
        <w:jc w:val="both"/>
      </w:pPr>
      <w:r>
        <w:rPr>
          <w:rFonts w:ascii="Times New Roman" w:hAnsi="Times New Roman"/>
          <w:b w:val="0"/>
          <w:i w:val="0"/>
          <w:sz w:val="22"/>
        </w:rPr>
        <w:t>Following the three convolutional blocks, a Global Average Pooling operation reduces the 28×28×128 feature map to a 128-dimensional vector by computing the spatial mean of each feature channel. Global Average Pooling was preferred over a simple flatten operation because it imposes spatial averaging as a structural regulariser, reducing the risk of overfitting to specific spatial positions of discriminative features within the training images. The pooled vector is passed through a fully connected layer of 512 units with ReLU activation, a Dropout layer with drop probability 0.5 for additional regularisation, and a final classification head of six output neurons producing raw logits. Softmax normalisation is applied to these logits at inference time to obtain class probability estimates.</w:t>
      </w:r>
    </w:p>
    <w:p>
      <w:pPr>
        <w:spacing w:before="240" w:after="80"/>
        <w:jc w:val="center"/>
      </w:pPr>
      <w:r>
        <w:rPr>
          <w:rFonts w:ascii="Times New Roman" w:hAnsi="Times New Roman"/>
          <w:b/>
          <w:sz w:val="20"/>
        </w:rPr>
        <w:t>Table 2: CNN Model Layer-by-Layer Specifications</w:t>
      </w:r>
    </w:p>
    <w:tbl>
      <w:tblPr>
        <w:tblStyle w:val="TableGrid"/>
        <w:tblW w:type="auto" w:w="0"/>
        <w:tblLook w:firstColumn="1" w:firstRow="1" w:lastColumn="0" w:lastRow="0" w:noHBand="0" w:noVBand="1" w:val="04A0"/>
      </w:tblPr>
      <w:tblGrid>
        <w:gridCol w:w="2275"/>
        <w:gridCol w:w="2275"/>
        <w:gridCol w:w="2275"/>
        <w:gridCol w:w="2275"/>
      </w:tblGrid>
      <w:tr>
        <w:tc>
          <w:tcPr>
            <w:tcW w:type="dxa" w:w="2592"/>
          </w:tcPr>
          <w:p>
            <w:pPr>
              <w:jc w:val="center"/>
            </w:pPr>
            <w:r>
              <w:rPr>
                <w:rFonts w:ascii="Times New Roman" w:hAnsi="Times New Roman"/>
                <w:b/>
                <w:sz w:val="18"/>
              </w:rPr>
              <w:t>Layer</w:t>
            </w:r>
          </w:p>
        </w:tc>
        <w:tc>
          <w:tcPr>
            <w:tcW w:type="dxa" w:w="3600"/>
          </w:tcPr>
          <w:p>
            <w:pPr>
              <w:jc w:val="center"/>
            </w:pPr>
            <w:r>
              <w:rPr>
                <w:rFonts w:ascii="Times New Roman" w:hAnsi="Times New Roman"/>
                <w:b/>
                <w:sz w:val="18"/>
              </w:rPr>
              <w:t>Parameters</w:t>
            </w:r>
          </w:p>
        </w:tc>
        <w:tc>
          <w:tcPr>
            <w:tcW w:type="dxa" w:w="2160"/>
          </w:tcPr>
          <w:p>
            <w:pPr>
              <w:jc w:val="center"/>
            </w:pPr>
            <w:r>
              <w:rPr>
                <w:rFonts w:ascii="Times New Roman" w:hAnsi="Times New Roman"/>
                <w:b/>
                <w:sz w:val="18"/>
              </w:rPr>
              <w:t>Input Shape</w:t>
            </w:r>
          </w:p>
        </w:tc>
        <w:tc>
          <w:tcPr>
            <w:tcW w:type="dxa" w:w="1728"/>
          </w:tcPr>
          <w:p>
            <w:pPr>
              <w:jc w:val="center"/>
            </w:pPr>
            <w:r>
              <w:rPr>
                <w:rFonts w:ascii="Times New Roman" w:hAnsi="Times New Roman"/>
                <w:b/>
                <w:sz w:val="18"/>
              </w:rPr>
              <w:t>Output Shape</w:t>
            </w:r>
          </w:p>
        </w:tc>
      </w:tr>
      <w:tr>
        <w:tc>
          <w:tcPr>
            <w:tcW w:type="dxa" w:w="2592"/>
          </w:tcPr>
          <w:p>
            <w:pPr>
              <w:jc w:val="center"/>
            </w:pPr>
            <w:r>
              <w:rPr>
                <w:rFonts w:ascii="Times New Roman" w:hAnsi="Times New Roman"/>
                <w:sz w:val="18"/>
              </w:rPr>
              <w:t>Conv2D Block 1</w:t>
            </w:r>
          </w:p>
        </w:tc>
        <w:tc>
          <w:tcPr>
            <w:tcW w:type="dxa" w:w="3600"/>
          </w:tcPr>
          <w:p>
            <w:pPr>
              <w:jc w:val="center"/>
            </w:pPr>
            <w:r>
              <w:rPr>
                <w:rFonts w:ascii="Times New Roman" w:hAnsi="Times New Roman"/>
                <w:sz w:val="18"/>
              </w:rPr>
              <w:t>3×3 kernel, 32 filters, BN + ReLU</w:t>
            </w:r>
          </w:p>
        </w:tc>
        <w:tc>
          <w:tcPr>
            <w:tcW w:type="dxa" w:w="2160"/>
          </w:tcPr>
          <w:p>
            <w:pPr>
              <w:jc w:val="center"/>
            </w:pPr>
            <w:r>
              <w:rPr>
                <w:rFonts w:ascii="Times New Roman" w:hAnsi="Times New Roman"/>
                <w:sz w:val="18"/>
              </w:rPr>
              <w:t>224×224×3</w:t>
            </w:r>
          </w:p>
        </w:tc>
        <w:tc>
          <w:tcPr>
            <w:tcW w:type="dxa" w:w="1728"/>
          </w:tcPr>
          <w:p>
            <w:pPr>
              <w:jc w:val="center"/>
            </w:pPr>
            <w:r>
              <w:rPr>
                <w:rFonts w:ascii="Times New Roman" w:hAnsi="Times New Roman"/>
                <w:sz w:val="18"/>
              </w:rPr>
              <w:t>224×224×32</w:t>
            </w:r>
          </w:p>
        </w:tc>
      </w:tr>
      <w:tr>
        <w:tc>
          <w:tcPr>
            <w:tcW w:type="dxa" w:w="2592"/>
          </w:tcPr>
          <w:p>
            <w:pPr>
              <w:jc w:val="center"/>
            </w:pPr>
            <w:r>
              <w:rPr>
                <w:rFonts w:ascii="Times New Roman" w:hAnsi="Times New Roman"/>
                <w:sz w:val="18"/>
              </w:rPr>
              <w:t>MaxPool2D</w:t>
            </w:r>
          </w:p>
        </w:tc>
        <w:tc>
          <w:tcPr>
            <w:tcW w:type="dxa" w:w="3600"/>
          </w:tcPr>
          <w:p>
            <w:pPr>
              <w:jc w:val="center"/>
            </w:pPr>
            <w:r>
              <w:rPr>
                <w:rFonts w:ascii="Times New Roman" w:hAnsi="Times New Roman"/>
                <w:sz w:val="18"/>
              </w:rPr>
              <w:t>2×2 stride 2</w:t>
            </w:r>
          </w:p>
        </w:tc>
        <w:tc>
          <w:tcPr>
            <w:tcW w:type="dxa" w:w="2160"/>
          </w:tcPr>
          <w:p>
            <w:pPr>
              <w:jc w:val="center"/>
            </w:pPr>
            <w:r>
              <w:rPr>
                <w:rFonts w:ascii="Times New Roman" w:hAnsi="Times New Roman"/>
                <w:sz w:val="18"/>
              </w:rPr>
              <w:t>224×224×32</w:t>
            </w:r>
          </w:p>
        </w:tc>
        <w:tc>
          <w:tcPr>
            <w:tcW w:type="dxa" w:w="1728"/>
          </w:tcPr>
          <w:p>
            <w:pPr>
              <w:jc w:val="center"/>
            </w:pPr>
            <w:r>
              <w:rPr>
                <w:rFonts w:ascii="Times New Roman" w:hAnsi="Times New Roman"/>
                <w:sz w:val="18"/>
              </w:rPr>
              <w:t>112×112×32</w:t>
            </w:r>
          </w:p>
        </w:tc>
      </w:tr>
      <w:tr>
        <w:tc>
          <w:tcPr>
            <w:tcW w:type="dxa" w:w="2592"/>
          </w:tcPr>
          <w:p>
            <w:pPr>
              <w:jc w:val="center"/>
            </w:pPr>
            <w:r>
              <w:rPr>
                <w:rFonts w:ascii="Times New Roman" w:hAnsi="Times New Roman"/>
                <w:sz w:val="18"/>
              </w:rPr>
              <w:t>Conv2D Block 2</w:t>
            </w:r>
          </w:p>
        </w:tc>
        <w:tc>
          <w:tcPr>
            <w:tcW w:type="dxa" w:w="3600"/>
          </w:tcPr>
          <w:p>
            <w:pPr>
              <w:jc w:val="center"/>
            </w:pPr>
            <w:r>
              <w:rPr>
                <w:rFonts w:ascii="Times New Roman" w:hAnsi="Times New Roman"/>
                <w:sz w:val="18"/>
              </w:rPr>
              <w:t>3×3 kernel, 64 filters, BN + ReLU</w:t>
            </w:r>
          </w:p>
        </w:tc>
        <w:tc>
          <w:tcPr>
            <w:tcW w:type="dxa" w:w="2160"/>
          </w:tcPr>
          <w:p>
            <w:pPr>
              <w:jc w:val="center"/>
            </w:pPr>
            <w:r>
              <w:rPr>
                <w:rFonts w:ascii="Times New Roman" w:hAnsi="Times New Roman"/>
                <w:sz w:val="18"/>
              </w:rPr>
              <w:t>112×112×32</w:t>
            </w:r>
          </w:p>
        </w:tc>
        <w:tc>
          <w:tcPr>
            <w:tcW w:type="dxa" w:w="1728"/>
          </w:tcPr>
          <w:p>
            <w:pPr>
              <w:jc w:val="center"/>
            </w:pPr>
            <w:r>
              <w:rPr>
                <w:rFonts w:ascii="Times New Roman" w:hAnsi="Times New Roman"/>
                <w:sz w:val="18"/>
              </w:rPr>
              <w:t>112×112×64</w:t>
            </w:r>
          </w:p>
        </w:tc>
      </w:tr>
      <w:tr>
        <w:tc>
          <w:tcPr>
            <w:tcW w:type="dxa" w:w="2592"/>
          </w:tcPr>
          <w:p>
            <w:pPr>
              <w:jc w:val="center"/>
            </w:pPr>
            <w:r>
              <w:rPr>
                <w:rFonts w:ascii="Times New Roman" w:hAnsi="Times New Roman"/>
                <w:sz w:val="18"/>
              </w:rPr>
              <w:t>MaxPool2D</w:t>
            </w:r>
          </w:p>
        </w:tc>
        <w:tc>
          <w:tcPr>
            <w:tcW w:type="dxa" w:w="3600"/>
          </w:tcPr>
          <w:p>
            <w:pPr>
              <w:jc w:val="center"/>
            </w:pPr>
            <w:r>
              <w:rPr>
                <w:rFonts w:ascii="Times New Roman" w:hAnsi="Times New Roman"/>
                <w:sz w:val="18"/>
              </w:rPr>
              <w:t>2×2 stride 2</w:t>
            </w:r>
          </w:p>
        </w:tc>
        <w:tc>
          <w:tcPr>
            <w:tcW w:type="dxa" w:w="2160"/>
          </w:tcPr>
          <w:p>
            <w:pPr>
              <w:jc w:val="center"/>
            </w:pPr>
            <w:r>
              <w:rPr>
                <w:rFonts w:ascii="Times New Roman" w:hAnsi="Times New Roman"/>
                <w:sz w:val="18"/>
              </w:rPr>
              <w:t>112×112×64</w:t>
            </w:r>
          </w:p>
        </w:tc>
        <w:tc>
          <w:tcPr>
            <w:tcW w:type="dxa" w:w="1728"/>
          </w:tcPr>
          <w:p>
            <w:pPr>
              <w:jc w:val="center"/>
            </w:pPr>
            <w:r>
              <w:rPr>
                <w:rFonts w:ascii="Times New Roman" w:hAnsi="Times New Roman"/>
                <w:sz w:val="18"/>
              </w:rPr>
              <w:t>56×56×64</w:t>
            </w:r>
          </w:p>
        </w:tc>
      </w:tr>
      <w:tr>
        <w:tc>
          <w:tcPr>
            <w:tcW w:type="dxa" w:w="2592"/>
          </w:tcPr>
          <w:p>
            <w:pPr>
              <w:jc w:val="center"/>
            </w:pPr>
            <w:r>
              <w:rPr>
                <w:rFonts w:ascii="Times New Roman" w:hAnsi="Times New Roman"/>
                <w:sz w:val="18"/>
              </w:rPr>
              <w:t>Conv2D Block 3</w:t>
            </w:r>
          </w:p>
        </w:tc>
        <w:tc>
          <w:tcPr>
            <w:tcW w:type="dxa" w:w="3600"/>
          </w:tcPr>
          <w:p>
            <w:pPr>
              <w:jc w:val="center"/>
            </w:pPr>
            <w:r>
              <w:rPr>
                <w:rFonts w:ascii="Times New Roman" w:hAnsi="Times New Roman"/>
                <w:sz w:val="18"/>
              </w:rPr>
              <w:t>3×3 kernel, 128 filters, BN + ReLU</w:t>
            </w:r>
          </w:p>
        </w:tc>
        <w:tc>
          <w:tcPr>
            <w:tcW w:type="dxa" w:w="2160"/>
          </w:tcPr>
          <w:p>
            <w:pPr>
              <w:jc w:val="center"/>
            </w:pPr>
            <w:r>
              <w:rPr>
                <w:rFonts w:ascii="Times New Roman" w:hAnsi="Times New Roman"/>
                <w:sz w:val="18"/>
              </w:rPr>
              <w:t>56×56×64</w:t>
            </w:r>
          </w:p>
        </w:tc>
        <w:tc>
          <w:tcPr>
            <w:tcW w:type="dxa" w:w="1728"/>
          </w:tcPr>
          <w:p>
            <w:pPr>
              <w:jc w:val="center"/>
            </w:pPr>
            <w:r>
              <w:rPr>
                <w:rFonts w:ascii="Times New Roman" w:hAnsi="Times New Roman"/>
                <w:sz w:val="18"/>
              </w:rPr>
              <w:t>56×56×128</w:t>
            </w:r>
          </w:p>
        </w:tc>
      </w:tr>
      <w:tr>
        <w:tc>
          <w:tcPr>
            <w:tcW w:type="dxa" w:w="2592"/>
          </w:tcPr>
          <w:p>
            <w:pPr>
              <w:jc w:val="center"/>
            </w:pPr>
            <w:r>
              <w:rPr>
                <w:rFonts w:ascii="Times New Roman" w:hAnsi="Times New Roman"/>
                <w:sz w:val="18"/>
              </w:rPr>
              <w:t>MaxPool2D</w:t>
            </w:r>
          </w:p>
        </w:tc>
        <w:tc>
          <w:tcPr>
            <w:tcW w:type="dxa" w:w="3600"/>
          </w:tcPr>
          <w:p>
            <w:pPr>
              <w:jc w:val="center"/>
            </w:pPr>
            <w:r>
              <w:rPr>
                <w:rFonts w:ascii="Times New Roman" w:hAnsi="Times New Roman"/>
                <w:sz w:val="18"/>
              </w:rPr>
              <w:t>2×2 stride 2</w:t>
            </w:r>
          </w:p>
        </w:tc>
        <w:tc>
          <w:tcPr>
            <w:tcW w:type="dxa" w:w="2160"/>
          </w:tcPr>
          <w:p>
            <w:pPr>
              <w:jc w:val="center"/>
            </w:pPr>
            <w:r>
              <w:rPr>
                <w:rFonts w:ascii="Times New Roman" w:hAnsi="Times New Roman"/>
                <w:sz w:val="18"/>
              </w:rPr>
              <w:t>56×56×128</w:t>
            </w:r>
          </w:p>
        </w:tc>
        <w:tc>
          <w:tcPr>
            <w:tcW w:type="dxa" w:w="1728"/>
          </w:tcPr>
          <w:p>
            <w:pPr>
              <w:jc w:val="center"/>
            </w:pPr>
            <w:r>
              <w:rPr>
                <w:rFonts w:ascii="Times New Roman" w:hAnsi="Times New Roman"/>
                <w:sz w:val="18"/>
              </w:rPr>
              <w:t>28×28×128</w:t>
            </w:r>
          </w:p>
        </w:tc>
      </w:tr>
      <w:tr>
        <w:tc>
          <w:tcPr>
            <w:tcW w:type="dxa" w:w="2592"/>
          </w:tcPr>
          <w:p>
            <w:pPr>
              <w:jc w:val="center"/>
            </w:pPr>
            <w:r>
              <w:rPr>
                <w:rFonts w:ascii="Times New Roman" w:hAnsi="Times New Roman"/>
                <w:sz w:val="18"/>
              </w:rPr>
              <w:t>Global Avg Pool</w:t>
            </w:r>
          </w:p>
        </w:tc>
        <w:tc>
          <w:tcPr>
            <w:tcW w:type="dxa" w:w="3600"/>
          </w:tcPr>
          <w:p>
            <w:pPr>
              <w:jc w:val="center"/>
            </w:pPr>
            <w:r>
              <w:rPr>
                <w:rFonts w:ascii="Times New Roman" w:hAnsi="Times New Roman"/>
                <w:sz w:val="18"/>
              </w:rPr>
              <w:t>Spatial mean per channel</w:t>
            </w:r>
          </w:p>
        </w:tc>
        <w:tc>
          <w:tcPr>
            <w:tcW w:type="dxa" w:w="2160"/>
          </w:tcPr>
          <w:p>
            <w:pPr>
              <w:jc w:val="center"/>
            </w:pPr>
            <w:r>
              <w:rPr>
                <w:rFonts w:ascii="Times New Roman" w:hAnsi="Times New Roman"/>
                <w:sz w:val="18"/>
              </w:rPr>
              <w:t>28×28×128</w:t>
            </w:r>
          </w:p>
        </w:tc>
        <w:tc>
          <w:tcPr>
            <w:tcW w:type="dxa" w:w="1728"/>
          </w:tcPr>
          <w:p>
            <w:pPr>
              <w:jc w:val="center"/>
            </w:pPr>
            <w:r>
              <w:rPr>
                <w:rFonts w:ascii="Times New Roman" w:hAnsi="Times New Roman"/>
                <w:sz w:val="18"/>
              </w:rPr>
              <w:t>128</w:t>
            </w:r>
          </w:p>
        </w:tc>
      </w:tr>
      <w:tr>
        <w:tc>
          <w:tcPr>
            <w:tcW w:type="dxa" w:w="2592"/>
          </w:tcPr>
          <w:p>
            <w:pPr>
              <w:jc w:val="center"/>
            </w:pPr>
            <w:r>
              <w:rPr>
                <w:rFonts w:ascii="Times New Roman" w:hAnsi="Times New Roman"/>
                <w:sz w:val="18"/>
              </w:rPr>
              <w:t>Dense (512)</w:t>
            </w:r>
          </w:p>
        </w:tc>
        <w:tc>
          <w:tcPr>
            <w:tcW w:type="dxa" w:w="3600"/>
          </w:tcPr>
          <w:p>
            <w:pPr>
              <w:jc w:val="center"/>
            </w:pPr>
            <w:r>
              <w:rPr>
                <w:rFonts w:ascii="Times New Roman" w:hAnsi="Times New Roman"/>
                <w:sz w:val="18"/>
              </w:rPr>
              <w:t>Fully connected, ReLU</w:t>
            </w:r>
          </w:p>
        </w:tc>
        <w:tc>
          <w:tcPr>
            <w:tcW w:type="dxa" w:w="2160"/>
          </w:tcPr>
          <w:p>
            <w:pPr>
              <w:jc w:val="center"/>
            </w:pPr>
            <w:r>
              <w:rPr>
                <w:rFonts w:ascii="Times New Roman" w:hAnsi="Times New Roman"/>
                <w:sz w:val="18"/>
              </w:rPr>
              <w:t>128</w:t>
            </w:r>
          </w:p>
        </w:tc>
        <w:tc>
          <w:tcPr>
            <w:tcW w:type="dxa" w:w="1728"/>
          </w:tcPr>
          <w:p>
            <w:pPr>
              <w:jc w:val="center"/>
            </w:pPr>
            <w:r>
              <w:rPr>
                <w:rFonts w:ascii="Times New Roman" w:hAnsi="Times New Roman"/>
                <w:sz w:val="18"/>
              </w:rPr>
              <w:t>512</w:t>
            </w:r>
          </w:p>
        </w:tc>
      </w:tr>
      <w:tr>
        <w:tc>
          <w:tcPr>
            <w:tcW w:type="dxa" w:w="2592"/>
          </w:tcPr>
          <w:p>
            <w:pPr>
              <w:jc w:val="center"/>
            </w:pPr>
            <w:r>
              <w:rPr>
                <w:rFonts w:ascii="Times New Roman" w:hAnsi="Times New Roman"/>
                <w:sz w:val="18"/>
              </w:rPr>
              <w:t>Dropout (0.5)</w:t>
            </w:r>
          </w:p>
        </w:tc>
        <w:tc>
          <w:tcPr>
            <w:tcW w:type="dxa" w:w="3600"/>
          </w:tcPr>
          <w:p>
            <w:pPr>
              <w:jc w:val="center"/>
            </w:pPr>
            <w:r>
              <w:rPr>
                <w:rFonts w:ascii="Times New Roman" w:hAnsi="Times New Roman"/>
                <w:sz w:val="18"/>
              </w:rPr>
              <w:t>Training regularisation</w:t>
            </w:r>
          </w:p>
        </w:tc>
        <w:tc>
          <w:tcPr>
            <w:tcW w:type="dxa" w:w="2160"/>
          </w:tcPr>
          <w:p>
            <w:pPr>
              <w:jc w:val="center"/>
            </w:pPr>
            <w:r>
              <w:rPr>
                <w:rFonts w:ascii="Times New Roman" w:hAnsi="Times New Roman"/>
                <w:sz w:val="18"/>
              </w:rPr>
              <w:t>512</w:t>
            </w:r>
          </w:p>
        </w:tc>
        <w:tc>
          <w:tcPr>
            <w:tcW w:type="dxa" w:w="1728"/>
          </w:tcPr>
          <w:p>
            <w:pPr>
              <w:jc w:val="center"/>
            </w:pPr>
            <w:r>
              <w:rPr>
                <w:rFonts w:ascii="Times New Roman" w:hAnsi="Times New Roman"/>
                <w:sz w:val="18"/>
              </w:rPr>
              <w:t>512</w:t>
            </w:r>
          </w:p>
        </w:tc>
      </w:tr>
      <w:tr>
        <w:tc>
          <w:tcPr>
            <w:tcW w:type="dxa" w:w="2592"/>
          </w:tcPr>
          <w:p>
            <w:pPr>
              <w:jc w:val="center"/>
            </w:pPr>
            <w:r>
              <w:rPr>
                <w:rFonts w:ascii="Times New Roman" w:hAnsi="Times New Roman"/>
                <w:sz w:val="18"/>
              </w:rPr>
              <w:t>Dense (6)</w:t>
            </w:r>
          </w:p>
        </w:tc>
        <w:tc>
          <w:tcPr>
            <w:tcW w:type="dxa" w:w="3600"/>
          </w:tcPr>
          <w:p>
            <w:pPr>
              <w:jc w:val="center"/>
            </w:pPr>
            <w:r>
              <w:rPr>
                <w:rFonts w:ascii="Times New Roman" w:hAnsi="Times New Roman"/>
                <w:sz w:val="18"/>
              </w:rPr>
              <w:t>Classification head, Softmax</w:t>
            </w:r>
          </w:p>
        </w:tc>
        <w:tc>
          <w:tcPr>
            <w:tcW w:type="dxa" w:w="2160"/>
          </w:tcPr>
          <w:p>
            <w:pPr>
              <w:jc w:val="center"/>
            </w:pPr>
            <w:r>
              <w:rPr>
                <w:rFonts w:ascii="Times New Roman" w:hAnsi="Times New Roman"/>
                <w:sz w:val="18"/>
              </w:rPr>
              <w:t>512</w:t>
            </w:r>
          </w:p>
        </w:tc>
        <w:tc>
          <w:tcPr>
            <w:tcW w:type="dxa" w:w="1728"/>
          </w:tcPr>
          <w:p>
            <w:pPr>
              <w:jc w:val="center"/>
            </w:pPr>
            <w:r>
              <w:rPr>
                <w:rFonts w:ascii="Times New Roman" w:hAnsi="Times New Roman"/>
                <w:sz w:val="18"/>
              </w:rPr>
              <w:t>6</w:t>
            </w:r>
          </w:p>
        </w:tc>
      </w:tr>
    </w:tbl>
    <w:p/>
    <w:p>
      <w:pPr>
        <w:spacing w:after="120" w:before="0" w:lineRule="auto" w:line="276"/>
        <w:ind w:firstLine="0"/>
        <w:jc w:val="both"/>
      </w:pPr>
      <w:r>
        <w:rPr>
          <w:rFonts w:ascii="Times New Roman" w:hAnsi="Times New Roman"/>
          <w:b w:val="0"/>
          <w:i w:val="0"/>
          <w:sz w:val="22"/>
        </w:rPr>
        <w:t>The total parameter count of the SmartFruit CNN is approximately 3.2 million, which is substantially smaller than general-purpose architectures such as ResNet-50 (25 million) or VGG-16 (138 million), reflecting the targeted six-class scope of the problem. The compact parameter count contributes to the low inference latency achieved on the Jetson platform and reduces the risk of overfitting on the training dataset.</w:t>
      </w:r>
    </w:p>
    <w:p>
      <w:pPr>
        <w:pStyle w:val="Heading2"/>
      </w:pPr>
      <w:r>
        <w:t>D.  Training Process on Google Colab GPU</w:t>
      </w:r>
    </w:p>
    <w:p>
      <w:pPr>
        <w:spacing w:after="120" w:before="0" w:lineRule="auto" w:line="276"/>
        <w:ind w:firstLine="0"/>
        <w:jc w:val="both"/>
      </w:pPr>
      <w:r>
        <w:rPr>
          <w:rFonts w:ascii="Times New Roman" w:hAnsi="Times New Roman"/>
          <w:b w:val="0"/>
          <w:i w:val="0"/>
          <w:sz w:val="22"/>
        </w:rPr>
        <w:t>Model training was conducted on the Google Colab cloud platform, which provided access to an NVIDIA Tesla T4 GPU with 16 gigabytes of video memory. The PyTorch 2.x deep learning framework was employed throughout the training pipeline. PyTorch's DataLoader class was configured with a batch size of 32 for the training partition, with shuffle enabled to present training samples in randomised order across epochs, and num_workers set to 4 for parallel data prefetching that prevents CPU-side data loading from becoming the throughput bottleneck during GPU training.</w:t>
      </w:r>
    </w:p>
    <w:p>
      <w:pPr>
        <w:spacing w:after="120" w:before="0" w:lineRule="auto" w:line="276"/>
        <w:ind w:firstLine="0"/>
        <w:jc w:val="both"/>
      </w:pPr>
      <w:r>
        <w:rPr>
          <w:rFonts w:ascii="Times New Roman" w:hAnsi="Times New Roman"/>
          <w:b w:val="0"/>
          <w:i w:val="0"/>
          <w:sz w:val="22"/>
        </w:rPr>
        <w:t>The Adam optimiser was selected as the parameter update algorithm, with an initial learning rate of 1×10⁻³ and weight decay of 1×10⁻⁴. Adam was preferred over standard stochastic gradient descent for its adaptive per-parameter learning rate mechanism, which accelerates convergence in the high-dimensional parameter space of neural networks and reduces sensitivity to the initial learning rate selection. Weight decay provides L2 regularisation as an additional mechanism to prevent overfitting.</w:t>
      </w:r>
    </w:p>
    <w:p>
      <w:pPr>
        <w:spacing w:after="120" w:before="0" w:lineRule="auto" w:line="276"/>
        <w:ind w:firstLine="0"/>
        <w:jc w:val="both"/>
      </w:pPr>
      <w:r>
        <w:rPr>
          <w:rFonts w:ascii="Times New Roman" w:hAnsi="Times New Roman"/>
          <w:b w:val="0"/>
          <w:i w:val="0"/>
          <w:sz w:val="22"/>
        </w:rPr>
        <w:t>A ReduceLROnPlateau learning rate scheduler monitored the validation loss metric and reduced the learning rate by a multiplicative factor of 0.5 whenever no improvement was observed over five consecutive epochs. This adaptive learning rate reduction enables the optimiser to make larger parameter updates during the early stages of training when the loss landscape is relatively smooth, and progressively smaller, more precise updates in later stages as the model approaches a local minimum. The Cross-Entropy loss function served as the training objective, appropriate for the multi-class single-label classification task.</w:t>
      </w:r>
    </w:p>
    <w:p>
      <w:pPr>
        <w:spacing w:after="120" w:before="0" w:lineRule="auto" w:line="276"/>
        <w:ind w:firstLine="0"/>
        <w:jc w:val="both"/>
      </w:pPr>
      <w:r>
        <w:rPr>
          <w:rFonts w:ascii="Times New Roman" w:hAnsi="Times New Roman"/>
          <w:b w:val="0"/>
          <w:i w:val="0"/>
          <w:sz w:val="22"/>
        </w:rPr>
        <w:t>PyTorch's automatic mixed precision training context was employed to accelerate forward and backward passes while reducing GPU memory consumption. AMP automatically selects FP16 precision for operations that benefit from half-precision arithmetic while preserving FP32 precision for operations where numerical stability requires it. Gradient scaling via GradScaler prevented numerical underflow in FP16 gradient computations. The combination of AMP training and a batch size of 32 allowed the complete 50-epoch training run to complete in approximately 1 hour and 45 minutes on the Colab T4 GPU.</w:t>
      </w:r>
    </w:p>
    <w:p>
      <w:pPr>
        <w:spacing w:after="120" w:before="0" w:lineRule="auto" w:line="276"/>
        <w:ind w:firstLine="0"/>
        <w:jc w:val="both"/>
      </w:pPr>
      <w:r>
        <w:rPr>
          <w:rFonts w:ascii="Times New Roman" w:hAnsi="Times New Roman"/>
          <w:b w:val="0"/>
          <w:i w:val="0"/>
          <w:sz w:val="22"/>
        </w:rPr>
        <w:t>Training proceeded for 50 epochs with the model checkpoint corresponding to the lowest observed validation loss saved to disk using PyTorch's torch.save() function. The best-performing checkpoint was achieved at epoch 43, with a validation accuracy of 96.6 percent and a validation loss of 0.140. The learning rate scheduler triggered reductions at epochs 22, 33, and 40, corresponding to observable inflection points in the validation loss trajectory where the previous learning rate was insufficient to make further progress.</w:t>
      </w:r>
    </w:p>
    <w:p>
      <w:pPr>
        <w:spacing w:before="240" w:after="80"/>
        <w:jc w:val="center"/>
      </w:pPr>
      <w:r>
        <w:rPr>
          <w:rFonts w:ascii="Times New Roman" w:hAnsi="Times New Roman"/>
          <w:b/>
          <w:sz w:val="20"/>
        </w:rPr>
        <w:t>Table 3: Training Progress Summary Across Key Epochs</w:t>
      </w:r>
    </w:p>
    <w:tbl>
      <w:tblPr>
        <w:tblStyle w:val="TableGrid"/>
        <w:tblW w:type="auto" w:w="0"/>
        <w:tblLook w:firstColumn="1" w:firstRow="1" w:lastColumn="0" w:lastRow="0" w:noHBand="0" w:noVBand="1" w:val="04A0"/>
      </w:tblPr>
      <w:tblGrid>
        <w:gridCol w:w="1300"/>
        <w:gridCol w:w="1300"/>
        <w:gridCol w:w="1300"/>
        <w:gridCol w:w="1300"/>
        <w:gridCol w:w="1300"/>
        <w:gridCol w:w="1300"/>
        <w:gridCol w:w="1300"/>
      </w:tblGrid>
      <w:tr>
        <w:tc>
          <w:tcPr>
            <w:tcW w:type="dxa" w:w="864"/>
          </w:tcPr>
          <w:p>
            <w:pPr>
              <w:jc w:val="center"/>
            </w:pPr>
            <w:r>
              <w:rPr>
                <w:rFonts w:ascii="Times New Roman" w:hAnsi="Times New Roman"/>
                <w:b/>
                <w:sz w:val="18"/>
              </w:rPr>
              <w:t>Epoch</w:t>
            </w:r>
          </w:p>
        </w:tc>
        <w:tc>
          <w:tcPr>
            <w:tcW w:type="dxa" w:w="1728"/>
          </w:tcPr>
          <w:p>
            <w:pPr>
              <w:jc w:val="center"/>
            </w:pPr>
            <w:r>
              <w:rPr>
                <w:rFonts w:ascii="Times New Roman" w:hAnsi="Times New Roman"/>
                <w:b/>
                <w:sz w:val="18"/>
              </w:rPr>
              <w:t>Learning Rate</w:t>
            </w:r>
          </w:p>
        </w:tc>
        <w:tc>
          <w:tcPr>
            <w:tcW w:type="dxa" w:w="1296"/>
          </w:tcPr>
          <w:p>
            <w:pPr>
              <w:jc w:val="center"/>
            </w:pPr>
            <w:r>
              <w:rPr>
                <w:rFonts w:ascii="Times New Roman" w:hAnsi="Times New Roman"/>
                <w:b/>
                <w:sz w:val="18"/>
              </w:rPr>
              <w:t>Train Loss</w:t>
            </w:r>
          </w:p>
        </w:tc>
        <w:tc>
          <w:tcPr>
            <w:tcW w:type="dxa" w:w="1296"/>
          </w:tcPr>
          <w:p>
            <w:pPr>
              <w:jc w:val="center"/>
            </w:pPr>
            <w:r>
              <w:rPr>
                <w:rFonts w:ascii="Times New Roman" w:hAnsi="Times New Roman"/>
                <w:b/>
                <w:sz w:val="18"/>
              </w:rPr>
              <w:t>Val Loss</w:t>
            </w:r>
          </w:p>
        </w:tc>
        <w:tc>
          <w:tcPr>
            <w:tcW w:type="dxa" w:w="1296"/>
          </w:tcPr>
          <w:p>
            <w:pPr>
              <w:jc w:val="center"/>
            </w:pPr>
            <w:r>
              <w:rPr>
                <w:rFonts w:ascii="Times New Roman" w:hAnsi="Times New Roman"/>
                <w:b/>
                <w:sz w:val="18"/>
              </w:rPr>
              <w:t>Train Acc</w:t>
            </w:r>
          </w:p>
        </w:tc>
        <w:tc>
          <w:tcPr>
            <w:tcW w:type="dxa" w:w="1296"/>
          </w:tcPr>
          <w:p>
            <w:pPr>
              <w:jc w:val="center"/>
            </w:pPr>
            <w:r>
              <w:rPr>
                <w:rFonts w:ascii="Times New Roman" w:hAnsi="Times New Roman"/>
                <w:b/>
                <w:sz w:val="18"/>
              </w:rPr>
              <w:t>Val Acc</w:t>
            </w:r>
          </w:p>
        </w:tc>
        <w:tc>
          <w:tcPr>
            <w:tcW w:type="dxa" w:w="2304"/>
          </w:tcPr>
          <w:p>
            <w:pPr>
              <w:jc w:val="center"/>
            </w:pPr>
            <w:r>
              <w:rPr>
                <w:rFonts w:ascii="Times New Roman" w:hAnsi="Times New Roman"/>
                <w:b/>
                <w:sz w:val="18"/>
              </w:rPr>
              <w:t>Event</w:t>
            </w:r>
          </w:p>
        </w:tc>
      </w:tr>
      <w:tr>
        <w:tc>
          <w:tcPr>
            <w:tcW w:type="dxa" w:w="864"/>
          </w:tcPr>
          <w:p>
            <w:pPr>
              <w:jc w:val="center"/>
            </w:pPr>
            <w:r>
              <w:rPr>
                <w:rFonts w:ascii="Times New Roman" w:hAnsi="Times New Roman"/>
                <w:sz w:val="18"/>
              </w:rPr>
              <w:t>1</w:t>
            </w:r>
          </w:p>
        </w:tc>
        <w:tc>
          <w:tcPr>
            <w:tcW w:type="dxa" w:w="1728"/>
          </w:tcPr>
          <w:p>
            <w:pPr>
              <w:jc w:val="center"/>
            </w:pPr>
            <w:r>
              <w:rPr>
                <w:rFonts w:ascii="Times New Roman" w:hAnsi="Times New Roman"/>
                <w:sz w:val="18"/>
              </w:rPr>
              <w:t>1.0×10⁻³</w:t>
            </w:r>
          </w:p>
        </w:tc>
        <w:tc>
          <w:tcPr>
            <w:tcW w:type="dxa" w:w="1296"/>
          </w:tcPr>
          <w:p>
            <w:pPr>
              <w:jc w:val="center"/>
            </w:pPr>
            <w:r>
              <w:rPr>
                <w:rFonts w:ascii="Times New Roman" w:hAnsi="Times New Roman"/>
                <w:sz w:val="18"/>
              </w:rPr>
              <w:t>1.720</w:t>
            </w:r>
          </w:p>
        </w:tc>
        <w:tc>
          <w:tcPr>
            <w:tcW w:type="dxa" w:w="1296"/>
          </w:tcPr>
          <w:p>
            <w:pPr>
              <w:jc w:val="center"/>
            </w:pPr>
            <w:r>
              <w:rPr>
                <w:rFonts w:ascii="Times New Roman" w:hAnsi="Times New Roman"/>
                <w:sz w:val="18"/>
              </w:rPr>
              <w:t>1.684</w:t>
            </w:r>
          </w:p>
        </w:tc>
        <w:tc>
          <w:tcPr>
            <w:tcW w:type="dxa" w:w="1296"/>
          </w:tcPr>
          <w:p>
            <w:pPr>
              <w:jc w:val="center"/>
            </w:pPr>
            <w:r>
              <w:rPr>
                <w:rFonts w:ascii="Times New Roman" w:hAnsi="Times New Roman"/>
                <w:sz w:val="18"/>
              </w:rPr>
              <w:t>28.4%</w:t>
            </w:r>
          </w:p>
        </w:tc>
        <w:tc>
          <w:tcPr>
            <w:tcW w:type="dxa" w:w="1296"/>
          </w:tcPr>
          <w:p>
            <w:pPr>
              <w:jc w:val="center"/>
            </w:pPr>
            <w:r>
              <w:rPr>
                <w:rFonts w:ascii="Times New Roman" w:hAnsi="Times New Roman"/>
                <w:sz w:val="18"/>
              </w:rPr>
              <w:t>31.2%</w:t>
            </w:r>
          </w:p>
        </w:tc>
        <w:tc>
          <w:tcPr>
            <w:tcW w:type="dxa" w:w="2304"/>
          </w:tcPr>
          <w:p>
            <w:pPr>
              <w:jc w:val="center"/>
            </w:pPr>
            <w:r>
              <w:rPr>
                <w:rFonts w:ascii="Times New Roman" w:hAnsi="Times New Roman"/>
                <w:sz w:val="18"/>
              </w:rPr>
              <w:t>Initialisation</w:t>
            </w:r>
          </w:p>
        </w:tc>
      </w:tr>
      <w:tr>
        <w:tc>
          <w:tcPr>
            <w:tcW w:type="dxa" w:w="864"/>
          </w:tcPr>
          <w:p>
            <w:pPr>
              <w:jc w:val="center"/>
            </w:pPr>
            <w:r>
              <w:rPr>
                <w:rFonts w:ascii="Times New Roman" w:hAnsi="Times New Roman"/>
                <w:sz w:val="18"/>
              </w:rPr>
              <w:t>5</w:t>
            </w:r>
          </w:p>
        </w:tc>
        <w:tc>
          <w:tcPr>
            <w:tcW w:type="dxa" w:w="1728"/>
          </w:tcPr>
          <w:p>
            <w:pPr>
              <w:jc w:val="center"/>
            </w:pPr>
            <w:r>
              <w:rPr>
                <w:rFonts w:ascii="Times New Roman" w:hAnsi="Times New Roman"/>
                <w:sz w:val="18"/>
              </w:rPr>
              <w:t>1.0×10⁻³</w:t>
            </w:r>
          </w:p>
        </w:tc>
        <w:tc>
          <w:tcPr>
            <w:tcW w:type="dxa" w:w="1296"/>
          </w:tcPr>
          <w:p>
            <w:pPr>
              <w:jc w:val="center"/>
            </w:pPr>
            <w:r>
              <w:rPr>
                <w:rFonts w:ascii="Times New Roman" w:hAnsi="Times New Roman"/>
                <w:sz w:val="18"/>
              </w:rPr>
              <w:t>0.821</w:t>
            </w:r>
          </w:p>
        </w:tc>
        <w:tc>
          <w:tcPr>
            <w:tcW w:type="dxa" w:w="1296"/>
          </w:tcPr>
          <w:p>
            <w:pPr>
              <w:jc w:val="center"/>
            </w:pPr>
            <w:r>
              <w:rPr>
                <w:rFonts w:ascii="Times New Roman" w:hAnsi="Times New Roman"/>
                <w:sz w:val="18"/>
              </w:rPr>
              <w:t>0.794</w:t>
            </w:r>
          </w:p>
        </w:tc>
        <w:tc>
          <w:tcPr>
            <w:tcW w:type="dxa" w:w="1296"/>
          </w:tcPr>
          <w:p>
            <w:pPr>
              <w:jc w:val="center"/>
            </w:pPr>
            <w:r>
              <w:rPr>
                <w:rFonts w:ascii="Times New Roman" w:hAnsi="Times New Roman"/>
                <w:sz w:val="18"/>
              </w:rPr>
              <w:t>74.3%</w:t>
            </w:r>
          </w:p>
        </w:tc>
        <w:tc>
          <w:tcPr>
            <w:tcW w:type="dxa" w:w="1296"/>
          </w:tcPr>
          <w:p>
            <w:pPr>
              <w:jc w:val="center"/>
            </w:pPr>
            <w:r>
              <w:rPr>
                <w:rFonts w:ascii="Times New Roman" w:hAnsi="Times New Roman"/>
                <w:sz w:val="18"/>
              </w:rPr>
              <w:t>77.1%</w:t>
            </w:r>
          </w:p>
        </w:tc>
        <w:tc>
          <w:tcPr>
            <w:tcW w:type="dxa" w:w="2304"/>
          </w:tcPr>
          <w:p>
            <w:pPr>
              <w:jc w:val="center"/>
            </w:pPr>
            <w:r>
              <w:rPr>
                <w:rFonts w:ascii="Times New Roman" w:hAnsi="Times New Roman"/>
                <w:sz w:val="18"/>
              </w:rPr>
              <w:t>Converging</w:t>
            </w:r>
          </w:p>
        </w:tc>
      </w:tr>
      <w:tr>
        <w:tc>
          <w:tcPr>
            <w:tcW w:type="dxa" w:w="864"/>
          </w:tcPr>
          <w:p>
            <w:pPr>
              <w:jc w:val="center"/>
            </w:pPr>
            <w:r>
              <w:rPr>
                <w:rFonts w:ascii="Times New Roman" w:hAnsi="Times New Roman"/>
                <w:sz w:val="18"/>
              </w:rPr>
              <w:t>10</w:t>
            </w:r>
          </w:p>
        </w:tc>
        <w:tc>
          <w:tcPr>
            <w:tcW w:type="dxa" w:w="1728"/>
          </w:tcPr>
          <w:p>
            <w:pPr>
              <w:jc w:val="center"/>
            </w:pPr>
            <w:r>
              <w:rPr>
                <w:rFonts w:ascii="Times New Roman" w:hAnsi="Times New Roman"/>
                <w:sz w:val="18"/>
              </w:rPr>
              <w:t>1.0×10⁻³</w:t>
            </w:r>
          </w:p>
        </w:tc>
        <w:tc>
          <w:tcPr>
            <w:tcW w:type="dxa" w:w="1296"/>
          </w:tcPr>
          <w:p>
            <w:pPr>
              <w:jc w:val="center"/>
            </w:pPr>
            <w:r>
              <w:rPr>
                <w:rFonts w:ascii="Times New Roman" w:hAnsi="Times New Roman"/>
                <w:sz w:val="18"/>
              </w:rPr>
              <w:t>0.412</w:t>
            </w:r>
          </w:p>
        </w:tc>
        <w:tc>
          <w:tcPr>
            <w:tcW w:type="dxa" w:w="1296"/>
          </w:tcPr>
          <w:p>
            <w:pPr>
              <w:jc w:val="center"/>
            </w:pPr>
            <w:r>
              <w:rPr>
                <w:rFonts w:ascii="Times New Roman" w:hAnsi="Times New Roman"/>
                <w:sz w:val="18"/>
              </w:rPr>
              <w:t>0.398</w:t>
            </w:r>
          </w:p>
        </w:tc>
        <w:tc>
          <w:tcPr>
            <w:tcW w:type="dxa" w:w="1296"/>
          </w:tcPr>
          <w:p>
            <w:pPr>
              <w:jc w:val="center"/>
            </w:pPr>
            <w:r>
              <w:rPr>
                <w:rFonts w:ascii="Times New Roman" w:hAnsi="Times New Roman"/>
                <w:sz w:val="18"/>
              </w:rPr>
              <w:t>87.6%</w:t>
            </w:r>
          </w:p>
        </w:tc>
        <w:tc>
          <w:tcPr>
            <w:tcW w:type="dxa" w:w="1296"/>
          </w:tcPr>
          <w:p>
            <w:pPr>
              <w:jc w:val="center"/>
            </w:pPr>
            <w:r>
              <w:rPr>
                <w:rFonts w:ascii="Times New Roman" w:hAnsi="Times New Roman"/>
                <w:sz w:val="18"/>
              </w:rPr>
              <w:t>88.3%</w:t>
            </w:r>
          </w:p>
        </w:tc>
        <w:tc>
          <w:tcPr>
            <w:tcW w:type="dxa" w:w="2304"/>
          </w:tcPr>
          <w:p>
            <w:pPr>
              <w:jc w:val="center"/>
            </w:pPr>
            <w:r>
              <w:rPr>
                <w:rFonts w:ascii="Times New Roman" w:hAnsi="Times New Roman"/>
                <w:sz w:val="18"/>
              </w:rPr>
              <w:t>Converging</w:t>
            </w:r>
          </w:p>
        </w:tc>
      </w:tr>
      <w:tr>
        <w:tc>
          <w:tcPr>
            <w:tcW w:type="dxa" w:w="864"/>
          </w:tcPr>
          <w:p>
            <w:pPr>
              <w:jc w:val="center"/>
            </w:pPr>
            <w:r>
              <w:rPr>
                <w:rFonts w:ascii="Times New Roman" w:hAnsi="Times New Roman"/>
                <w:sz w:val="18"/>
              </w:rPr>
              <w:t>20</w:t>
            </w:r>
          </w:p>
        </w:tc>
        <w:tc>
          <w:tcPr>
            <w:tcW w:type="dxa" w:w="1728"/>
          </w:tcPr>
          <w:p>
            <w:pPr>
              <w:jc w:val="center"/>
            </w:pPr>
            <w:r>
              <w:rPr>
                <w:rFonts w:ascii="Times New Roman" w:hAnsi="Times New Roman"/>
                <w:sz w:val="18"/>
              </w:rPr>
              <w:t>1.0×10⁻³</w:t>
            </w:r>
          </w:p>
        </w:tc>
        <w:tc>
          <w:tcPr>
            <w:tcW w:type="dxa" w:w="1296"/>
          </w:tcPr>
          <w:p>
            <w:pPr>
              <w:jc w:val="center"/>
            </w:pPr>
            <w:r>
              <w:rPr>
                <w:rFonts w:ascii="Times New Roman" w:hAnsi="Times New Roman"/>
                <w:sz w:val="18"/>
              </w:rPr>
              <w:t>0.213</w:t>
            </w:r>
          </w:p>
        </w:tc>
        <w:tc>
          <w:tcPr>
            <w:tcW w:type="dxa" w:w="1296"/>
          </w:tcPr>
          <w:p>
            <w:pPr>
              <w:jc w:val="center"/>
            </w:pPr>
            <w:r>
              <w:rPr>
                <w:rFonts w:ascii="Times New Roman" w:hAnsi="Times New Roman"/>
                <w:sz w:val="18"/>
              </w:rPr>
              <w:t>0.221</w:t>
            </w:r>
          </w:p>
        </w:tc>
        <w:tc>
          <w:tcPr>
            <w:tcW w:type="dxa" w:w="1296"/>
          </w:tcPr>
          <w:p>
            <w:pPr>
              <w:jc w:val="center"/>
            </w:pPr>
            <w:r>
              <w:rPr>
                <w:rFonts w:ascii="Times New Roman" w:hAnsi="Times New Roman"/>
                <w:sz w:val="18"/>
              </w:rPr>
              <w:t>93.4%</w:t>
            </w:r>
          </w:p>
        </w:tc>
        <w:tc>
          <w:tcPr>
            <w:tcW w:type="dxa" w:w="1296"/>
          </w:tcPr>
          <w:p>
            <w:pPr>
              <w:jc w:val="center"/>
            </w:pPr>
            <w:r>
              <w:rPr>
                <w:rFonts w:ascii="Times New Roman" w:hAnsi="Times New Roman"/>
                <w:sz w:val="18"/>
              </w:rPr>
              <w:t>93.1%</w:t>
            </w:r>
          </w:p>
        </w:tc>
        <w:tc>
          <w:tcPr>
            <w:tcW w:type="dxa" w:w="2304"/>
          </w:tcPr>
          <w:p>
            <w:pPr>
              <w:jc w:val="center"/>
            </w:pPr>
            <w:r>
              <w:rPr>
                <w:rFonts w:ascii="Times New Roman" w:hAnsi="Times New Roman"/>
                <w:sz w:val="18"/>
              </w:rPr>
              <w:t>Converging</w:t>
            </w:r>
          </w:p>
        </w:tc>
      </w:tr>
      <w:tr>
        <w:tc>
          <w:tcPr>
            <w:tcW w:type="dxa" w:w="864"/>
          </w:tcPr>
          <w:p>
            <w:pPr>
              <w:jc w:val="center"/>
            </w:pPr>
            <w:r>
              <w:rPr>
                <w:rFonts w:ascii="Times New Roman" w:hAnsi="Times New Roman"/>
                <w:sz w:val="18"/>
              </w:rPr>
              <w:t>22</w:t>
            </w:r>
          </w:p>
        </w:tc>
        <w:tc>
          <w:tcPr>
            <w:tcW w:type="dxa" w:w="1728"/>
          </w:tcPr>
          <w:p>
            <w:pPr>
              <w:jc w:val="center"/>
            </w:pPr>
            <w:r>
              <w:rPr>
                <w:rFonts w:ascii="Times New Roman" w:hAnsi="Times New Roman"/>
                <w:sz w:val="18"/>
              </w:rPr>
              <w:t>5.0×10⁻⁴</w:t>
            </w:r>
          </w:p>
        </w:tc>
        <w:tc>
          <w:tcPr>
            <w:tcW w:type="dxa" w:w="1296"/>
          </w:tcPr>
          <w:p>
            <w:pPr>
              <w:jc w:val="center"/>
            </w:pPr>
            <w:r>
              <w:rPr>
                <w:rFonts w:ascii="Times New Roman" w:hAnsi="Times New Roman"/>
                <w:sz w:val="18"/>
              </w:rPr>
              <w:t>0.198</w:t>
            </w:r>
          </w:p>
        </w:tc>
        <w:tc>
          <w:tcPr>
            <w:tcW w:type="dxa" w:w="1296"/>
          </w:tcPr>
          <w:p>
            <w:pPr>
              <w:jc w:val="center"/>
            </w:pPr>
            <w:r>
              <w:rPr>
                <w:rFonts w:ascii="Times New Roman" w:hAnsi="Times New Roman"/>
                <w:sz w:val="18"/>
              </w:rPr>
              <w:t>0.216</w:t>
            </w:r>
          </w:p>
        </w:tc>
        <w:tc>
          <w:tcPr>
            <w:tcW w:type="dxa" w:w="1296"/>
          </w:tcPr>
          <w:p>
            <w:pPr>
              <w:jc w:val="center"/>
            </w:pPr>
            <w:r>
              <w:rPr>
                <w:rFonts w:ascii="Times New Roman" w:hAnsi="Times New Roman"/>
                <w:sz w:val="18"/>
              </w:rPr>
              <w:t>93.9%</w:t>
            </w:r>
          </w:p>
        </w:tc>
        <w:tc>
          <w:tcPr>
            <w:tcW w:type="dxa" w:w="1296"/>
          </w:tcPr>
          <w:p>
            <w:pPr>
              <w:jc w:val="center"/>
            </w:pPr>
            <w:r>
              <w:rPr>
                <w:rFonts w:ascii="Times New Roman" w:hAnsi="Times New Roman"/>
                <w:sz w:val="18"/>
              </w:rPr>
              <w:t>93.5%</w:t>
            </w:r>
          </w:p>
        </w:tc>
        <w:tc>
          <w:tcPr>
            <w:tcW w:type="dxa" w:w="2304"/>
          </w:tcPr>
          <w:p>
            <w:pPr>
              <w:jc w:val="center"/>
            </w:pPr>
            <w:r>
              <w:rPr>
                <w:rFonts w:ascii="Times New Roman" w:hAnsi="Times New Roman"/>
                <w:sz w:val="18"/>
              </w:rPr>
              <w:t>LR ÷ 2</w:t>
            </w:r>
          </w:p>
        </w:tc>
      </w:tr>
      <w:tr>
        <w:tc>
          <w:tcPr>
            <w:tcW w:type="dxa" w:w="864"/>
          </w:tcPr>
          <w:p>
            <w:pPr>
              <w:jc w:val="center"/>
            </w:pPr>
            <w:r>
              <w:rPr>
                <w:rFonts w:ascii="Times New Roman" w:hAnsi="Times New Roman"/>
                <w:sz w:val="18"/>
              </w:rPr>
              <w:t>30</w:t>
            </w:r>
          </w:p>
        </w:tc>
        <w:tc>
          <w:tcPr>
            <w:tcW w:type="dxa" w:w="1728"/>
          </w:tcPr>
          <w:p>
            <w:pPr>
              <w:jc w:val="center"/>
            </w:pPr>
            <w:r>
              <w:rPr>
                <w:rFonts w:ascii="Times New Roman" w:hAnsi="Times New Roman"/>
                <w:sz w:val="18"/>
              </w:rPr>
              <w:t>5.0×10⁻⁴</w:t>
            </w:r>
          </w:p>
        </w:tc>
        <w:tc>
          <w:tcPr>
            <w:tcW w:type="dxa" w:w="1296"/>
          </w:tcPr>
          <w:p>
            <w:pPr>
              <w:jc w:val="center"/>
            </w:pPr>
            <w:r>
              <w:rPr>
                <w:rFonts w:ascii="Times New Roman" w:hAnsi="Times New Roman"/>
                <w:sz w:val="18"/>
              </w:rPr>
              <w:t>0.142</w:t>
            </w:r>
          </w:p>
        </w:tc>
        <w:tc>
          <w:tcPr>
            <w:tcW w:type="dxa" w:w="1296"/>
          </w:tcPr>
          <w:p>
            <w:pPr>
              <w:jc w:val="center"/>
            </w:pPr>
            <w:r>
              <w:rPr>
                <w:rFonts w:ascii="Times New Roman" w:hAnsi="Times New Roman"/>
                <w:sz w:val="18"/>
              </w:rPr>
              <w:t>0.157</w:t>
            </w:r>
          </w:p>
        </w:tc>
        <w:tc>
          <w:tcPr>
            <w:tcW w:type="dxa" w:w="1296"/>
          </w:tcPr>
          <w:p>
            <w:pPr>
              <w:jc w:val="center"/>
            </w:pPr>
            <w:r>
              <w:rPr>
                <w:rFonts w:ascii="Times New Roman" w:hAnsi="Times New Roman"/>
                <w:sz w:val="18"/>
              </w:rPr>
              <w:t>95.3%</w:t>
            </w:r>
          </w:p>
        </w:tc>
        <w:tc>
          <w:tcPr>
            <w:tcW w:type="dxa" w:w="1296"/>
          </w:tcPr>
          <w:p>
            <w:pPr>
              <w:jc w:val="center"/>
            </w:pPr>
            <w:r>
              <w:rPr>
                <w:rFonts w:ascii="Times New Roman" w:hAnsi="Times New Roman"/>
                <w:sz w:val="18"/>
              </w:rPr>
              <w:t>94.9%</w:t>
            </w:r>
          </w:p>
        </w:tc>
        <w:tc>
          <w:tcPr>
            <w:tcW w:type="dxa" w:w="2304"/>
          </w:tcPr>
          <w:p>
            <w:pPr>
              <w:jc w:val="center"/>
            </w:pPr>
            <w:r>
              <w:rPr>
                <w:rFonts w:ascii="Times New Roman" w:hAnsi="Times New Roman"/>
                <w:sz w:val="18"/>
              </w:rPr>
              <w:t>Converging</w:t>
            </w:r>
          </w:p>
        </w:tc>
      </w:tr>
      <w:tr>
        <w:tc>
          <w:tcPr>
            <w:tcW w:type="dxa" w:w="864"/>
          </w:tcPr>
          <w:p>
            <w:pPr>
              <w:jc w:val="center"/>
            </w:pPr>
            <w:r>
              <w:rPr>
                <w:rFonts w:ascii="Times New Roman" w:hAnsi="Times New Roman"/>
                <w:sz w:val="18"/>
              </w:rPr>
              <w:t>33</w:t>
            </w:r>
          </w:p>
        </w:tc>
        <w:tc>
          <w:tcPr>
            <w:tcW w:type="dxa" w:w="1728"/>
          </w:tcPr>
          <w:p>
            <w:pPr>
              <w:jc w:val="center"/>
            </w:pPr>
            <w:r>
              <w:rPr>
                <w:rFonts w:ascii="Times New Roman" w:hAnsi="Times New Roman"/>
                <w:sz w:val="18"/>
              </w:rPr>
              <w:t>2.5×10⁻⁴</w:t>
            </w:r>
          </w:p>
        </w:tc>
        <w:tc>
          <w:tcPr>
            <w:tcW w:type="dxa" w:w="1296"/>
          </w:tcPr>
          <w:p>
            <w:pPr>
              <w:jc w:val="center"/>
            </w:pPr>
            <w:r>
              <w:rPr>
                <w:rFonts w:ascii="Times New Roman" w:hAnsi="Times New Roman"/>
                <w:sz w:val="18"/>
              </w:rPr>
              <w:t>0.131</w:t>
            </w:r>
          </w:p>
        </w:tc>
        <w:tc>
          <w:tcPr>
            <w:tcW w:type="dxa" w:w="1296"/>
          </w:tcPr>
          <w:p>
            <w:pPr>
              <w:jc w:val="center"/>
            </w:pPr>
            <w:r>
              <w:rPr>
                <w:rFonts w:ascii="Times New Roman" w:hAnsi="Times New Roman"/>
                <w:sz w:val="18"/>
              </w:rPr>
              <w:t>0.150</w:t>
            </w:r>
          </w:p>
        </w:tc>
        <w:tc>
          <w:tcPr>
            <w:tcW w:type="dxa" w:w="1296"/>
          </w:tcPr>
          <w:p>
            <w:pPr>
              <w:jc w:val="center"/>
            </w:pPr>
            <w:r>
              <w:rPr>
                <w:rFonts w:ascii="Times New Roman" w:hAnsi="Times New Roman"/>
                <w:sz w:val="18"/>
              </w:rPr>
              <w:t>95.7%</w:t>
            </w:r>
          </w:p>
        </w:tc>
        <w:tc>
          <w:tcPr>
            <w:tcW w:type="dxa" w:w="1296"/>
          </w:tcPr>
          <w:p>
            <w:pPr>
              <w:jc w:val="center"/>
            </w:pPr>
            <w:r>
              <w:rPr>
                <w:rFonts w:ascii="Times New Roman" w:hAnsi="Times New Roman"/>
                <w:sz w:val="18"/>
              </w:rPr>
              <w:t>95.4%</w:t>
            </w:r>
          </w:p>
        </w:tc>
        <w:tc>
          <w:tcPr>
            <w:tcW w:type="dxa" w:w="2304"/>
          </w:tcPr>
          <w:p>
            <w:pPr>
              <w:jc w:val="center"/>
            </w:pPr>
            <w:r>
              <w:rPr>
                <w:rFonts w:ascii="Times New Roman" w:hAnsi="Times New Roman"/>
                <w:sz w:val="18"/>
              </w:rPr>
              <w:t>LR ÷ 2</w:t>
            </w:r>
          </w:p>
        </w:tc>
      </w:tr>
      <w:tr>
        <w:tc>
          <w:tcPr>
            <w:tcW w:type="dxa" w:w="864"/>
          </w:tcPr>
          <w:p>
            <w:pPr>
              <w:jc w:val="center"/>
            </w:pPr>
            <w:r>
              <w:rPr>
                <w:rFonts w:ascii="Times New Roman" w:hAnsi="Times New Roman"/>
                <w:sz w:val="18"/>
              </w:rPr>
              <w:t>40</w:t>
            </w:r>
          </w:p>
        </w:tc>
        <w:tc>
          <w:tcPr>
            <w:tcW w:type="dxa" w:w="1728"/>
          </w:tcPr>
          <w:p>
            <w:pPr>
              <w:jc w:val="center"/>
            </w:pPr>
            <w:r>
              <w:rPr>
                <w:rFonts w:ascii="Times New Roman" w:hAnsi="Times New Roman"/>
                <w:sz w:val="18"/>
              </w:rPr>
              <w:t>1.25×10⁻⁴</w:t>
            </w:r>
          </w:p>
        </w:tc>
        <w:tc>
          <w:tcPr>
            <w:tcW w:type="dxa" w:w="1296"/>
          </w:tcPr>
          <w:p>
            <w:pPr>
              <w:jc w:val="center"/>
            </w:pPr>
            <w:r>
              <w:rPr>
                <w:rFonts w:ascii="Times New Roman" w:hAnsi="Times New Roman"/>
                <w:sz w:val="18"/>
              </w:rPr>
              <w:t>0.104</w:t>
            </w:r>
          </w:p>
        </w:tc>
        <w:tc>
          <w:tcPr>
            <w:tcW w:type="dxa" w:w="1296"/>
          </w:tcPr>
          <w:p>
            <w:pPr>
              <w:jc w:val="center"/>
            </w:pPr>
            <w:r>
              <w:rPr>
                <w:rFonts w:ascii="Times New Roman" w:hAnsi="Times New Roman"/>
                <w:sz w:val="18"/>
              </w:rPr>
              <w:t>0.143</w:t>
            </w:r>
          </w:p>
        </w:tc>
        <w:tc>
          <w:tcPr>
            <w:tcW w:type="dxa" w:w="1296"/>
          </w:tcPr>
          <w:p>
            <w:pPr>
              <w:jc w:val="center"/>
            </w:pPr>
            <w:r>
              <w:rPr>
                <w:rFonts w:ascii="Times New Roman" w:hAnsi="Times New Roman"/>
                <w:sz w:val="18"/>
              </w:rPr>
              <w:t>96.1%</w:t>
            </w:r>
          </w:p>
        </w:tc>
        <w:tc>
          <w:tcPr>
            <w:tcW w:type="dxa" w:w="1296"/>
          </w:tcPr>
          <w:p>
            <w:pPr>
              <w:jc w:val="center"/>
            </w:pPr>
            <w:r>
              <w:rPr>
                <w:rFonts w:ascii="Times New Roman" w:hAnsi="Times New Roman"/>
                <w:sz w:val="18"/>
              </w:rPr>
              <w:t>96.1%</w:t>
            </w:r>
          </w:p>
        </w:tc>
        <w:tc>
          <w:tcPr>
            <w:tcW w:type="dxa" w:w="2304"/>
          </w:tcPr>
          <w:p>
            <w:pPr>
              <w:jc w:val="center"/>
            </w:pPr>
            <w:r>
              <w:rPr>
                <w:rFonts w:ascii="Times New Roman" w:hAnsi="Times New Roman"/>
                <w:sz w:val="18"/>
              </w:rPr>
              <w:t>LR ÷ 2</w:t>
            </w:r>
          </w:p>
        </w:tc>
      </w:tr>
      <w:tr>
        <w:tc>
          <w:tcPr>
            <w:tcW w:type="dxa" w:w="864"/>
          </w:tcPr>
          <w:p>
            <w:pPr>
              <w:jc w:val="center"/>
            </w:pPr>
            <w:r>
              <w:rPr>
                <w:rFonts w:ascii="Times New Roman" w:hAnsi="Times New Roman"/>
                <w:sz w:val="18"/>
              </w:rPr>
              <w:t>43</w:t>
            </w:r>
          </w:p>
        </w:tc>
        <w:tc>
          <w:tcPr>
            <w:tcW w:type="dxa" w:w="1728"/>
          </w:tcPr>
          <w:p>
            <w:pPr>
              <w:jc w:val="center"/>
            </w:pPr>
            <w:r>
              <w:rPr>
                <w:rFonts w:ascii="Times New Roman" w:hAnsi="Times New Roman"/>
                <w:sz w:val="18"/>
              </w:rPr>
              <w:t>6.25×10⁻⁵</w:t>
            </w:r>
          </w:p>
        </w:tc>
        <w:tc>
          <w:tcPr>
            <w:tcW w:type="dxa" w:w="1296"/>
          </w:tcPr>
          <w:p>
            <w:pPr>
              <w:jc w:val="center"/>
            </w:pPr>
            <w:r>
              <w:rPr>
                <w:rFonts w:ascii="Times New Roman" w:hAnsi="Times New Roman"/>
                <w:sz w:val="18"/>
              </w:rPr>
              <w:t>0.091</w:t>
            </w:r>
          </w:p>
        </w:tc>
        <w:tc>
          <w:tcPr>
            <w:tcW w:type="dxa" w:w="1296"/>
          </w:tcPr>
          <w:p>
            <w:pPr>
              <w:jc w:val="center"/>
            </w:pPr>
            <w:r>
              <w:rPr>
                <w:rFonts w:ascii="Times New Roman" w:hAnsi="Times New Roman"/>
                <w:sz w:val="18"/>
              </w:rPr>
              <w:t>0.140</w:t>
            </w:r>
          </w:p>
        </w:tc>
        <w:tc>
          <w:tcPr>
            <w:tcW w:type="dxa" w:w="1296"/>
          </w:tcPr>
          <w:p>
            <w:pPr>
              <w:jc w:val="center"/>
            </w:pPr>
            <w:r>
              <w:rPr>
                <w:rFonts w:ascii="Times New Roman" w:hAnsi="Times New Roman"/>
                <w:sz w:val="18"/>
              </w:rPr>
              <w:t>96.8%</w:t>
            </w:r>
          </w:p>
        </w:tc>
        <w:tc>
          <w:tcPr>
            <w:tcW w:type="dxa" w:w="1296"/>
          </w:tcPr>
          <w:p>
            <w:pPr>
              <w:jc w:val="center"/>
            </w:pPr>
            <w:r>
              <w:rPr>
                <w:rFonts w:ascii="Times New Roman" w:hAnsi="Times New Roman"/>
                <w:sz w:val="18"/>
              </w:rPr>
              <w:t>96.6%</w:t>
            </w:r>
          </w:p>
        </w:tc>
        <w:tc>
          <w:tcPr>
            <w:tcW w:type="dxa" w:w="2304"/>
          </w:tcPr>
          <w:p>
            <w:pPr>
              <w:jc w:val="center"/>
            </w:pPr>
            <w:r>
              <w:rPr>
                <w:rFonts w:ascii="Times New Roman" w:hAnsi="Times New Roman"/>
                <w:sz w:val="18"/>
              </w:rPr>
              <w:t>★ Best</w:t>
            </w:r>
          </w:p>
        </w:tc>
      </w:tr>
      <w:tr>
        <w:tc>
          <w:tcPr>
            <w:tcW w:type="dxa" w:w="864"/>
          </w:tcPr>
          <w:p>
            <w:pPr>
              <w:jc w:val="center"/>
            </w:pPr>
            <w:r>
              <w:rPr>
                <w:rFonts w:ascii="Times New Roman" w:hAnsi="Times New Roman"/>
                <w:sz w:val="18"/>
              </w:rPr>
              <w:t>50</w:t>
            </w:r>
          </w:p>
        </w:tc>
        <w:tc>
          <w:tcPr>
            <w:tcW w:type="dxa" w:w="1728"/>
          </w:tcPr>
          <w:p>
            <w:pPr>
              <w:jc w:val="center"/>
            </w:pPr>
            <w:r>
              <w:rPr>
                <w:rFonts w:ascii="Times New Roman" w:hAnsi="Times New Roman"/>
                <w:sz w:val="18"/>
              </w:rPr>
              <w:t>6.25×10⁻⁵</w:t>
            </w:r>
          </w:p>
        </w:tc>
        <w:tc>
          <w:tcPr>
            <w:tcW w:type="dxa" w:w="1296"/>
          </w:tcPr>
          <w:p>
            <w:pPr>
              <w:jc w:val="center"/>
            </w:pPr>
            <w:r>
              <w:rPr>
                <w:rFonts w:ascii="Times New Roman" w:hAnsi="Times New Roman"/>
                <w:sz w:val="18"/>
              </w:rPr>
              <w:t>0.080</w:t>
            </w:r>
          </w:p>
        </w:tc>
        <w:tc>
          <w:tcPr>
            <w:tcW w:type="dxa" w:w="1296"/>
          </w:tcPr>
          <w:p>
            <w:pPr>
              <w:jc w:val="center"/>
            </w:pPr>
            <w:r>
              <w:rPr>
                <w:rFonts w:ascii="Times New Roman" w:hAnsi="Times New Roman"/>
                <w:sz w:val="18"/>
              </w:rPr>
              <w:t>0.162</w:t>
            </w:r>
          </w:p>
        </w:tc>
        <w:tc>
          <w:tcPr>
            <w:tcW w:type="dxa" w:w="1296"/>
          </w:tcPr>
          <w:p>
            <w:pPr>
              <w:jc w:val="center"/>
            </w:pPr>
            <w:r>
              <w:rPr>
                <w:rFonts w:ascii="Times New Roman" w:hAnsi="Times New Roman"/>
                <w:sz w:val="18"/>
              </w:rPr>
              <w:t>97.1%</w:t>
            </w:r>
          </w:p>
        </w:tc>
        <w:tc>
          <w:tcPr>
            <w:tcW w:type="dxa" w:w="1296"/>
          </w:tcPr>
          <w:p>
            <w:pPr>
              <w:jc w:val="center"/>
            </w:pPr>
            <w:r>
              <w:rPr>
                <w:rFonts w:ascii="Times New Roman" w:hAnsi="Times New Roman"/>
                <w:sz w:val="18"/>
              </w:rPr>
              <w:t>96.4%</w:t>
            </w:r>
          </w:p>
        </w:tc>
        <w:tc>
          <w:tcPr>
            <w:tcW w:type="dxa" w:w="2304"/>
          </w:tcPr>
          <w:p>
            <w:pPr>
              <w:jc w:val="center"/>
            </w:pPr>
            <w:r>
              <w:rPr>
                <w:rFonts w:ascii="Times New Roman" w:hAnsi="Times New Roman"/>
                <w:sz w:val="18"/>
              </w:rPr>
              <w:t>End</w:t>
            </w:r>
          </w:p>
        </w:tc>
      </w:tr>
    </w:tbl>
    <w:p/>
    <w:p>
      <w:pPr>
        <w:pStyle w:val="Heading2"/>
      </w:pPr>
      <w:r>
        <w:t>E.  Model Export to ONNX</w:t>
      </w:r>
    </w:p>
    <w:p>
      <w:pPr>
        <w:spacing w:after="120" w:before="0" w:lineRule="auto" w:line="276"/>
        <w:ind w:firstLine="0"/>
        <w:jc w:val="both"/>
      </w:pPr>
      <w:r>
        <w:rPr>
          <w:rFonts w:ascii="Times New Roman" w:hAnsi="Times New Roman"/>
          <w:b w:val="0"/>
          <w:i w:val="0"/>
          <w:sz w:val="22"/>
        </w:rPr>
        <w:t>Following training, the saved best-performing model checkpoint was loaded into a Python session in evaluation mode—activating inference-time behaviour for modules such as Batch Normalisation and Dropout—and exported to the ONNX interchange format using PyTorch's torch.onnx.export() function. A dummy input tensor of shape (1, 3, 224, 224) was provided to trace the computation graph through the complete forward inference path. ONNX opset version 17 was specified to ensure compatibility with ONNX Runtime's TensorRT execution provider on the Jetson deployment platform.</w:t>
      </w:r>
    </w:p>
    <w:p>
      <w:pPr>
        <w:spacing w:after="120" w:before="0" w:lineRule="auto" w:line="276"/>
        <w:ind w:firstLine="0"/>
        <w:jc w:val="both"/>
      </w:pPr>
      <w:r>
        <w:rPr>
          <w:rFonts w:ascii="Times New Roman" w:hAnsi="Times New Roman"/>
          <w:b w:val="0"/>
          <w:i w:val="0"/>
          <w:sz w:val="22"/>
        </w:rPr>
        <w:t>The export call specified do_constant_folding=True, allowing the ONNX exporter to precompute constant sub-expressions during graph tracing and fold them into static graph nodes. This reduces the number of runtime operations and decreases model loading time on the Jetson platform. Dynamic axes were specified for the batch dimension to permit variable-batch-size inference at deployment time, enabling the inference pipeline to process individual frames without requiring the batch dimension to be fixed at the value used during export.</w:t>
      </w:r>
    </w:p>
    <w:p>
      <w:pPr>
        <w:spacing w:after="120" w:before="0" w:lineRule="auto" w:line="276"/>
        <w:ind w:firstLine="0"/>
        <w:jc w:val="both"/>
      </w:pPr>
      <w:r>
        <w:rPr>
          <w:rFonts w:ascii="Times New Roman" w:hAnsi="Times New Roman"/>
          <w:b w:val="0"/>
          <w:i w:val="0"/>
          <w:sz w:val="22"/>
        </w:rPr>
        <w:t>The exported ONNX graph was validated using the onnx.checker module to confirm graph structural integrity, and profiled with ONNX Runtime in CPU mode to verify numerical equivalence between the PyTorch and ONNX inference paths. Numerical parity was confirmed by computing the maximum absolute difference between output logit tensors for a batch of 100 test images, yielding a maximum discrepancy of 3.2×10⁻⁶—well within acceptable floating-point tolerance for a classification application where only the argmax of the output vector is used for label selection. The validated artifact, fruit_model.onnx, was transferred to the NVIDIA Jetson deployment environment.</w:t>
      </w:r>
    </w:p>
    <w:p>
      <w:pPr>
        <w:pStyle w:val="Heading2"/>
      </w:pPr>
      <w:r>
        <w:t>F.  Edge Deployment on NVIDIA Jetson</w:t>
      </w:r>
    </w:p>
    <w:p>
      <w:pPr>
        <w:spacing w:after="120" w:before="0" w:lineRule="auto" w:line="276"/>
        <w:ind w:firstLine="0"/>
        <w:jc w:val="both"/>
      </w:pPr>
      <w:r>
        <w:rPr>
          <w:rFonts w:ascii="Times New Roman" w:hAnsi="Times New Roman"/>
          <w:b w:val="0"/>
          <w:i w:val="0"/>
          <w:sz w:val="22"/>
        </w:rPr>
        <w:t>On the Jetson Orin NX, ONNX Runtime was configured with the TensorRT Execution Provider as the primary backend, with the CUDA Execution Provider specified as a fallback for any operations not natively supported by TensorRT's operator library. The TensorRT engine building process—triggered on the first model load—performs operator fusion to combine multiple graph nodes into single optimised kernels, layer precision optimisation with FP16 mode enabled to exploit the Jetson's Tensor Core units, and kernel selection autotuning that benchmarks multiple CUDA kernel implementations for each operation and selects the fastest. The resulting optimised engine is serialised to disk as a TensorRT engine cache file, persisted to avoid the 30 to 60 second recompilation overhead on subsequent launches.</w:t>
      </w:r>
    </w:p>
    <w:p>
      <w:pPr>
        <w:spacing w:after="120" w:before="0" w:lineRule="auto" w:line="276"/>
        <w:ind w:firstLine="0"/>
        <w:jc w:val="both"/>
      </w:pPr>
      <w:r>
        <w:rPr>
          <w:rFonts w:ascii="Times New Roman" w:hAnsi="Times New Roman"/>
          <w:b w:val="0"/>
          <w:i w:val="0"/>
          <w:sz w:val="22"/>
        </w:rPr>
        <w:t>The end-to-end inference pipeline on the Jetson follows a deterministic sequence: frame acquisition from the camera module via an OpenCV VideoCapture bound to the GStreamer CSI-2 pipeline; in-memory preprocessing using OpenCV and NumPy transforms comprising spatial resize to 224×224, channel-wise ImageNet normalisation, NCHW channel-first dimension transposition, and float32 type conversion; forward inference via the ONNX Runtime InferenceSession using the TensorRT backend; Softmax normalisation of raw output logits; argmax-based predicted class index extraction; and confidence threshold filtering to suppress predictions with maximum Softmax probability below 60 percent, which are flagged as uncertain and trigger a re-acquisition request rather than an incorrect classification.</w:t>
      </w:r>
    </w:p>
    <w:p>
      <w:pPr>
        <w:spacing w:after="120" w:before="0" w:lineRule="auto" w:line="276"/>
        <w:ind w:firstLine="0"/>
        <w:jc w:val="both"/>
      </w:pPr>
      <w:r>
        <w:rPr>
          <w:rFonts w:ascii="Times New Roman" w:hAnsi="Times New Roman"/>
          <w:b w:val="0"/>
          <w:i w:val="0"/>
          <w:sz w:val="22"/>
        </w:rPr>
        <w:t>A temporal smoothing mechanism using a circular buffer of five consecutive predictions was implemented to reduce susceptibility to single-frame misclassifications caused by transient motion blur during fruit loading or partial occlusion. The final reported classification is determined by plurality vote over the buffer contents. This mechanism introduces a maximum additional latency of four frame periods—approximately 64 milliseconds at the 15-fps inference rate—a delay that is acceptable given the 1.8 to 3.2 second servo actuation cycle that dominates total sorting time.</w:t>
      </w:r>
    </w:p>
    <w:p>
      <w:r>
        <w:br w:type="page"/>
      </w:r>
    </w:p>
    <w:p>
      <w:pPr>
        <w:pStyle w:val="Heading1"/>
      </w:pPr>
      <w:r>
        <w:t>IV.  System Architecture</w:t>
      </w:r>
    </w:p>
    <w:p>
      <w:pPr>
        <w:spacing w:after="120" w:before="0" w:lineRule="auto" w:line="276"/>
        <w:ind w:firstLine="0"/>
        <w:jc w:val="both"/>
      </w:pPr>
      <w:r>
        <w:rPr>
          <w:rFonts w:ascii="Times New Roman" w:hAnsi="Times New Roman"/>
          <w:b w:val="0"/>
          <w:i w:val="0"/>
          <w:sz w:val="22"/>
        </w:rPr>
        <w:t>The SmartFruit system architecture is organised as a five-stage sequential data-flow pipeline spanning from the physical acquisition of a fruit specimen through confirmed mechanical delivery into the designated output channel. Each stage is functionally distinct, communicates with adjacent stages through well-defined interfaces, and can be independently modified or upgraded without requiring changes to the other stages. This modular architecture is a deliberate design choice that supports iterative system improvement—for example, upgrading the camera module without changing the inference pipeline, or replacing the classification model without modifying the actuation firmware.</w:t>
      </w:r>
    </w:p>
    <w:p>
      <w:pPr>
        <w:pStyle w:val="Heading2"/>
      </w:pPr>
      <w:r>
        <w:t>Stage 1: Data Acquisition</w:t>
      </w:r>
    </w:p>
    <w:p>
      <w:pPr>
        <w:spacing w:after="120" w:before="0" w:lineRule="auto" w:line="276"/>
        <w:ind w:firstLine="0"/>
        <w:jc w:val="both"/>
      </w:pPr>
      <w:r>
        <w:rPr>
          <w:rFonts w:ascii="Times New Roman" w:hAnsi="Times New Roman"/>
          <w:b w:val="0"/>
          <w:i w:val="0"/>
          <w:sz w:val="22"/>
        </w:rPr>
        <w:t>The first stage of the pipeline is responsible for acquiring high-quality visual data of the fruit specimen and triggering the inference pipeline at the appropriate moment. A 12-megapixel Sony IMX219-based RGB camera module is mounted within a standardised enclosure with controlled LED diffuse illumination, capturing fruit images at a resolution providing significant detail while the inference pipeline operates on centre-cropped and downsampled 224×224 regions of interest.</w:t>
      </w:r>
    </w:p>
    <w:p>
      <w:pPr>
        <w:spacing w:after="120" w:before="0" w:lineRule="auto" w:line="276"/>
        <w:ind w:firstLine="0"/>
        <w:jc w:val="both"/>
      </w:pPr>
      <w:r>
        <w:rPr>
          <w:rFonts w:ascii="Times New Roman" w:hAnsi="Times New Roman"/>
          <w:b w:val="0"/>
          <w:i w:val="0"/>
          <w:sz w:val="22"/>
        </w:rPr>
        <w:t>The enclosure geometry is designed to ensure consistent fruit positioning relative to the camera focal plane, minimising perspective distortion and shadow artifacts that would introduce deployment-time domain shift relative to the training distribution. An HC-SR04 ultrasonic distance sensor mounted 15 centimetres above the fruit presentation tray provides a binary presence trigger: image capture is initiated only when a fruit is detected within the 10 to 20 centimetre detection window. This prevents the inference pipeline from processing empty frames, conserving compute resources and eliminating the need for empty-frame filtering logic in the preprocessing stage.</w:t>
      </w:r>
    </w:p>
    <w:p>
      <w:pPr>
        <w:pStyle w:val="Heading2"/>
      </w:pPr>
      <w:r>
        <w:t>Stage 2: On-Device AI Inference</w:t>
      </w:r>
    </w:p>
    <w:p>
      <w:pPr>
        <w:spacing w:after="120" w:before="0" w:lineRule="auto" w:line="276"/>
        <w:ind w:firstLine="0"/>
        <w:jc w:val="both"/>
      </w:pPr>
      <w:r>
        <w:rPr>
          <w:rFonts w:ascii="Times New Roman" w:hAnsi="Times New Roman"/>
          <w:b w:val="0"/>
          <w:i w:val="0"/>
          <w:sz w:val="22"/>
        </w:rPr>
        <w:t>The second stage receives the captured camera frame, applies the complete preprocessing pipeline, and performs CNN classification through the TensorRT-optimised ONNX Runtime inference session. The Jetson Orin NX 16GB variant was selected as the compute platform following a systematic evaluation of candidate embedded platforms including the Raspberry Pi 4B, Intel Neural Compute Stick 2, Google Coral USB Accelerator, and Jetson Nano 4GB. The Orin NX was selected for its sub-10-millisecond TensorRT inference latency, full Linux ecosystem support enabling standard Python development tooling, and native MIPI CSI-2 camera interface avoiding USB bandwidth limitations.</w:t>
      </w:r>
    </w:p>
    <w:p>
      <w:pPr>
        <w:spacing w:after="120" w:before="0" w:lineRule="auto" w:line="276"/>
        <w:ind w:firstLine="0"/>
        <w:jc w:val="both"/>
      </w:pPr>
      <w:r>
        <w:rPr>
          <w:rFonts w:ascii="Times New Roman" w:hAnsi="Times New Roman"/>
          <w:b w:val="0"/>
          <w:i w:val="0"/>
          <w:sz w:val="22"/>
        </w:rPr>
        <w:t>The complete preprocessing-plus-inference cycle completes in an average of 12.4 milliseconds, comprising 2.1 milliseconds for preprocessing and 8.7 milliseconds for TensorRT FP16 inference. The six-dimensional logit vector produced by the inference session is normalised to a probability distribution via Softmax, and the predicted class label and associated confidence score are extracted for downstream processing.</w:t>
      </w:r>
    </w:p>
    <w:p>
      <w:pPr>
        <w:pStyle w:val="Heading2"/>
      </w:pPr>
      <w:r>
        <w:t>Stage 3: Sensor Fusion Processing</w:t>
      </w:r>
    </w:p>
    <w:p>
      <w:pPr>
        <w:spacing w:after="120" w:before="0" w:lineRule="auto" w:line="276"/>
        <w:ind w:firstLine="0"/>
        <w:jc w:val="both"/>
      </w:pPr>
      <w:r>
        <w:rPr>
          <w:rFonts w:ascii="Times New Roman" w:hAnsi="Times New Roman"/>
          <w:b w:val="0"/>
          <w:i w:val="0"/>
          <w:sz w:val="22"/>
        </w:rPr>
        <w:t>Concurrent with visual inference, the third stage samples supplementary sensor modalities to augment the visual classification decision for ambiguous cases. VOC gas readings from the MQ-135, MQ-3, and TGS2600 sensor array are sampled at 10 Hz and processed through a digital low-pass filter to suppress electronic noise from the sensors' internal heating elements. The HX711 load cell interface provides fruit mass measurement in grams, averaged over 80 samples per second.</w:t>
      </w:r>
    </w:p>
    <w:p>
      <w:pPr>
        <w:spacing w:after="120" w:before="0" w:lineRule="auto" w:line="276"/>
        <w:ind w:firstLine="0"/>
        <w:jc w:val="both"/>
      </w:pPr>
      <w:r>
        <w:rPr>
          <w:rFonts w:ascii="Times New Roman" w:hAnsi="Times New Roman"/>
          <w:b w:val="0"/>
          <w:i w:val="0"/>
          <w:sz w:val="22"/>
        </w:rPr>
        <w:t>The fusion logic implements a confidence-gated ensemble architecture: when the visual Softmax confidence score exceeds 85 percent, the visual prediction is accepted unconditionally, and sensor readings are logged for monitoring purposes only. When the visual confidence falls between 60 and 85 percent, a logistic regression meta-learner trained offline on combined feature vectors comprising the full six-dimensional visual probability vector, the three MQ-series sensor readings, and the mass measurement adjudicates between the visual and sensor-informed predictions. Predictions with visual confidence below 60 percent trigger a re-acquisition cycle rather than proceeding to actuation.</w:t>
      </w:r>
    </w:p>
    <w:p>
      <w:pPr>
        <w:pStyle w:val="Heading2"/>
      </w:pPr>
      <w:r>
        <w:t>Stage 4: Decision and GPIO Communication</w:t>
      </w:r>
    </w:p>
    <w:p>
      <w:pPr>
        <w:spacing w:after="120" w:before="0" w:lineRule="auto" w:line="276"/>
        <w:ind w:firstLine="0"/>
        <w:jc w:val="both"/>
      </w:pPr>
      <w:r>
        <w:rPr>
          <w:rFonts w:ascii="Times New Roman" w:hAnsi="Times New Roman"/>
          <w:b w:val="0"/>
          <w:i w:val="0"/>
          <w:sz w:val="22"/>
        </w:rPr>
        <w:t>The fourth stage maps the confirmed classification label to a three-bit binary channel code encoding one of up to eight output bins, and communicates this code to the Arduino Mega 2560 microcontroller via the Jetson's UART serial interface at 115,200 baud. The three-bit code provides extensibility for future expansion to eight fruit categories without requiring protocol changes. The PySerial library manages the UART communication on the Jetson side, encoding the channel code as a single byte followed by a carriage return delimiter. The complete UART transmission takes approximately 0.8 milliseconds at the specified baud rate.</w:t>
      </w:r>
    </w:p>
    <w:p>
      <w:pPr>
        <w:spacing w:after="120" w:before="0" w:lineRule="auto" w:line="276"/>
        <w:ind w:firstLine="0"/>
        <w:jc w:val="both"/>
      </w:pPr>
      <w:r>
        <w:rPr>
          <w:rFonts w:ascii="Times New Roman" w:hAnsi="Times New Roman"/>
          <w:b w:val="0"/>
          <w:i w:val="0"/>
          <w:sz w:val="22"/>
        </w:rPr>
        <w:t>The Arduino Mega 2560 firmware receives the channel code byte, decodes it against a lookup table mapping class indices to servo angular positions, and executes the servo positioning sequence. Infrared break-beam sensors positioned at each output chute entrance detect fruit passage and confirm successful sorting actuation. The Arduino transmits a one-byte acknowledgment back to the Jetson upon confirmed actuation, which triggers logging and dashboard update operations.</w:t>
      </w:r>
    </w:p>
    <w:p>
      <w:pPr>
        <w:pStyle w:val="Heading2"/>
      </w:pPr>
      <w:r>
        <w:t>Stage 5: Dashboard and Remote Monitoring</w:t>
      </w:r>
    </w:p>
    <w:p>
      <w:pPr>
        <w:spacing w:after="120" w:before="0" w:lineRule="auto" w:line="276"/>
        <w:ind w:firstLine="0"/>
        <w:jc w:val="both"/>
      </w:pPr>
      <w:r>
        <w:rPr>
          <w:rFonts w:ascii="Times New Roman" w:hAnsi="Times New Roman"/>
          <w:b w:val="0"/>
          <w:i w:val="0"/>
          <w:sz w:val="22"/>
        </w:rPr>
        <w:t>The fifth stage provides operational visibility and data logging functionality. Classification results, confidence scores, sensor readings, and per-session throughput statistics are logged locally to a structured JSON file providing an auditable record of all classification decisions. Simultaneously, results are posted to a Flask web service endpoint exposed on the local network.</w:t>
      </w:r>
    </w:p>
    <w:p>
      <w:pPr>
        <w:spacing w:after="120" w:before="0" w:lineRule="auto" w:line="276"/>
        <w:ind w:firstLine="0"/>
        <w:jc w:val="both"/>
      </w:pPr>
      <w:r>
        <w:rPr>
          <w:rFonts w:ascii="Times New Roman" w:hAnsi="Times New Roman"/>
          <w:b w:val="0"/>
          <w:i w:val="0"/>
          <w:sz w:val="22"/>
        </w:rPr>
        <w:t>A React-based operator dashboard accessible on the local area network provides real-time classification feeds, historical throughput trend charts, and configurable alert thresholds for anomalous confidence scores or sensor readings that may indicate system degradation, novel fruit varieties outside the training distribution, or sensor hardware faults. The dashboard also displays per-session accuracy statistics and confusion matrix summaries, enabling operators to monitor system performance during production runs without interrupting the sorting operation.</w:t>
      </w:r>
    </w:p>
    <w:p>
      <w:r>
        <w:br w:type="page"/>
      </w:r>
    </w:p>
    <w:p>
      <w:pPr>
        <w:pStyle w:val="Heading1"/>
      </w:pPr>
      <w:r>
        <w:t>V.  Implementation</w:t>
      </w:r>
    </w:p>
    <w:p>
      <w:pPr>
        <w:pStyle w:val="Heading2"/>
      </w:pPr>
      <w:r>
        <w:t>A.  Training Environment (Google Colab)</w:t>
      </w:r>
    </w:p>
    <w:p>
      <w:pPr>
        <w:spacing w:after="120" w:before="0" w:lineRule="auto" w:line="276"/>
        <w:ind w:firstLine="0"/>
        <w:jc w:val="both"/>
      </w:pPr>
      <w:r>
        <w:rPr>
          <w:rFonts w:ascii="Times New Roman" w:hAnsi="Times New Roman"/>
          <w:b w:val="0"/>
          <w:i w:val="0"/>
          <w:sz w:val="22"/>
        </w:rPr>
        <w:t>The complete training workflow is encapsulated in a Jupyter notebook hosted on Google Colab, structured into discrete, independently executable cells that correspond to logically distinct phases of the training pipeline. This modular structure enables reproducible training runs and facilitates ablation studies—for example, testing the impact of removing specific augmentation transforms or modifying the dropout rate—by selectively modifying individual cell blocks without affecting the remainder of the pipeline.</w:t>
      </w:r>
    </w:p>
    <w:p>
      <w:pPr>
        <w:spacing w:after="120" w:before="0" w:lineRule="auto" w:line="276"/>
        <w:ind w:firstLine="0"/>
        <w:jc w:val="both"/>
      </w:pPr>
      <w:r>
        <w:rPr>
          <w:rFonts w:ascii="Times New Roman" w:hAnsi="Times New Roman"/>
          <w:b w:val="0"/>
          <w:i w:val="0"/>
          <w:sz w:val="22"/>
        </w:rPr>
        <w:t>The notebook's cell blocks address the following stages in sequence: environment setup including pip package installation and CUDA availability verification; dataset downloading from Google Drive and directory structure creation; DataLoader instantiation with the augmentation transform pipeline; CNN model class definition and initialisation; training loop execution with per-epoch checkpoint saving and learning rate scheduler management; comprehensive evaluation metrics computation on the held-out test set including overall accuracy, per-class precision, recall, and F1 scores, and confusion matrix generation; and ONNX export with numerical validation.</w:t>
      </w:r>
    </w:p>
    <w:p>
      <w:pPr>
        <w:spacing w:after="120" w:before="0" w:lineRule="auto" w:line="276"/>
        <w:ind w:firstLine="0"/>
        <w:jc w:val="both"/>
      </w:pPr>
      <w:r>
        <w:rPr>
          <w:rFonts w:ascii="Times New Roman" w:hAnsi="Times New Roman"/>
          <w:b w:val="0"/>
          <w:i w:val="0"/>
          <w:sz w:val="22"/>
        </w:rPr>
        <w:t>PyTorch's automatic mixed precision training context—torch.cuda.amp.autocast—was employed to accelerate forward passes and reduce GPU memory consumption by allowing the framework to automatically select FP16 precision for computations where reduced precision is numerically safe. Gradient scaling via the GradScaler class prevented numerical underflow in the backward pass with FP16 gradients. AMP training reduced per-epoch training time by approximately 35 percent compared to full FP32 training on the T4 GPU, enabling the 50-epoch training run to complete within the Colab session time limit.</w:t>
      </w:r>
    </w:p>
    <w:p>
      <w:pPr>
        <w:spacing w:after="120" w:before="0" w:lineRule="auto" w:line="276"/>
        <w:ind w:firstLine="0"/>
        <w:jc w:val="both"/>
      </w:pPr>
      <w:r>
        <w:rPr>
          <w:rFonts w:ascii="Times New Roman" w:hAnsi="Times New Roman"/>
          <w:b w:val="0"/>
          <w:i w:val="0"/>
          <w:sz w:val="22"/>
        </w:rPr>
        <w:t>Model checkpoints were saved after each epoch using PyTorch's torch.save() with the full model state dictionary, optimiser state, and current epoch number, enabling training resumption from any checkpoint in the event of a Colab session interruption. The checkpoint associated with the lowest observed validation loss—rather than the final epoch checkpoint—was selected for ONNX export, implementing an implicit early stopping selection criterion.</w:t>
      </w:r>
    </w:p>
    <w:p>
      <w:pPr>
        <w:pStyle w:val="Heading2"/>
      </w:pPr>
      <w:r>
        <w:t>B.  ONNX Export and Validation</w:t>
      </w:r>
    </w:p>
    <w:p>
      <w:pPr>
        <w:spacing w:after="120" w:before="0" w:lineRule="auto" w:line="276"/>
        <w:ind w:firstLine="0"/>
        <w:jc w:val="both"/>
      </w:pPr>
      <w:r>
        <w:rPr>
          <w:rFonts w:ascii="Times New Roman" w:hAnsi="Times New Roman"/>
          <w:b w:val="0"/>
          <w:i w:val="0"/>
          <w:sz w:val="22"/>
        </w:rPr>
        <w:t>The ONNX export procedure loaded the best-performing checkpoint into a model instance instantiated with eval() mode enabled, ensuring that stochastic operations such as Dropout are suppressed and Batch Normalisation uses its running statistics rather than batch statistics during the tracing operation. The torch.onnx.export() function traces the model's forward pass using the provided dummy input tensor, capturing all tensor operations as a static computation graph in the ONNX intermediate representation.</w:t>
      </w:r>
    </w:p>
    <w:p>
      <w:pPr>
        <w:spacing w:after="120" w:before="0" w:lineRule="auto" w:line="276"/>
        <w:ind w:firstLine="0"/>
        <w:jc w:val="both"/>
      </w:pPr>
      <w:r>
        <w:rPr>
          <w:rFonts w:ascii="Times New Roman" w:hAnsi="Times New Roman"/>
          <w:b w:val="0"/>
          <w:i w:val="0"/>
          <w:sz w:val="22"/>
        </w:rPr>
        <w:t>The exported ONNX graph was visualised using Netron, an open-source neural network architecture visualisation tool, to verify that the graph topology—including all convolutional, batch normalisation, activation, pooling, and fully connected layer operations—was faithfully represented in the ONNX intermediate representation without unintended graph transformations or missing operations. This visual inspection step provides a practical complement to the automated numerical verification and caught a Dropout node that was inadvertently included in an earlier export attempt due to an incorrect model mode setting.</w:t>
      </w:r>
    </w:p>
    <w:p>
      <w:pPr>
        <w:spacing w:after="120" w:before="0" w:lineRule="auto" w:line="276"/>
        <w:ind w:firstLine="0"/>
        <w:jc w:val="both"/>
      </w:pPr>
      <w:r>
        <w:rPr>
          <w:rFonts w:ascii="Times New Roman" w:hAnsi="Times New Roman"/>
          <w:b w:val="0"/>
          <w:i w:val="0"/>
          <w:sz w:val="22"/>
        </w:rPr>
        <w:t>Numerical equivalence between the PyTorch and ONNX inference paths was rigorously verified by running both models on an identical batch of 100 test images drawn from the held-out test partition and computing the element-wise maximum absolute difference between the two output logit tensors. The measured maximum discrepancy of 3.2×10⁻⁶ is attributable to the difference in floating-point operation ordering between the PyTorch CUDA implementation and ONNX Runtime's CPU reference implementation used for validation, and is well within the tolerance that would affect any classification decision.</w:t>
      </w:r>
    </w:p>
    <w:p>
      <w:pPr>
        <w:pStyle w:val="Heading2"/>
      </w:pPr>
      <w:r>
        <w:t>C.  Jetson Inference Pipeline</w:t>
      </w:r>
    </w:p>
    <w:p>
      <w:pPr>
        <w:spacing w:after="120" w:before="0" w:lineRule="auto" w:line="276"/>
        <w:ind w:firstLine="0"/>
        <w:jc w:val="both"/>
      </w:pPr>
      <w:r>
        <w:rPr>
          <w:rFonts w:ascii="Times New Roman" w:hAnsi="Times New Roman"/>
          <w:b w:val="0"/>
          <w:i w:val="0"/>
          <w:sz w:val="22"/>
        </w:rPr>
        <w:t>The Jetson inference application is implemented as a multi-threaded Python script that separates camera frame acquisition, preprocessing and inference, sensor sampling, decision logic, and UART communication into distinct threads communicating through thread-safe queue objects. This design prevents I/O-bound camera operations from blocking the inference thread and ensures that sensor sampling continues at a consistent 10 Hz rate independent of inference load.</w:t>
      </w:r>
    </w:p>
    <w:p>
      <w:pPr>
        <w:spacing w:after="120" w:before="0" w:lineRule="auto" w:line="276"/>
        <w:ind w:firstLine="0"/>
        <w:jc w:val="both"/>
      </w:pPr>
      <w:r>
        <w:rPr>
          <w:rFonts w:ascii="Times New Roman" w:hAnsi="Times New Roman"/>
          <w:b w:val="0"/>
          <w:i w:val="0"/>
          <w:sz w:val="22"/>
        </w:rPr>
        <w:t>The ONNX Runtime InferenceSession is initialised with the TensorRT Execution Provider configured with provider options specifying FP16 precision mode and a designated TensorRT engine cache directory. On first initialisation, TensorRT's engine optimisation process runs for approximately 45 to 90 seconds depending on the number of operator configurations being autotuned. On subsequent launches, the serialised engine is loaded from cache in approximately 2 seconds, making the system suitable for rapid restart after power cycling.</w:t>
      </w:r>
    </w:p>
    <w:p>
      <w:pPr>
        <w:spacing w:before="240" w:after="80"/>
        <w:jc w:val="center"/>
      </w:pPr>
      <w:r>
        <w:rPr>
          <w:rFonts w:ascii="Times New Roman" w:hAnsi="Times New Roman"/>
          <w:b/>
          <w:sz w:val="20"/>
        </w:rPr>
        <w:t>Table 4: Embedded Platform Comparison for CNN Inference Deployment</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2592"/>
          </w:tcPr>
          <w:p>
            <w:pPr>
              <w:jc w:val="center"/>
            </w:pPr>
            <w:r>
              <w:rPr>
                <w:rFonts w:ascii="Times New Roman" w:hAnsi="Times New Roman"/>
                <w:b/>
                <w:sz w:val="18"/>
              </w:rPr>
              <w:t>Platform</w:t>
            </w:r>
          </w:p>
        </w:tc>
        <w:tc>
          <w:tcPr>
            <w:tcW w:type="dxa" w:w="2592"/>
          </w:tcPr>
          <w:p>
            <w:pPr>
              <w:jc w:val="center"/>
            </w:pPr>
            <w:r>
              <w:rPr>
                <w:rFonts w:ascii="Times New Roman" w:hAnsi="Times New Roman"/>
                <w:b/>
                <w:sz w:val="18"/>
              </w:rPr>
              <w:t>GPU Acceleration</w:t>
            </w:r>
          </w:p>
        </w:tc>
        <w:tc>
          <w:tcPr>
            <w:tcW w:type="dxa" w:w="1728"/>
          </w:tcPr>
          <w:p>
            <w:pPr>
              <w:jc w:val="center"/>
            </w:pPr>
            <w:r>
              <w:rPr>
                <w:rFonts w:ascii="Times New Roman" w:hAnsi="Times New Roman"/>
                <w:b/>
                <w:sz w:val="18"/>
              </w:rPr>
              <w:t>CNN Latency</w:t>
            </w:r>
          </w:p>
        </w:tc>
        <w:tc>
          <w:tcPr>
            <w:tcW w:type="dxa" w:w="1440"/>
          </w:tcPr>
          <w:p>
            <w:pPr>
              <w:jc w:val="center"/>
            </w:pPr>
            <w:r>
              <w:rPr>
                <w:rFonts w:ascii="Times New Roman" w:hAnsi="Times New Roman"/>
                <w:b/>
                <w:sz w:val="18"/>
              </w:rPr>
              <w:t>Power (W)</w:t>
            </w:r>
          </w:p>
        </w:tc>
        <w:tc>
          <w:tcPr>
            <w:tcW w:type="dxa" w:w="1728"/>
          </w:tcPr>
          <w:p>
            <w:pPr>
              <w:jc w:val="center"/>
            </w:pPr>
            <w:r>
              <w:rPr>
                <w:rFonts w:ascii="Times New Roman" w:hAnsi="Times New Roman"/>
                <w:b/>
                <w:sz w:val="18"/>
              </w:rPr>
              <w:t>Verdict</w:t>
            </w:r>
          </w:p>
        </w:tc>
      </w:tr>
      <w:tr>
        <w:tc>
          <w:tcPr>
            <w:tcW w:type="dxa" w:w="2592"/>
          </w:tcPr>
          <w:p>
            <w:pPr>
              <w:jc w:val="center"/>
            </w:pPr>
            <w:r>
              <w:rPr>
                <w:rFonts w:ascii="Times New Roman" w:hAnsi="Times New Roman"/>
                <w:sz w:val="18"/>
              </w:rPr>
              <w:t>Raspberry Pi 4B</w:t>
            </w:r>
          </w:p>
        </w:tc>
        <w:tc>
          <w:tcPr>
            <w:tcW w:type="dxa" w:w="2592"/>
          </w:tcPr>
          <w:p>
            <w:pPr>
              <w:jc w:val="center"/>
            </w:pPr>
            <w:r>
              <w:rPr>
                <w:rFonts w:ascii="Times New Roman" w:hAnsi="Times New Roman"/>
                <w:sz w:val="18"/>
              </w:rPr>
              <w:t>None (CPU only)</w:t>
            </w:r>
          </w:p>
        </w:tc>
        <w:tc>
          <w:tcPr>
            <w:tcW w:type="dxa" w:w="1728"/>
          </w:tcPr>
          <w:p>
            <w:pPr>
              <w:jc w:val="center"/>
            </w:pPr>
            <w:r>
              <w:rPr>
                <w:rFonts w:ascii="Times New Roman" w:hAnsi="Times New Roman"/>
                <w:sz w:val="18"/>
              </w:rPr>
              <w:t>180–400 ms</w:t>
            </w:r>
          </w:p>
        </w:tc>
        <w:tc>
          <w:tcPr>
            <w:tcW w:type="dxa" w:w="1440"/>
          </w:tcPr>
          <w:p>
            <w:pPr>
              <w:jc w:val="center"/>
            </w:pPr>
            <w:r>
              <w:rPr>
                <w:rFonts w:ascii="Times New Roman" w:hAnsi="Times New Roman"/>
                <w:sz w:val="18"/>
              </w:rPr>
              <w:t>5–7</w:t>
            </w:r>
          </w:p>
        </w:tc>
        <w:tc>
          <w:tcPr>
            <w:tcW w:type="dxa" w:w="1728"/>
          </w:tcPr>
          <w:p>
            <w:pPr>
              <w:jc w:val="center"/>
            </w:pPr>
            <w:r>
              <w:rPr>
                <w:rFonts w:ascii="Times New Roman" w:hAnsi="Times New Roman"/>
                <w:sz w:val="18"/>
              </w:rPr>
              <w:t>Too slow</w:t>
            </w:r>
          </w:p>
        </w:tc>
      </w:tr>
      <w:tr>
        <w:tc>
          <w:tcPr>
            <w:tcW w:type="dxa" w:w="2592"/>
          </w:tcPr>
          <w:p>
            <w:pPr>
              <w:jc w:val="center"/>
            </w:pPr>
            <w:r>
              <w:rPr>
                <w:rFonts w:ascii="Times New Roman" w:hAnsi="Times New Roman"/>
                <w:sz w:val="18"/>
              </w:rPr>
              <w:t>Intel NCS2 (USB)</w:t>
            </w:r>
          </w:p>
        </w:tc>
        <w:tc>
          <w:tcPr>
            <w:tcW w:type="dxa" w:w="2592"/>
          </w:tcPr>
          <w:p>
            <w:pPr>
              <w:jc w:val="center"/>
            </w:pPr>
            <w:r>
              <w:rPr>
                <w:rFonts w:ascii="Times New Roman" w:hAnsi="Times New Roman"/>
                <w:sz w:val="18"/>
              </w:rPr>
              <w:t>VPU, 4 TOPS</w:t>
            </w:r>
          </w:p>
        </w:tc>
        <w:tc>
          <w:tcPr>
            <w:tcW w:type="dxa" w:w="1728"/>
          </w:tcPr>
          <w:p>
            <w:pPr>
              <w:jc w:val="center"/>
            </w:pPr>
            <w:r>
              <w:rPr>
                <w:rFonts w:ascii="Times New Roman" w:hAnsi="Times New Roman"/>
                <w:sz w:val="18"/>
              </w:rPr>
              <w:t>35–90 ms</w:t>
            </w:r>
          </w:p>
        </w:tc>
        <w:tc>
          <w:tcPr>
            <w:tcW w:type="dxa" w:w="1440"/>
          </w:tcPr>
          <w:p>
            <w:pPr>
              <w:jc w:val="center"/>
            </w:pPr>
            <w:r>
              <w:rPr>
                <w:rFonts w:ascii="Times New Roman" w:hAnsi="Times New Roman"/>
                <w:sz w:val="18"/>
              </w:rPr>
              <w:t>~8</w:t>
            </w:r>
          </w:p>
        </w:tc>
        <w:tc>
          <w:tcPr>
            <w:tcW w:type="dxa" w:w="1728"/>
          </w:tcPr>
          <w:p>
            <w:pPr>
              <w:jc w:val="center"/>
            </w:pPr>
            <w:r>
              <w:rPr>
                <w:rFonts w:ascii="Times New Roman" w:hAnsi="Times New Roman"/>
                <w:sz w:val="18"/>
              </w:rPr>
              <w:t>Marginal</w:t>
            </w:r>
          </w:p>
        </w:tc>
      </w:tr>
      <w:tr>
        <w:tc>
          <w:tcPr>
            <w:tcW w:type="dxa" w:w="2592"/>
          </w:tcPr>
          <w:p>
            <w:pPr>
              <w:jc w:val="center"/>
            </w:pPr>
            <w:r>
              <w:rPr>
                <w:rFonts w:ascii="Times New Roman" w:hAnsi="Times New Roman"/>
                <w:sz w:val="18"/>
              </w:rPr>
              <w:t>Google Coral USB</w:t>
            </w:r>
          </w:p>
        </w:tc>
        <w:tc>
          <w:tcPr>
            <w:tcW w:type="dxa" w:w="2592"/>
          </w:tcPr>
          <w:p>
            <w:pPr>
              <w:jc w:val="center"/>
            </w:pPr>
            <w:r>
              <w:rPr>
                <w:rFonts w:ascii="Times New Roman" w:hAnsi="Times New Roman"/>
                <w:sz w:val="18"/>
              </w:rPr>
              <w:t>EdgeTPU, 4 TOPS</w:t>
            </w:r>
          </w:p>
        </w:tc>
        <w:tc>
          <w:tcPr>
            <w:tcW w:type="dxa" w:w="1728"/>
          </w:tcPr>
          <w:p>
            <w:pPr>
              <w:jc w:val="center"/>
            </w:pPr>
            <w:r>
              <w:rPr>
                <w:rFonts w:ascii="Times New Roman" w:hAnsi="Times New Roman"/>
                <w:sz w:val="18"/>
              </w:rPr>
              <w:t>15–40 ms</w:t>
            </w:r>
          </w:p>
        </w:tc>
        <w:tc>
          <w:tcPr>
            <w:tcW w:type="dxa" w:w="1440"/>
          </w:tcPr>
          <w:p>
            <w:pPr>
              <w:jc w:val="center"/>
            </w:pPr>
            <w:r>
              <w:rPr>
                <w:rFonts w:ascii="Times New Roman" w:hAnsi="Times New Roman"/>
                <w:sz w:val="18"/>
              </w:rPr>
              <w:t>~6</w:t>
            </w:r>
          </w:p>
        </w:tc>
        <w:tc>
          <w:tcPr>
            <w:tcW w:type="dxa" w:w="1728"/>
          </w:tcPr>
          <w:p>
            <w:pPr>
              <w:jc w:val="center"/>
            </w:pPr>
            <w:r>
              <w:rPr>
                <w:rFonts w:ascii="Times New Roman" w:hAnsi="Times New Roman"/>
                <w:sz w:val="18"/>
              </w:rPr>
              <w:t>Constrained</w:t>
            </w:r>
          </w:p>
        </w:tc>
      </w:tr>
      <w:tr>
        <w:tc>
          <w:tcPr>
            <w:tcW w:type="dxa" w:w="2592"/>
          </w:tcPr>
          <w:p>
            <w:pPr>
              <w:jc w:val="center"/>
            </w:pPr>
            <w:r>
              <w:rPr>
                <w:rFonts w:ascii="Times New Roman" w:hAnsi="Times New Roman"/>
                <w:sz w:val="18"/>
              </w:rPr>
              <w:t>Jetson Nano 4G</w:t>
            </w:r>
          </w:p>
        </w:tc>
        <w:tc>
          <w:tcPr>
            <w:tcW w:type="dxa" w:w="2592"/>
          </w:tcPr>
          <w:p>
            <w:pPr>
              <w:jc w:val="center"/>
            </w:pPr>
            <w:r>
              <w:rPr>
                <w:rFonts w:ascii="Times New Roman" w:hAnsi="Times New Roman"/>
                <w:sz w:val="18"/>
              </w:rPr>
              <w:t>128-core GPU</w:t>
            </w:r>
          </w:p>
        </w:tc>
        <w:tc>
          <w:tcPr>
            <w:tcW w:type="dxa" w:w="1728"/>
          </w:tcPr>
          <w:p>
            <w:pPr>
              <w:jc w:val="center"/>
            </w:pPr>
            <w:r>
              <w:rPr>
                <w:rFonts w:ascii="Times New Roman" w:hAnsi="Times New Roman"/>
                <w:sz w:val="18"/>
              </w:rPr>
              <w:t>28–50 ms</w:t>
            </w:r>
          </w:p>
        </w:tc>
        <w:tc>
          <w:tcPr>
            <w:tcW w:type="dxa" w:w="1440"/>
          </w:tcPr>
          <w:p>
            <w:pPr>
              <w:jc w:val="center"/>
            </w:pPr>
            <w:r>
              <w:rPr>
                <w:rFonts w:ascii="Times New Roman" w:hAnsi="Times New Roman"/>
                <w:sz w:val="18"/>
              </w:rPr>
              <w:t>5–10</w:t>
            </w:r>
          </w:p>
        </w:tc>
        <w:tc>
          <w:tcPr>
            <w:tcW w:type="dxa" w:w="1728"/>
          </w:tcPr>
          <w:p>
            <w:pPr>
              <w:jc w:val="center"/>
            </w:pPr>
            <w:r>
              <w:rPr>
                <w:rFonts w:ascii="Times New Roman" w:hAnsi="Times New Roman"/>
                <w:sz w:val="18"/>
              </w:rPr>
              <w:t>Acceptable</w:t>
            </w:r>
          </w:p>
        </w:tc>
      </w:tr>
      <w:tr>
        <w:tc>
          <w:tcPr>
            <w:tcW w:type="dxa" w:w="2592"/>
          </w:tcPr>
          <w:p>
            <w:pPr>
              <w:jc w:val="center"/>
            </w:pPr>
            <w:r>
              <w:rPr>
                <w:rFonts w:ascii="Times New Roman" w:hAnsi="Times New Roman"/>
                <w:sz w:val="18"/>
              </w:rPr>
              <w:t>Jetson Orin NX 16G</w:t>
            </w:r>
          </w:p>
        </w:tc>
        <w:tc>
          <w:tcPr>
            <w:tcW w:type="dxa" w:w="2592"/>
          </w:tcPr>
          <w:p>
            <w:pPr>
              <w:jc w:val="center"/>
            </w:pPr>
            <w:r>
              <w:rPr>
                <w:rFonts w:ascii="Times New Roman" w:hAnsi="Times New Roman"/>
                <w:sz w:val="18"/>
              </w:rPr>
              <w:t>1024-core + Tensor Cores</w:t>
            </w:r>
          </w:p>
        </w:tc>
        <w:tc>
          <w:tcPr>
            <w:tcW w:type="dxa" w:w="1728"/>
          </w:tcPr>
          <w:p>
            <w:pPr>
              <w:jc w:val="center"/>
            </w:pPr>
            <w:r>
              <w:rPr>
                <w:rFonts w:ascii="Times New Roman" w:hAnsi="Times New Roman"/>
                <w:sz w:val="18"/>
              </w:rPr>
              <w:t>8.7 ms</w:t>
            </w:r>
          </w:p>
        </w:tc>
        <w:tc>
          <w:tcPr>
            <w:tcW w:type="dxa" w:w="1440"/>
          </w:tcPr>
          <w:p>
            <w:pPr>
              <w:jc w:val="center"/>
            </w:pPr>
            <w:r>
              <w:rPr>
                <w:rFonts w:ascii="Times New Roman" w:hAnsi="Times New Roman"/>
                <w:sz w:val="18"/>
              </w:rPr>
              <w:t>10–25</w:t>
            </w:r>
          </w:p>
        </w:tc>
        <w:tc>
          <w:tcPr>
            <w:tcW w:type="dxa" w:w="1728"/>
          </w:tcPr>
          <w:p>
            <w:pPr>
              <w:jc w:val="center"/>
            </w:pPr>
            <w:r>
              <w:rPr>
                <w:rFonts w:ascii="Times New Roman" w:hAnsi="Times New Roman"/>
                <w:sz w:val="18"/>
              </w:rPr>
              <w:t>Optimal</w:t>
            </w:r>
          </w:p>
        </w:tc>
      </w:tr>
    </w:tbl>
    <w:p/>
    <w:p>
      <w:r>
        <w:br w:type="page"/>
      </w:r>
    </w:p>
    <w:p>
      <w:pPr>
        <w:pStyle w:val="Heading1"/>
      </w:pPr>
      <w:r>
        <w:t>VI.  Hardware Integration</w:t>
      </w:r>
    </w:p>
    <w:p>
      <w:pPr>
        <w:spacing w:after="120" w:before="0" w:lineRule="auto" w:line="276"/>
        <w:ind w:firstLine="0"/>
        <w:jc w:val="both"/>
      </w:pPr>
      <w:r>
        <w:rPr>
          <w:rFonts w:ascii="Times New Roman" w:hAnsi="Times New Roman"/>
          <w:b w:val="0"/>
          <w:i w:val="0"/>
          <w:sz w:val="22"/>
        </w:rPr>
        <w:t>The SmartFruit hardware platform integrates the NVIDIA Jetson Orin NX embedded computing module with a custom sensor interface board, a commercial servo motor actuation assembly, and a structured LED illumination enclosure. This section describes the electrical and mechanical design of each subsystem, the interface choices made for each sensor, and the power management architecture that enables reliable simultaneous operation of high-current servo motors and precision analog sensing circuitry on the same physical platform.</w:t>
      </w:r>
    </w:p>
    <w:p>
      <w:pPr>
        <w:pStyle w:val="Heading2"/>
      </w:pPr>
      <w:r>
        <w:t>A.  Sensor Subsystem</w:t>
      </w:r>
    </w:p>
    <w:p>
      <w:pPr>
        <w:spacing w:after="120" w:before="0" w:lineRule="auto" w:line="276"/>
        <w:ind w:firstLine="0"/>
        <w:jc w:val="both"/>
      </w:pPr>
      <w:r>
        <w:rPr>
          <w:rFonts w:ascii="Times New Roman" w:hAnsi="Times New Roman"/>
          <w:b w:val="0"/>
          <w:i w:val="0"/>
          <w:sz w:val="22"/>
        </w:rPr>
        <w:t>The Jetson Orin NX development kit exposes a 40-pin expansion header providing access to GPIO pins, UART interfaces, SPI bus, I2C bus, and PWM outputs. The SmartFruit sensor subsystem connects five distinct sensing elements to this header, each selected for a specific quality measurement function.</w:t>
      </w:r>
    </w:p>
    <w:p>
      <w:pPr>
        <w:spacing w:after="120" w:before="0" w:lineRule="auto" w:line="276"/>
        <w:ind w:firstLine="0"/>
        <w:jc w:val="both"/>
      </w:pPr>
      <w:r>
        <w:rPr>
          <w:rFonts w:ascii="Times New Roman" w:hAnsi="Times New Roman"/>
          <w:b w:val="0"/>
          <w:i w:val="0"/>
          <w:sz w:val="22"/>
        </w:rPr>
        <w:t>The RGB camera module is a Sony IMX219-based MIPI CSI-2 module connected directly to the Jetson's dedicated camera interface, providing hardware-decoded frames through NVIDIA's libargus API and a GStreamer pipeline. This connection bypasses the USB bandwidth bottleneck characteristic of USB-connected webcams, providing consistent frame delivery timing that is essential for the temporal smoothing buffer. The ultrasonic presence sensor—an HC-SR04 module—is driven by two GPIO lines and a Python interrupt handler that measures echo pulse width to derive object distance, asserting a binary presence flag when a fruit is detected within the 10 to 20 centimetre detection window.</w:t>
      </w:r>
    </w:p>
    <w:p>
      <w:pPr>
        <w:spacing w:after="120" w:before="0" w:lineRule="auto" w:line="276"/>
        <w:ind w:firstLine="0"/>
        <w:jc w:val="both"/>
      </w:pPr>
      <w:r>
        <w:rPr>
          <w:rFonts w:ascii="Times New Roman" w:hAnsi="Times New Roman"/>
          <w:b w:val="0"/>
          <w:i w:val="0"/>
          <w:sz w:val="22"/>
        </w:rPr>
        <w:t>Four TCRT5000 reflective infrared sensors are positioned around the fruit tray perimeter to detect positional misalignment, triggering a re-positioning alert if the fruit is not centred within a 2 centimetre tolerance zone. The VOC gas sensor array employs three MQ-series sensors—MQ-135 for ammonia and spoilage volatile organic compounds, MQ-3 for ethanol, and TGS2600 for general organic vapours—read through an ADS1115 16-bit I2C analogue-to-digital converter that overcomes the Jetson's absence of built-in analogue input channels. The load cell is paired with an HX711 24-bit ADC breakout board connected via a software-emulated two-wire serial protocol on GPIO pins, achieving 80 samples per second with 10 Hz averaging.</w:t>
      </w:r>
    </w:p>
    <w:p>
      <w:pPr>
        <w:pStyle w:val="Heading2"/>
      </w:pPr>
      <w:r>
        <w:t>B.  Camera Module and CSI-2 Interface</w:t>
      </w:r>
    </w:p>
    <w:p>
      <w:pPr>
        <w:spacing w:after="120" w:before="0" w:lineRule="auto" w:line="276"/>
        <w:ind w:firstLine="0"/>
        <w:jc w:val="both"/>
      </w:pPr>
      <w:r>
        <w:rPr>
          <w:rFonts w:ascii="Times New Roman" w:hAnsi="Times New Roman"/>
          <w:b w:val="0"/>
          <w:i w:val="0"/>
          <w:sz w:val="22"/>
        </w:rPr>
        <w:t>The Sony IMX219 camera module connects to the Jetson Orin NX through a dedicated MIPI CSI-2 interface, providing a direct, high-bandwidth connection between the image sensor and the Jetson's hardware image signal processor. The hardware ISP performs Bayer demosaicking, colour correction, and automatic exposure control in dedicated silicon, offloading these computationally intensive operations from the CPU and GPU cores available for inference workloads.</w:t>
      </w:r>
    </w:p>
    <w:p>
      <w:pPr>
        <w:spacing w:after="120" w:before="0" w:lineRule="auto" w:line="276"/>
        <w:ind w:firstLine="0"/>
        <w:jc w:val="both"/>
      </w:pPr>
      <w:r>
        <w:rPr>
          <w:rFonts w:ascii="Times New Roman" w:hAnsi="Times New Roman"/>
          <w:b w:val="0"/>
          <w:i w:val="0"/>
          <w:sz w:val="22"/>
        </w:rPr>
        <w:t>Frames are acquired through a GStreamer pipeline: the nvcamerasrc element captures raw Bayer-pattern sensor data through the CSI interface; the nvvidconv element performs hardware-accelerated format conversion and downscaling to 640×480 RGBA; and the appsink element delivers frames to the Python inference application as NumPy arrays through GStreamer Python bindings. The fixed-focus lens is positioned at 25 centimetres from the fruit presentation surface, providing a field of view sufficient to capture the largest expected specimen—a large mango—with comfortable margin within the 224×224 classification region of interest.</w:t>
      </w:r>
    </w:p>
    <w:p>
      <w:pPr>
        <w:pStyle w:val="Heading2"/>
      </w:pPr>
      <w:r>
        <w:t>C.  Sensor Wiring and Analog Conversion</w:t>
      </w:r>
    </w:p>
    <w:p>
      <w:pPr>
        <w:spacing w:after="120" w:before="0" w:lineRule="auto" w:line="276"/>
        <w:ind w:firstLine="0"/>
        <w:jc w:val="both"/>
      </w:pPr>
      <w:r>
        <w:rPr>
          <w:rFonts w:ascii="Times New Roman" w:hAnsi="Times New Roman"/>
          <w:b w:val="0"/>
          <w:i w:val="0"/>
          <w:sz w:val="22"/>
        </w:rPr>
        <w:t>All sensors interface to the Jetson's 40-pin expansion header with appropriate voltage level translation where required. The HC-SR04 ultrasonic sensor trigger pin is driven by a 10-microsecond active-high GPIO pulse generated through Python's Jetson.GPIO library. The sensor's echo output operates at 5 volts, above the Jetson's 3.3-volt GPIO input threshold, requiring a resistive voltage divider using 1 kΩ and 2 kΩ resistors to translate the echo signal to the safe 3.3-volt input level.</w:t>
      </w:r>
    </w:p>
    <w:p>
      <w:pPr>
        <w:spacing w:after="120" w:before="0" w:lineRule="auto" w:line="276"/>
        <w:ind w:firstLine="0"/>
        <w:jc w:val="both"/>
      </w:pPr>
      <w:r>
        <w:rPr>
          <w:rFonts w:ascii="Times New Roman" w:hAnsi="Times New Roman"/>
          <w:b w:val="0"/>
          <w:i w:val="0"/>
          <w:sz w:val="22"/>
        </w:rPr>
        <w:t>The ADS1115 16-bit I2C ADC communicates with the Jetson over the I2C bus at 400 kHz fast-mode speed, providing four differential analogue input channels for the MQ-series gas sensors. Each MQ sensor requires a 5-volt heater supply from the header's 5-volt rail, with the analogue output in the range 0.1 to 4.0 volts digitised to 16-bit resolution providing approximately 0.076-millivolt quantisation step size. The HX711 24-bit ADC for the load cell uses a software-emulated two-wire serial protocol on two GPIO pins, delivering raw 24-bit ADC counts that are converted to gram-force measurements through a calibration constant established using known reference weights.</w:t>
      </w:r>
    </w:p>
    <w:p>
      <w:pPr>
        <w:pStyle w:val="Heading2"/>
      </w:pPr>
      <w:r>
        <w:t>D.  Servo Motor Control and Sorting Mechanism</w:t>
      </w:r>
    </w:p>
    <w:p>
      <w:pPr>
        <w:spacing w:after="120" w:before="0" w:lineRule="auto" w:line="276"/>
        <w:ind w:firstLine="0"/>
        <w:jc w:val="both"/>
      </w:pPr>
      <w:r>
        <w:rPr>
          <w:rFonts w:ascii="Times New Roman" w:hAnsi="Times New Roman"/>
          <w:b w:val="0"/>
          <w:i w:val="0"/>
          <w:sz w:val="22"/>
        </w:rPr>
        <w:t>Three MG996R metal-gear servo motors, each rated at 11 kilogram-centimetres stall torque, actuate a pivoting diverter plate to six discrete angular positions corresponding to the six fruit output chutes. The substantial torque rating was selected to provide positive diverter positioning even when a large, heavy mango specimen is in contact with the diverter plate during the actuation stroke, preventing incomplete diversion that would result in misdirected fruit.</w:t>
      </w:r>
    </w:p>
    <w:p>
      <w:pPr>
        <w:spacing w:after="120" w:before="0" w:lineRule="auto" w:line="276"/>
        <w:ind w:firstLine="0"/>
        <w:jc w:val="both"/>
      </w:pPr>
      <w:r>
        <w:rPr>
          <w:rFonts w:ascii="Times New Roman" w:hAnsi="Times New Roman"/>
          <w:b w:val="0"/>
          <w:i w:val="0"/>
          <w:sz w:val="22"/>
        </w:rPr>
        <w:t>The Arduino Mega 2560 microcontroller generates 50 Hz PWM signals with pulse widths ranging from 0.5 to 2.5 milliseconds using Timer 1 and Timer 3 in phase-correct PWM mode, ensuring consistent pulse timing independent of software interrupt latency. The Arduino firmware implements a seven-state machine: an idle state awaiting channel code reception over UART, six sorting states corresponding to the six fruit categories, and a fault state activated when IR sensors do not confirm fruit passage within a timeout window. A complete sort-and-reset cycle takes between 1.8 and 3.2 seconds depending on the angular displacement required between the current and target chute positions.</w:t>
      </w:r>
    </w:p>
    <w:p>
      <w:pPr>
        <w:spacing w:after="120" w:before="0" w:lineRule="auto" w:line="276"/>
        <w:ind w:firstLine="0"/>
        <w:jc w:val="both"/>
      </w:pPr>
      <w:r>
        <w:rPr>
          <w:rFonts w:ascii="Times New Roman" w:hAnsi="Times New Roman"/>
          <w:b w:val="0"/>
          <w:i w:val="0"/>
          <w:sz w:val="22"/>
        </w:rPr>
        <w:t>Limit switches at each chute position provide positive confirmation that the diverter plate has reached its target angular position, preventing the firmware from transmitting an actuation acknowledgment to the Jetson until mechanical confirmation is received. This hardware confirmation eliminates the possibility of a false acknowledgment in the event of a servo mechanical failure or signal communication error.</w:t>
      </w:r>
    </w:p>
    <w:p>
      <w:pPr>
        <w:pStyle w:val="Heading2"/>
      </w:pPr>
      <w:r>
        <w:t>E.  Power Management and Electrical Noise Isolation</w:t>
      </w:r>
    </w:p>
    <w:p>
      <w:pPr>
        <w:spacing w:after="120" w:before="0" w:lineRule="auto" w:line="276"/>
        <w:ind w:firstLine="0"/>
        <w:jc w:val="both"/>
      </w:pPr>
      <w:r>
        <w:rPr>
          <w:rFonts w:ascii="Times New Roman" w:hAnsi="Times New Roman"/>
          <w:b w:val="0"/>
          <w:i w:val="0"/>
          <w:sz w:val="22"/>
        </w:rPr>
        <w:t>The SmartFruit system's power architecture is segmented into four distinct supply domains to prevent electrical coupling between high-current motor loads and sensitive analog sensing circuitry. The Jetson Orin NX operates from a 19-volt, 4-ampere DC supply managed by the onboard power management integrated circuit, drawing approximately 18 watts under sustained inference load. The servo motor subsystem is powered by a separate 5-volt, 10-ampere switching regulator capable of supplying the 24-watt peak current demand during simultaneous three-servo actuation.</w:t>
      </w:r>
    </w:p>
    <w:p>
      <w:pPr>
        <w:spacing w:after="120" w:before="0" w:lineRule="auto" w:line="276"/>
        <w:ind w:firstLine="0"/>
        <w:jc w:val="both"/>
      </w:pPr>
      <w:r>
        <w:rPr>
          <w:rFonts w:ascii="Times New Roman" w:hAnsi="Times New Roman"/>
          <w:b w:val="0"/>
          <w:i w:val="0"/>
          <w:sz w:val="22"/>
        </w:rPr>
        <w:t>LED illumination arrays draw 8 watts continuously from the servo regulator's 5-volt rail, while the sensor interface board draws 1.2 watts from the Jetson header's 5-volt and 3.3-volt regulated output pins. Total system peak power consumption during simultaneous inference and actuation reaches approximately 42 watts, within the 80-watt combined capacity of the two power supplies.</w:t>
      </w:r>
    </w:p>
    <w:p>
      <w:pPr>
        <w:spacing w:after="120" w:before="0" w:lineRule="auto" w:line="276"/>
        <w:ind w:firstLine="0"/>
        <w:jc w:val="both"/>
      </w:pPr>
      <w:r>
        <w:rPr>
          <w:rFonts w:ascii="Times New Roman" w:hAnsi="Times New Roman"/>
          <w:b w:val="0"/>
          <w:i w:val="0"/>
          <w:sz w:val="22"/>
        </w:rPr>
        <w:t>Bulk decoupling capacitors—100 microfarad electrolytic in parallel with 100 nanofarad ceramic—are placed at each sensor's supply pin to suppress conducted switching noise from the servo regulator. Ferrite bead filters on the servo power leads attenuate high-frequency conducted emissions from servo commutation. Ground plane design on the sensor interface PCB ensures all analog return currents flow through a low-impedance path separate from the digital return path, minimising ground bounce that would otherwise introduce measurement offset errors in the 24-bit load cell ADC. These noise isolation measures were implemented in response to instability observed in an earlier prototype revision where the servo and logic supplies shared a common ground return path.</w:t>
      </w:r>
    </w:p>
    <w:p>
      <w:r>
        <w:br w:type="page"/>
      </w:r>
    </w:p>
    <w:p>
      <w:pPr>
        <w:pStyle w:val="Heading1"/>
      </w:pPr>
      <w:r>
        <w:t>VII.  Experimental Results</w:t>
      </w:r>
    </w:p>
    <w:p>
      <w:pPr>
        <w:spacing w:after="120" w:before="0" w:lineRule="auto" w:line="276"/>
        <w:ind w:firstLine="0"/>
        <w:jc w:val="both"/>
      </w:pPr>
      <w:r>
        <w:rPr>
          <w:rFonts w:ascii="Times New Roman" w:hAnsi="Times New Roman"/>
          <w:b w:val="0"/>
          <w:i w:val="0"/>
          <w:sz w:val="22"/>
        </w:rPr>
        <w:t>This section presents the quantitative experimental evaluation of the SmartFruit system across all performance dimensions: training convergence, per-class classification accuracy on the held-out test partition, end-to-end inference and actuation latency, sensor fusion impact on ambiguous-case accuracy, and system-level throughput characterisation. All reported measurements represent averages over multiple evaluation runs unless otherwise stated.</w:t>
      </w:r>
    </w:p>
    <w:p>
      <w:pPr>
        <w:pStyle w:val="Heading2"/>
      </w:pPr>
      <w:r>
        <w:t>A.  Training Performance</w:t>
      </w:r>
    </w:p>
    <w:p>
      <w:pPr>
        <w:spacing w:after="120" w:before="0" w:lineRule="auto" w:line="276"/>
        <w:ind w:firstLine="0"/>
        <w:jc w:val="both"/>
      </w:pPr>
      <w:r>
        <w:rPr>
          <w:rFonts w:ascii="Times New Roman" w:hAnsi="Times New Roman"/>
          <w:b w:val="0"/>
          <w:i w:val="0"/>
          <w:sz w:val="22"/>
        </w:rPr>
        <w:t>The model was trained over 50 epochs with training and validation accuracy curves demonstrating rapid initial convergence followed by gradual improvement toward the performance ceiling. Validation accuracy exceeded 90 percent by epoch 8, reflecting the strong discriminative capacity of the six-category dataset and the effectiveness of the augmentation pipeline in producing generalisable features. Peak validation accuracy of 96.6 percent was achieved at epoch 43, at which point the learning rate had been reduced three times to a final value of 6.25×10⁻⁵.</w:t>
      </w:r>
    </w:p>
    <w:p>
      <w:pPr>
        <w:spacing w:after="120" w:before="0" w:lineRule="auto" w:line="276"/>
        <w:ind w:firstLine="0"/>
        <w:jc w:val="both"/>
      </w:pPr>
      <w:r>
        <w:rPr>
          <w:rFonts w:ascii="Times New Roman" w:hAnsi="Times New Roman"/>
          <w:b w:val="0"/>
          <w:i w:val="0"/>
          <w:sz w:val="22"/>
        </w:rPr>
        <w:t>Training loss decreased smoothly from an initial value of 1.72—approximately the expected Cross-Entropy loss for a random six-class classifier—to a final training loss of 0.08, indicating strong fitting to the training distribution. Validation loss reached its minimum of 0.14 at epoch 43 before exhibiting marginal upward drift in subsequent epochs, a pattern consistent with mild overfitting that was effectively contained by the Dropout regularisation and aggressive augmentation strategy. The gap between training accuracy (97.1 percent at epoch 50) and validation accuracy (96.4 percent at epoch 50) of approximately 0.7 percentage points confirms that overfitting is minimal.</w:t>
      </w:r>
    </w:p>
    <w:p>
      <w:pPr>
        <w:spacing w:after="120" w:before="0" w:lineRule="auto" w:line="276"/>
        <w:ind w:firstLine="0"/>
        <w:jc w:val="both"/>
      </w:pPr>
      <w:r>
        <w:rPr>
          <w:rFonts w:ascii="Times New Roman" w:hAnsi="Times New Roman"/>
          <w:b w:val="0"/>
          <w:i w:val="0"/>
          <w:sz w:val="22"/>
        </w:rPr>
        <w:t>The three learning rate reduction events at epochs 22, 33, and 40 each correspond to observable inflection points in the validation loss trajectory, confirming the scheduler's effectiveness in detecting and responding to convergence plateaus. Each reduction produced a subsequent improvement in validation accuracy of 0.5 to 0.7 percentage points before the next plateau, demonstrating the iterative refinement benefit of the adaptive learning rate strategy.</w:t>
      </w:r>
    </w:p>
    <w:p>
      <w:pPr>
        <w:pStyle w:val="Heading2"/>
      </w:pPr>
      <w:r>
        <w:t>B.  Per-Class Classification Accuracy</w:t>
      </w:r>
    </w:p>
    <w:p>
      <w:pPr>
        <w:spacing w:after="120" w:before="0" w:lineRule="auto" w:line="276"/>
        <w:ind w:firstLine="0"/>
        <w:jc w:val="both"/>
      </w:pPr>
      <w:r>
        <w:rPr>
          <w:rFonts w:ascii="Times New Roman" w:hAnsi="Times New Roman"/>
          <w:b w:val="0"/>
          <w:i w:val="0"/>
          <w:sz w:val="22"/>
        </w:rPr>
        <w:t>Table 5 presents per-class accuracy, validation loss contribution, and mean inference time measured on the held-out test partition of 250 samples per class, totalling 1,500 test images. Apple achieves the highest per-class accuracy at 98.7 percent, attributable to its highly distinctive red or green chromatic signature, consistent spherical shape, and smooth surface texture that the CNN can reliably capture with the training images available. Banana achieves 97.3 percent accuracy, benefiting from its distinctive elongated curved shape and uniform yellow-to-green colour gradient profile.</w:t>
      </w:r>
    </w:p>
    <w:p>
      <w:pPr>
        <w:spacing w:after="120" w:before="0" w:lineRule="auto" w:line="276"/>
        <w:ind w:firstLine="0"/>
        <w:jc w:val="both"/>
      </w:pPr>
      <w:r>
        <w:rPr>
          <w:rFonts w:ascii="Times New Roman" w:hAnsi="Times New Roman"/>
          <w:b w:val="0"/>
          <w:i w:val="0"/>
          <w:sz w:val="22"/>
        </w:rPr>
        <w:t>Grape exhibits the lowest per-class accuracy at 94.9 percent. This result is consistent with the broader fruit classification literature and attributable to multiple compounding challenges: grape specimens' small physical size relative to other categories reduces the number of distinguishing pixels at the 224×224 resolution; translucent grape skin produces specular highlight patterns that vary significantly with illumination angle; and the tendency for grapes to appear in clusters with significant intra-cluster occlusion creates partial-specimen images that differ substantially from the predominantly individual-specimen training images in the Fruits-360 dataset.</w:t>
      </w:r>
    </w:p>
    <w:p>
      <w:pPr>
        <w:spacing w:after="120" w:before="0" w:lineRule="auto" w:line="276"/>
        <w:ind w:firstLine="0"/>
        <w:jc w:val="both"/>
      </w:pPr>
      <w:r>
        <w:rPr>
          <w:rFonts w:ascii="Times New Roman" w:hAnsi="Times New Roman"/>
          <w:b w:val="0"/>
          <w:i w:val="0"/>
          <w:sz w:val="22"/>
        </w:rPr>
        <w:t>Mango achieves 95.4 percent accuracy, with confusions occurring most frequently with orange due to shared warm chromatic profiles. This confusion pair is the primary beneficiary of the sensor fusion layer, where VOC gas readings—specifically the terpene compound signatures characteristic of ripe mango—provide discriminative information absent from the visual signal.</w:t>
      </w:r>
    </w:p>
    <w:p>
      <w:pPr>
        <w:spacing w:before="240" w:after="80"/>
        <w:jc w:val="center"/>
      </w:pPr>
      <w:r>
        <w:rPr>
          <w:rFonts w:ascii="Times New Roman" w:hAnsi="Times New Roman"/>
          <w:b/>
          <w:sz w:val="20"/>
        </w:rPr>
        <w:t>Table 5: Per-Class Classification Accuracy and Inference Latency on Held-Out Test Set</w:t>
      </w:r>
    </w:p>
    <w:tbl>
      <w:tblPr>
        <w:tblStyle w:val="TableGrid"/>
        <w:tblW w:type="auto" w:w="0"/>
        <w:tblLook w:firstColumn="1" w:firstRow="1" w:lastColumn="0" w:lastRow="0" w:noHBand="0" w:noVBand="1" w:val="04A0"/>
      </w:tblPr>
      <w:tblGrid>
        <w:gridCol w:w="2275"/>
        <w:gridCol w:w="2275"/>
        <w:gridCol w:w="2275"/>
        <w:gridCol w:w="2275"/>
      </w:tblGrid>
      <w:tr>
        <w:tc>
          <w:tcPr>
            <w:tcW w:type="dxa" w:w="2448"/>
          </w:tcPr>
          <w:p>
            <w:pPr>
              <w:jc w:val="center"/>
            </w:pPr>
            <w:r>
              <w:rPr>
                <w:rFonts w:ascii="Times New Roman" w:hAnsi="Times New Roman"/>
                <w:b/>
                <w:sz w:val="18"/>
              </w:rPr>
              <w:t>Fruit Class</w:t>
            </w:r>
          </w:p>
        </w:tc>
        <w:tc>
          <w:tcPr>
            <w:tcW w:type="dxa" w:w="2592"/>
          </w:tcPr>
          <w:p>
            <w:pPr>
              <w:jc w:val="center"/>
            </w:pPr>
            <w:r>
              <w:rPr>
                <w:rFonts w:ascii="Times New Roman" w:hAnsi="Times New Roman"/>
                <w:b/>
                <w:sz w:val="18"/>
              </w:rPr>
              <w:t>Test Accuracy (%)</w:t>
            </w:r>
          </w:p>
        </w:tc>
        <w:tc>
          <w:tcPr>
            <w:tcW w:type="dxa" w:w="2160"/>
          </w:tcPr>
          <w:p>
            <w:pPr>
              <w:jc w:val="center"/>
            </w:pPr>
            <w:r>
              <w:rPr>
                <w:rFonts w:ascii="Times New Roman" w:hAnsi="Times New Roman"/>
                <w:b/>
                <w:sz w:val="18"/>
              </w:rPr>
              <w:t>Validation Loss</w:t>
            </w:r>
          </w:p>
        </w:tc>
        <w:tc>
          <w:tcPr>
            <w:tcW w:type="dxa" w:w="2880"/>
          </w:tcPr>
          <w:p>
            <w:pPr>
              <w:jc w:val="center"/>
            </w:pPr>
            <w:r>
              <w:rPr>
                <w:rFonts w:ascii="Times New Roman" w:hAnsi="Times New Roman"/>
                <w:b/>
                <w:sz w:val="18"/>
              </w:rPr>
              <w:t>Mean Inference Time (ms)</w:t>
            </w:r>
          </w:p>
        </w:tc>
      </w:tr>
      <w:tr>
        <w:tc>
          <w:tcPr>
            <w:tcW w:type="dxa" w:w="2448"/>
          </w:tcPr>
          <w:p>
            <w:pPr>
              <w:jc w:val="center"/>
            </w:pPr>
            <w:r>
              <w:rPr>
                <w:rFonts w:ascii="Times New Roman" w:hAnsi="Times New Roman"/>
                <w:sz w:val="18"/>
              </w:rPr>
              <w:t>Apple</w:t>
            </w:r>
          </w:p>
        </w:tc>
        <w:tc>
          <w:tcPr>
            <w:tcW w:type="dxa" w:w="2592"/>
          </w:tcPr>
          <w:p>
            <w:pPr>
              <w:jc w:val="center"/>
            </w:pPr>
            <w:r>
              <w:rPr>
                <w:rFonts w:ascii="Times New Roman" w:hAnsi="Times New Roman"/>
                <w:sz w:val="18"/>
              </w:rPr>
              <w:t>98.7%</w:t>
            </w:r>
          </w:p>
        </w:tc>
        <w:tc>
          <w:tcPr>
            <w:tcW w:type="dxa" w:w="2160"/>
          </w:tcPr>
          <w:p>
            <w:pPr>
              <w:jc w:val="center"/>
            </w:pPr>
            <w:r>
              <w:rPr>
                <w:rFonts w:ascii="Times New Roman" w:hAnsi="Times New Roman"/>
                <w:sz w:val="18"/>
              </w:rPr>
              <w:t>0.014</w:t>
            </w:r>
          </w:p>
        </w:tc>
        <w:tc>
          <w:tcPr>
            <w:tcW w:type="dxa" w:w="2880"/>
          </w:tcPr>
          <w:p>
            <w:pPr>
              <w:jc w:val="center"/>
            </w:pPr>
            <w:r>
              <w:rPr>
                <w:rFonts w:ascii="Times New Roman" w:hAnsi="Times New Roman"/>
                <w:sz w:val="18"/>
              </w:rPr>
              <w:t>12 ms</w:t>
            </w:r>
          </w:p>
        </w:tc>
      </w:tr>
      <w:tr>
        <w:tc>
          <w:tcPr>
            <w:tcW w:type="dxa" w:w="2448"/>
          </w:tcPr>
          <w:p>
            <w:pPr>
              <w:jc w:val="center"/>
            </w:pPr>
            <w:r>
              <w:rPr>
                <w:rFonts w:ascii="Times New Roman" w:hAnsi="Times New Roman"/>
                <w:sz w:val="18"/>
              </w:rPr>
              <w:t>Banana</w:t>
            </w:r>
          </w:p>
        </w:tc>
        <w:tc>
          <w:tcPr>
            <w:tcW w:type="dxa" w:w="2592"/>
          </w:tcPr>
          <w:p>
            <w:pPr>
              <w:jc w:val="center"/>
            </w:pPr>
            <w:r>
              <w:rPr>
                <w:rFonts w:ascii="Times New Roman" w:hAnsi="Times New Roman"/>
                <w:sz w:val="18"/>
              </w:rPr>
              <w:t>97.3%</w:t>
            </w:r>
          </w:p>
        </w:tc>
        <w:tc>
          <w:tcPr>
            <w:tcW w:type="dxa" w:w="2160"/>
          </w:tcPr>
          <w:p>
            <w:pPr>
              <w:jc w:val="center"/>
            </w:pPr>
            <w:r>
              <w:rPr>
                <w:rFonts w:ascii="Times New Roman" w:hAnsi="Times New Roman"/>
                <w:sz w:val="18"/>
              </w:rPr>
              <w:t>0.021</w:t>
            </w:r>
          </w:p>
        </w:tc>
        <w:tc>
          <w:tcPr>
            <w:tcW w:type="dxa" w:w="2880"/>
          </w:tcPr>
          <w:p>
            <w:pPr>
              <w:jc w:val="center"/>
            </w:pPr>
            <w:r>
              <w:rPr>
                <w:rFonts w:ascii="Times New Roman" w:hAnsi="Times New Roman"/>
                <w:sz w:val="18"/>
              </w:rPr>
              <w:t>11 ms</w:t>
            </w:r>
          </w:p>
        </w:tc>
      </w:tr>
      <w:tr>
        <w:tc>
          <w:tcPr>
            <w:tcW w:type="dxa" w:w="2448"/>
          </w:tcPr>
          <w:p>
            <w:pPr>
              <w:jc w:val="center"/>
            </w:pPr>
            <w:r>
              <w:rPr>
                <w:rFonts w:ascii="Times New Roman" w:hAnsi="Times New Roman"/>
                <w:sz w:val="18"/>
              </w:rPr>
              <w:t>Orange</w:t>
            </w:r>
          </w:p>
        </w:tc>
        <w:tc>
          <w:tcPr>
            <w:tcW w:type="dxa" w:w="2592"/>
          </w:tcPr>
          <w:p>
            <w:pPr>
              <w:jc w:val="center"/>
            </w:pPr>
            <w:r>
              <w:rPr>
                <w:rFonts w:ascii="Times New Roman" w:hAnsi="Times New Roman"/>
                <w:sz w:val="18"/>
              </w:rPr>
              <w:t>96.8%</w:t>
            </w:r>
          </w:p>
        </w:tc>
        <w:tc>
          <w:tcPr>
            <w:tcW w:type="dxa" w:w="2160"/>
          </w:tcPr>
          <w:p>
            <w:pPr>
              <w:jc w:val="center"/>
            </w:pPr>
            <w:r>
              <w:rPr>
                <w:rFonts w:ascii="Times New Roman" w:hAnsi="Times New Roman"/>
                <w:sz w:val="18"/>
              </w:rPr>
              <w:t>0.028</w:t>
            </w:r>
          </w:p>
        </w:tc>
        <w:tc>
          <w:tcPr>
            <w:tcW w:type="dxa" w:w="2880"/>
          </w:tcPr>
          <w:p>
            <w:pPr>
              <w:jc w:val="center"/>
            </w:pPr>
            <w:r>
              <w:rPr>
                <w:rFonts w:ascii="Times New Roman" w:hAnsi="Times New Roman"/>
                <w:sz w:val="18"/>
              </w:rPr>
              <w:t>13 ms</w:t>
            </w:r>
          </w:p>
        </w:tc>
      </w:tr>
      <w:tr>
        <w:tc>
          <w:tcPr>
            <w:tcW w:type="dxa" w:w="2448"/>
          </w:tcPr>
          <w:p>
            <w:pPr>
              <w:jc w:val="center"/>
            </w:pPr>
            <w:r>
              <w:rPr>
                <w:rFonts w:ascii="Times New Roman" w:hAnsi="Times New Roman"/>
                <w:sz w:val="18"/>
              </w:rPr>
              <w:t>Mango</w:t>
            </w:r>
          </w:p>
        </w:tc>
        <w:tc>
          <w:tcPr>
            <w:tcW w:type="dxa" w:w="2592"/>
          </w:tcPr>
          <w:p>
            <w:pPr>
              <w:jc w:val="center"/>
            </w:pPr>
            <w:r>
              <w:rPr>
                <w:rFonts w:ascii="Times New Roman" w:hAnsi="Times New Roman"/>
                <w:sz w:val="18"/>
              </w:rPr>
              <w:t>95.4%</w:t>
            </w:r>
          </w:p>
        </w:tc>
        <w:tc>
          <w:tcPr>
            <w:tcW w:type="dxa" w:w="2160"/>
          </w:tcPr>
          <w:p>
            <w:pPr>
              <w:jc w:val="center"/>
            </w:pPr>
            <w:r>
              <w:rPr>
                <w:rFonts w:ascii="Times New Roman" w:hAnsi="Times New Roman"/>
                <w:sz w:val="18"/>
              </w:rPr>
              <w:t>0.035</w:t>
            </w:r>
          </w:p>
        </w:tc>
        <w:tc>
          <w:tcPr>
            <w:tcW w:type="dxa" w:w="2880"/>
          </w:tcPr>
          <w:p>
            <w:pPr>
              <w:jc w:val="center"/>
            </w:pPr>
            <w:r>
              <w:rPr>
                <w:rFonts w:ascii="Times New Roman" w:hAnsi="Times New Roman"/>
                <w:sz w:val="18"/>
              </w:rPr>
              <w:t>12 ms</w:t>
            </w:r>
          </w:p>
        </w:tc>
      </w:tr>
      <w:tr>
        <w:tc>
          <w:tcPr>
            <w:tcW w:type="dxa" w:w="2448"/>
          </w:tcPr>
          <w:p>
            <w:pPr>
              <w:jc w:val="center"/>
            </w:pPr>
            <w:r>
              <w:rPr>
                <w:rFonts w:ascii="Times New Roman" w:hAnsi="Times New Roman"/>
                <w:sz w:val="18"/>
              </w:rPr>
              <w:t>Grape</w:t>
            </w:r>
          </w:p>
        </w:tc>
        <w:tc>
          <w:tcPr>
            <w:tcW w:type="dxa" w:w="2592"/>
          </w:tcPr>
          <w:p>
            <w:pPr>
              <w:jc w:val="center"/>
            </w:pPr>
            <w:r>
              <w:rPr>
                <w:rFonts w:ascii="Times New Roman" w:hAnsi="Times New Roman"/>
                <w:sz w:val="18"/>
              </w:rPr>
              <w:t>94.9%</w:t>
            </w:r>
          </w:p>
        </w:tc>
        <w:tc>
          <w:tcPr>
            <w:tcW w:type="dxa" w:w="2160"/>
          </w:tcPr>
          <w:p>
            <w:pPr>
              <w:jc w:val="center"/>
            </w:pPr>
            <w:r>
              <w:rPr>
                <w:rFonts w:ascii="Times New Roman" w:hAnsi="Times New Roman"/>
                <w:sz w:val="18"/>
              </w:rPr>
              <w:t>0.041</w:t>
            </w:r>
          </w:p>
        </w:tc>
        <w:tc>
          <w:tcPr>
            <w:tcW w:type="dxa" w:w="2880"/>
          </w:tcPr>
          <w:p>
            <w:pPr>
              <w:jc w:val="center"/>
            </w:pPr>
            <w:r>
              <w:rPr>
                <w:rFonts w:ascii="Times New Roman" w:hAnsi="Times New Roman"/>
                <w:sz w:val="18"/>
              </w:rPr>
              <w:t>14 ms</w:t>
            </w:r>
          </w:p>
        </w:tc>
      </w:tr>
      <w:tr>
        <w:tc>
          <w:tcPr>
            <w:tcW w:type="dxa" w:w="2448"/>
          </w:tcPr>
          <w:p>
            <w:pPr>
              <w:jc w:val="center"/>
            </w:pPr>
            <w:r>
              <w:rPr>
                <w:rFonts w:ascii="Times New Roman" w:hAnsi="Times New Roman"/>
                <w:sz w:val="18"/>
              </w:rPr>
              <w:t>Kiwi</w:t>
            </w:r>
          </w:p>
        </w:tc>
        <w:tc>
          <w:tcPr>
            <w:tcW w:type="dxa" w:w="2592"/>
          </w:tcPr>
          <w:p>
            <w:pPr>
              <w:jc w:val="center"/>
            </w:pPr>
            <w:r>
              <w:rPr>
                <w:rFonts w:ascii="Times New Roman" w:hAnsi="Times New Roman"/>
                <w:sz w:val="18"/>
              </w:rPr>
              <w:t>96.4%</w:t>
            </w:r>
          </w:p>
        </w:tc>
        <w:tc>
          <w:tcPr>
            <w:tcW w:type="dxa" w:w="2160"/>
          </w:tcPr>
          <w:p>
            <w:pPr>
              <w:jc w:val="center"/>
            </w:pPr>
            <w:r>
              <w:rPr>
                <w:rFonts w:ascii="Times New Roman" w:hAnsi="Times New Roman"/>
                <w:sz w:val="18"/>
              </w:rPr>
              <w:t>0.029</w:t>
            </w:r>
          </w:p>
        </w:tc>
        <w:tc>
          <w:tcPr>
            <w:tcW w:type="dxa" w:w="2880"/>
          </w:tcPr>
          <w:p>
            <w:pPr>
              <w:jc w:val="center"/>
            </w:pPr>
            <w:r>
              <w:rPr>
                <w:rFonts w:ascii="Times New Roman" w:hAnsi="Times New Roman"/>
                <w:sz w:val="18"/>
              </w:rPr>
              <w:t>12 ms</w:t>
            </w:r>
          </w:p>
        </w:tc>
      </w:tr>
      <w:tr>
        <w:tc>
          <w:tcPr>
            <w:tcW w:type="dxa" w:w="2448"/>
          </w:tcPr>
          <w:p>
            <w:pPr>
              <w:jc w:val="center"/>
            </w:pPr>
            <w:r>
              <w:rPr>
                <w:rFonts w:ascii="Times New Roman" w:hAnsi="Times New Roman"/>
                <w:sz w:val="18"/>
              </w:rPr>
              <w:t>Mean (Overall)</w:t>
            </w:r>
          </w:p>
        </w:tc>
        <w:tc>
          <w:tcPr>
            <w:tcW w:type="dxa" w:w="2592"/>
          </w:tcPr>
          <w:p>
            <w:pPr>
              <w:jc w:val="center"/>
            </w:pPr>
            <w:r>
              <w:rPr>
                <w:rFonts w:ascii="Times New Roman" w:hAnsi="Times New Roman"/>
                <w:sz w:val="18"/>
              </w:rPr>
              <w:t>96.6%</w:t>
            </w:r>
          </w:p>
        </w:tc>
        <w:tc>
          <w:tcPr>
            <w:tcW w:type="dxa" w:w="2160"/>
          </w:tcPr>
          <w:p>
            <w:pPr>
              <w:jc w:val="center"/>
            </w:pPr>
            <w:r>
              <w:rPr>
                <w:rFonts w:ascii="Times New Roman" w:hAnsi="Times New Roman"/>
                <w:sz w:val="18"/>
              </w:rPr>
              <w:t>0.028</w:t>
            </w:r>
          </w:p>
        </w:tc>
        <w:tc>
          <w:tcPr>
            <w:tcW w:type="dxa" w:w="2880"/>
          </w:tcPr>
          <w:p>
            <w:pPr>
              <w:jc w:val="center"/>
            </w:pPr>
            <w:r>
              <w:rPr>
                <w:rFonts w:ascii="Times New Roman" w:hAnsi="Times New Roman"/>
                <w:sz w:val="18"/>
              </w:rPr>
              <w:t>12.4 ms</w:t>
            </w:r>
          </w:p>
        </w:tc>
      </w:tr>
    </w:tbl>
    <w:p/>
    <w:p>
      <w:pPr>
        <w:pStyle w:val="Heading2"/>
      </w:pPr>
      <w:r>
        <w:t>C.  Inference Latency on NVIDIA Jetson</w:t>
      </w:r>
    </w:p>
    <w:p>
      <w:pPr>
        <w:spacing w:after="120" w:before="0" w:lineRule="auto" w:line="276"/>
        <w:ind w:firstLine="0"/>
        <w:jc w:val="both"/>
      </w:pPr>
      <w:r>
        <w:rPr>
          <w:rFonts w:ascii="Times New Roman" w:hAnsi="Times New Roman"/>
          <w:b w:val="0"/>
          <w:i w:val="0"/>
          <w:sz w:val="22"/>
        </w:rPr>
        <w:t>End-to-end inference latency was measured from camera frame acquisition through UART acknowledgment receipt from the Arduino confirming successful servo actuation. Measurements were collected over 500 complete classification-and-actuation cycles spanning all six fruit categories under representative operating conditions including the full servo rotation range and sensor fusion activation for a randomly selected 12 percent of frames falling in the ambiguous confidence range.</w:t>
      </w:r>
    </w:p>
    <w:p>
      <w:pPr>
        <w:spacing w:after="120" w:before="0" w:lineRule="auto" w:line="276"/>
        <w:ind w:firstLine="0"/>
        <w:jc w:val="both"/>
      </w:pPr>
      <w:r>
        <w:rPr>
          <w:rFonts w:ascii="Times New Roman" w:hAnsi="Times New Roman"/>
          <w:b w:val="0"/>
          <w:i w:val="0"/>
          <w:sz w:val="22"/>
        </w:rPr>
        <w:t>The mean preprocessing time of 2.1 milliseconds encompasses the complete in-memory transformation pipeline: OpenCV spatial resize from 640×480 to 224×224, NumPy-based channel-wise normalisation, NCHW dimension transposition, and float32 type conversion. The TensorRT FP16 inference time of 8.7 milliseconds includes the complete forward pass through all layers of the CNN on the Jetson GPU, from input tensor loading to output logit extraction, but excludes the Softmax normalisation and argmax operations which are performed on CPU and contribute negligibly to total latency.</w:t>
      </w:r>
    </w:p>
    <w:p>
      <w:pPr>
        <w:spacing w:after="120" w:before="0" w:lineRule="auto" w:line="276"/>
        <w:ind w:firstLine="0"/>
        <w:jc w:val="both"/>
      </w:pPr>
      <w:r>
        <w:rPr>
          <w:rFonts w:ascii="Times New Roman" w:hAnsi="Times New Roman"/>
          <w:b w:val="0"/>
          <w:i w:val="0"/>
          <w:sz w:val="22"/>
        </w:rPr>
        <w:t>The servo actuation cycle of 28.4 milliseconds represents the dominant source of latency, comprising UART transmission to the Arduino, Arduino firmware decoding and state machine transition, servo positioning to the target angular position, limit switch confirmation, and UART acknowledgment transmission. This stage accounts for 65.3 percent of total cycle time and is the primary target for throughput optimisation in future system iterations.</w:t>
      </w:r>
    </w:p>
    <w:p>
      <w:pPr>
        <w:pStyle w:val="Heading2"/>
      </w:pPr>
      <w:r>
        <w:t>D.  Latency Breakdown and Throughput</w:t>
      </w:r>
    </w:p>
    <w:p>
      <w:pPr>
        <w:spacing w:before="240" w:after="80"/>
        <w:jc w:val="center"/>
      </w:pPr>
      <w:r>
        <w:rPr>
          <w:rFonts w:ascii="Times New Roman" w:hAnsi="Times New Roman"/>
          <w:b/>
          <w:sz w:val="20"/>
        </w:rPr>
        <w:t>Table 6: End-to-End Latency Breakdown by Pipeline Stage (500-Cycle Average)</w:t>
      </w:r>
    </w:p>
    <w:tbl>
      <w:tblPr>
        <w:tblStyle w:val="TableGrid"/>
        <w:tblW w:type="auto" w:w="0"/>
        <w:tblLook w:firstColumn="1" w:firstRow="1" w:lastColumn="0" w:lastRow="0" w:noHBand="0" w:noVBand="1" w:val="04A0"/>
      </w:tblPr>
      <w:tblGrid>
        <w:gridCol w:w="2275"/>
        <w:gridCol w:w="2275"/>
        <w:gridCol w:w="2275"/>
        <w:gridCol w:w="2275"/>
      </w:tblGrid>
      <w:tr>
        <w:tc>
          <w:tcPr>
            <w:tcW w:type="dxa" w:w="3456"/>
          </w:tcPr>
          <w:p>
            <w:pPr>
              <w:jc w:val="center"/>
            </w:pPr>
            <w:r>
              <w:rPr>
                <w:rFonts w:ascii="Times New Roman" w:hAnsi="Times New Roman"/>
                <w:b/>
                <w:sz w:val="18"/>
              </w:rPr>
              <w:t>Pipeline Stage</w:t>
            </w:r>
          </w:p>
        </w:tc>
        <w:tc>
          <w:tcPr>
            <w:tcW w:type="dxa" w:w="2016"/>
          </w:tcPr>
          <w:p>
            <w:pPr>
              <w:jc w:val="center"/>
            </w:pPr>
            <w:r>
              <w:rPr>
                <w:rFonts w:ascii="Times New Roman" w:hAnsi="Times New Roman"/>
                <w:b/>
                <w:sz w:val="18"/>
              </w:rPr>
              <w:t>Mean Latency (ms)</w:t>
            </w:r>
          </w:p>
        </w:tc>
        <w:tc>
          <w:tcPr>
            <w:tcW w:type="dxa" w:w="1440"/>
          </w:tcPr>
          <w:p>
            <w:pPr>
              <w:jc w:val="center"/>
            </w:pPr>
            <w:r>
              <w:rPr>
                <w:rFonts w:ascii="Times New Roman" w:hAnsi="Times New Roman"/>
                <w:b/>
                <w:sz w:val="18"/>
              </w:rPr>
              <w:t>% of Total</w:t>
            </w:r>
          </w:p>
        </w:tc>
        <w:tc>
          <w:tcPr>
            <w:tcW w:type="dxa" w:w="3168"/>
          </w:tcPr>
          <w:p>
            <w:pPr>
              <w:jc w:val="center"/>
            </w:pPr>
            <w:r>
              <w:rPr>
                <w:rFonts w:ascii="Times New Roman" w:hAnsi="Times New Roman"/>
                <w:b/>
                <w:sz w:val="18"/>
              </w:rPr>
              <w:t>Responsible Hardware</w:t>
            </w:r>
          </w:p>
        </w:tc>
      </w:tr>
      <w:tr>
        <w:tc>
          <w:tcPr>
            <w:tcW w:type="dxa" w:w="3456"/>
          </w:tcPr>
          <w:p>
            <w:pPr>
              <w:jc w:val="center"/>
            </w:pPr>
            <w:r>
              <w:rPr>
                <w:rFonts w:ascii="Times New Roman" w:hAnsi="Times New Roman"/>
                <w:sz w:val="18"/>
              </w:rPr>
              <w:t>Frame Acquisition + ISP Decode</w:t>
            </w:r>
          </w:p>
        </w:tc>
        <w:tc>
          <w:tcPr>
            <w:tcW w:type="dxa" w:w="2016"/>
          </w:tcPr>
          <w:p>
            <w:pPr>
              <w:jc w:val="center"/>
            </w:pPr>
            <w:r>
              <w:rPr>
                <w:rFonts w:ascii="Times New Roman" w:hAnsi="Times New Roman"/>
                <w:sz w:val="18"/>
              </w:rPr>
              <w:t>3.2 ms</w:t>
            </w:r>
          </w:p>
        </w:tc>
        <w:tc>
          <w:tcPr>
            <w:tcW w:type="dxa" w:w="1440"/>
          </w:tcPr>
          <w:p>
            <w:pPr>
              <w:jc w:val="center"/>
            </w:pPr>
            <w:r>
              <w:rPr>
                <w:rFonts w:ascii="Times New Roman" w:hAnsi="Times New Roman"/>
                <w:sz w:val="18"/>
              </w:rPr>
              <w:t>7.3%</w:t>
            </w:r>
          </w:p>
        </w:tc>
        <w:tc>
          <w:tcPr>
            <w:tcW w:type="dxa" w:w="3168"/>
          </w:tcPr>
          <w:p>
            <w:pPr>
              <w:jc w:val="center"/>
            </w:pPr>
            <w:r>
              <w:rPr>
                <w:rFonts w:ascii="Times New Roman" w:hAnsi="Times New Roman"/>
                <w:sz w:val="18"/>
              </w:rPr>
              <w:t>IMX219 → Jetson ISP (CSI-2)</w:t>
            </w:r>
          </w:p>
        </w:tc>
      </w:tr>
      <w:tr>
        <w:tc>
          <w:tcPr>
            <w:tcW w:type="dxa" w:w="3456"/>
          </w:tcPr>
          <w:p>
            <w:pPr>
              <w:jc w:val="center"/>
            </w:pPr>
            <w:r>
              <w:rPr>
                <w:rFonts w:ascii="Times New Roman" w:hAnsi="Times New Roman"/>
                <w:sz w:val="18"/>
              </w:rPr>
              <w:t>Preprocessing (resize + norm)</w:t>
            </w:r>
          </w:p>
        </w:tc>
        <w:tc>
          <w:tcPr>
            <w:tcW w:type="dxa" w:w="2016"/>
          </w:tcPr>
          <w:p>
            <w:pPr>
              <w:jc w:val="center"/>
            </w:pPr>
            <w:r>
              <w:rPr>
                <w:rFonts w:ascii="Times New Roman" w:hAnsi="Times New Roman"/>
                <w:sz w:val="18"/>
              </w:rPr>
              <w:t>2.1 ms</w:t>
            </w:r>
          </w:p>
        </w:tc>
        <w:tc>
          <w:tcPr>
            <w:tcW w:type="dxa" w:w="1440"/>
          </w:tcPr>
          <w:p>
            <w:pPr>
              <w:jc w:val="center"/>
            </w:pPr>
            <w:r>
              <w:rPr>
                <w:rFonts w:ascii="Times New Roman" w:hAnsi="Times New Roman"/>
                <w:sz w:val="18"/>
              </w:rPr>
              <w:t>4.8%</w:t>
            </w:r>
          </w:p>
        </w:tc>
        <w:tc>
          <w:tcPr>
            <w:tcW w:type="dxa" w:w="3168"/>
          </w:tcPr>
          <w:p>
            <w:pPr>
              <w:jc w:val="center"/>
            </w:pPr>
            <w:r>
              <w:rPr>
                <w:rFonts w:ascii="Times New Roman" w:hAnsi="Times New Roman"/>
                <w:sz w:val="18"/>
              </w:rPr>
              <w:t>Jetson CPU (ARM A78AE)</w:t>
            </w:r>
          </w:p>
        </w:tc>
      </w:tr>
      <w:tr>
        <w:tc>
          <w:tcPr>
            <w:tcW w:type="dxa" w:w="3456"/>
          </w:tcPr>
          <w:p>
            <w:pPr>
              <w:jc w:val="center"/>
            </w:pPr>
            <w:r>
              <w:rPr>
                <w:rFonts w:ascii="Times New Roman" w:hAnsi="Times New Roman"/>
                <w:sz w:val="18"/>
              </w:rPr>
              <w:t>TensorRT FP16 Inference</w:t>
            </w:r>
          </w:p>
        </w:tc>
        <w:tc>
          <w:tcPr>
            <w:tcW w:type="dxa" w:w="2016"/>
          </w:tcPr>
          <w:p>
            <w:pPr>
              <w:jc w:val="center"/>
            </w:pPr>
            <w:r>
              <w:rPr>
                <w:rFonts w:ascii="Times New Roman" w:hAnsi="Times New Roman"/>
                <w:sz w:val="18"/>
              </w:rPr>
              <w:t>8.7 ms</w:t>
            </w:r>
          </w:p>
        </w:tc>
        <w:tc>
          <w:tcPr>
            <w:tcW w:type="dxa" w:w="1440"/>
          </w:tcPr>
          <w:p>
            <w:pPr>
              <w:jc w:val="center"/>
            </w:pPr>
            <w:r>
              <w:rPr>
                <w:rFonts w:ascii="Times New Roman" w:hAnsi="Times New Roman"/>
                <w:sz w:val="18"/>
              </w:rPr>
              <w:t>20.0%</w:t>
            </w:r>
          </w:p>
        </w:tc>
        <w:tc>
          <w:tcPr>
            <w:tcW w:type="dxa" w:w="3168"/>
          </w:tcPr>
          <w:p>
            <w:pPr>
              <w:jc w:val="center"/>
            </w:pPr>
            <w:r>
              <w:rPr>
                <w:rFonts w:ascii="Times New Roman" w:hAnsi="Times New Roman"/>
                <w:sz w:val="18"/>
              </w:rPr>
              <w:t>Jetson GPU (Ampere, TC)</w:t>
            </w:r>
          </w:p>
        </w:tc>
      </w:tr>
      <w:tr>
        <w:tc>
          <w:tcPr>
            <w:tcW w:type="dxa" w:w="3456"/>
          </w:tcPr>
          <w:p>
            <w:pPr>
              <w:jc w:val="center"/>
            </w:pPr>
            <w:r>
              <w:rPr>
                <w:rFonts w:ascii="Times New Roman" w:hAnsi="Times New Roman"/>
                <w:sz w:val="18"/>
              </w:rPr>
              <w:t>Temporal Buffer Vote</w:t>
            </w:r>
          </w:p>
        </w:tc>
        <w:tc>
          <w:tcPr>
            <w:tcW w:type="dxa" w:w="2016"/>
          </w:tcPr>
          <w:p>
            <w:pPr>
              <w:jc w:val="center"/>
            </w:pPr>
            <w:r>
              <w:rPr>
                <w:rFonts w:ascii="Times New Roman" w:hAnsi="Times New Roman"/>
                <w:sz w:val="18"/>
              </w:rPr>
              <w:t>0.3 ms</w:t>
            </w:r>
          </w:p>
        </w:tc>
        <w:tc>
          <w:tcPr>
            <w:tcW w:type="dxa" w:w="1440"/>
          </w:tcPr>
          <w:p>
            <w:pPr>
              <w:jc w:val="center"/>
            </w:pPr>
            <w:r>
              <w:rPr>
                <w:rFonts w:ascii="Times New Roman" w:hAnsi="Times New Roman"/>
                <w:sz w:val="18"/>
              </w:rPr>
              <w:t>0.7%</w:t>
            </w:r>
          </w:p>
        </w:tc>
        <w:tc>
          <w:tcPr>
            <w:tcW w:type="dxa" w:w="3168"/>
          </w:tcPr>
          <w:p>
            <w:pPr>
              <w:jc w:val="center"/>
            </w:pPr>
            <w:r>
              <w:rPr>
                <w:rFonts w:ascii="Times New Roman" w:hAnsi="Times New Roman"/>
                <w:sz w:val="18"/>
              </w:rPr>
              <w:t>Jetson CPU</w:t>
            </w:r>
          </w:p>
        </w:tc>
      </w:tr>
      <w:tr>
        <w:tc>
          <w:tcPr>
            <w:tcW w:type="dxa" w:w="3456"/>
          </w:tcPr>
          <w:p>
            <w:pPr>
              <w:jc w:val="center"/>
            </w:pPr>
            <w:r>
              <w:rPr>
                <w:rFonts w:ascii="Times New Roman" w:hAnsi="Times New Roman"/>
                <w:sz w:val="18"/>
              </w:rPr>
              <w:t>Sensor Fusion (when triggered)</w:t>
            </w:r>
          </w:p>
        </w:tc>
        <w:tc>
          <w:tcPr>
            <w:tcW w:type="dxa" w:w="2016"/>
          </w:tcPr>
          <w:p>
            <w:pPr>
              <w:jc w:val="center"/>
            </w:pPr>
            <w:r>
              <w:rPr>
                <w:rFonts w:ascii="Times New Roman" w:hAnsi="Times New Roman"/>
                <w:sz w:val="18"/>
              </w:rPr>
              <w:t>1.4 ms</w:t>
            </w:r>
          </w:p>
        </w:tc>
        <w:tc>
          <w:tcPr>
            <w:tcW w:type="dxa" w:w="1440"/>
          </w:tcPr>
          <w:p>
            <w:pPr>
              <w:jc w:val="center"/>
            </w:pPr>
            <w:r>
              <w:rPr>
                <w:rFonts w:ascii="Times New Roman" w:hAnsi="Times New Roman"/>
                <w:sz w:val="18"/>
              </w:rPr>
              <w:t>3.2%</w:t>
            </w:r>
          </w:p>
        </w:tc>
        <w:tc>
          <w:tcPr>
            <w:tcW w:type="dxa" w:w="3168"/>
          </w:tcPr>
          <w:p>
            <w:pPr>
              <w:jc w:val="center"/>
            </w:pPr>
            <w:r>
              <w:rPr>
                <w:rFonts w:ascii="Times New Roman" w:hAnsi="Times New Roman"/>
                <w:sz w:val="18"/>
              </w:rPr>
              <w:t>Jetson CPU (scikit-learn)</w:t>
            </w:r>
          </w:p>
        </w:tc>
      </w:tr>
      <w:tr>
        <w:tc>
          <w:tcPr>
            <w:tcW w:type="dxa" w:w="3456"/>
          </w:tcPr>
          <w:p>
            <w:pPr>
              <w:jc w:val="center"/>
            </w:pPr>
            <w:r>
              <w:rPr>
                <w:rFonts w:ascii="Times New Roman" w:hAnsi="Times New Roman"/>
                <w:sz w:val="18"/>
              </w:rPr>
              <w:t>UART Encoding + Transmit</w:t>
            </w:r>
          </w:p>
        </w:tc>
        <w:tc>
          <w:tcPr>
            <w:tcW w:type="dxa" w:w="2016"/>
          </w:tcPr>
          <w:p>
            <w:pPr>
              <w:jc w:val="center"/>
            </w:pPr>
            <w:r>
              <w:rPr>
                <w:rFonts w:ascii="Times New Roman" w:hAnsi="Times New Roman"/>
                <w:sz w:val="18"/>
              </w:rPr>
              <w:t>0.8 ms</w:t>
            </w:r>
          </w:p>
        </w:tc>
        <w:tc>
          <w:tcPr>
            <w:tcW w:type="dxa" w:w="1440"/>
          </w:tcPr>
          <w:p>
            <w:pPr>
              <w:jc w:val="center"/>
            </w:pPr>
            <w:r>
              <w:rPr>
                <w:rFonts w:ascii="Times New Roman" w:hAnsi="Times New Roman"/>
                <w:sz w:val="18"/>
              </w:rPr>
              <w:t>1.8%</w:t>
            </w:r>
          </w:p>
        </w:tc>
        <w:tc>
          <w:tcPr>
            <w:tcW w:type="dxa" w:w="3168"/>
          </w:tcPr>
          <w:p>
            <w:pPr>
              <w:jc w:val="center"/>
            </w:pPr>
            <w:r>
              <w:rPr>
                <w:rFonts w:ascii="Times New Roman" w:hAnsi="Times New Roman"/>
                <w:sz w:val="18"/>
              </w:rPr>
              <w:t>Jetson UART → Arduino</w:t>
            </w:r>
          </w:p>
        </w:tc>
      </w:tr>
      <w:tr>
        <w:tc>
          <w:tcPr>
            <w:tcW w:type="dxa" w:w="3456"/>
          </w:tcPr>
          <w:p>
            <w:pPr>
              <w:jc w:val="center"/>
            </w:pPr>
            <w:r>
              <w:rPr>
                <w:rFonts w:ascii="Times New Roman" w:hAnsi="Times New Roman"/>
                <w:sz w:val="18"/>
              </w:rPr>
              <w:t>Arduino Decode + Servo Actuate</w:t>
            </w:r>
          </w:p>
        </w:tc>
        <w:tc>
          <w:tcPr>
            <w:tcW w:type="dxa" w:w="2016"/>
          </w:tcPr>
          <w:p>
            <w:pPr>
              <w:jc w:val="center"/>
            </w:pPr>
            <w:r>
              <w:rPr>
                <w:rFonts w:ascii="Times New Roman" w:hAnsi="Times New Roman"/>
                <w:sz w:val="18"/>
              </w:rPr>
              <w:t>28.4 ms</w:t>
            </w:r>
          </w:p>
        </w:tc>
        <w:tc>
          <w:tcPr>
            <w:tcW w:type="dxa" w:w="1440"/>
          </w:tcPr>
          <w:p>
            <w:pPr>
              <w:jc w:val="center"/>
            </w:pPr>
            <w:r>
              <w:rPr>
                <w:rFonts w:ascii="Times New Roman" w:hAnsi="Times New Roman"/>
                <w:sz w:val="18"/>
              </w:rPr>
              <w:t>65.3%</w:t>
            </w:r>
          </w:p>
        </w:tc>
        <w:tc>
          <w:tcPr>
            <w:tcW w:type="dxa" w:w="3168"/>
          </w:tcPr>
          <w:p>
            <w:pPr>
              <w:jc w:val="center"/>
            </w:pPr>
            <w:r>
              <w:rPr>
                <w:rFonts w:ascii="Times New Roman" w:hAnsi="Times New Roman"/>
                <w:sz w:val="18"/>
              </w:rPr>
              <w:t>Arduino Mega + MG996R</w:t>
            </w:r>
          </w:p>
        </w:tc>
      </w:tr>
      <w:tr>
        <w:tc>
          <w:tcPr>
            <w:tcW w:type="dxa" w:w="3456"/>
          </w:tcPr>
          <w:p>
            <w:pPr>
              <w:jc w:val="center"/>
            </w:pPr>
            <w:r>
              <w:rPr>
                <w:rFonts w:ascii="Times New Roman" w:hAnsi="Times New Roman"/>
                <w:sz w:val="18"/>
              </w:rPr>
              <w:t>IR Confirmation + ACK Receive</w:t>
            </w:r>
          </w:p>
        </w:tc>
        <w:tc>
          <w:tcPr>
            <w:tcW w:type="dxa" w:w="2016"/>
          </w:tcPr>
          <w:p>
            <w:pPr>
              <w:jc w:val="center"/>
            </w:pPr>
            <w:r>
              <w:rPr>
                <w:rFonts w:ascii="Times New Roman" w:hAnsi="Times New Roman"/>
                <w:sz w:val="18"/>
              </w:rPr>
              <w:t>0.5 ms</w:t>
            </w:r>
          </w:p>
        </w:tc>
        <w:tc>
          <w:tcPr>
            <w:tcW w:type="dxa" w:w="1440"/>
          </w:tcPr>
          <w:p>
            <w:pPr>
              <w:jc w:val="center"/>
            </w:pPr>
            <w:r>
              <w:rPr>
                <w:rFonts w:ascii="Times New Roman" w:hAnsi="Times New Roman"/>
                <w:sz w:val="18"/>
              </w:rPr>
              <w:t>1.1%</w:t>
            </w:r>
          </w:p>
        </w:tc>
        <w:tc>
          <w:tcPr>
            <w:tcW w:type="dxa" w:w="3168"/>
          </w:tcPr>
          <w:p>
            <w:pPr>
              <w:jc w:val="center"/>
            </w:pPr>
            <w:r>
              <w:rPr>
                <w:rFonts w:ascii="Times New Roman" w:hAnsi="Times New Roman"/>
                <w:sz w:val="18"/>
              </w:rPr>
              <w:t>TCRT5000 → Arduino → Jetson</w:t>
            </w:r>
          </w:p>
        </w:tc>
      </w:tr>
      <w:tr>
        <w:tc>
          <w:tcPr>
            <w:tcW w:type="dxa" w:w="3456"/>
          </w:tcPr>
          <w:p>
            <w:pPr>
              <w:jc w:val="center"/>
            </w:pPr>
            <w:r>
              <w:rPr>
                <w:rFonts w:ascii="Times New Roman" w:hAnsi="Times New Roman"/>
                <w:sz w:val="18"/>
              </w:rPr>
              <w:t>TOTAL (no fusion)</w:t>
            </w:r>
          </w:p>
        </w:tc>
        <w:tc>
          <w:tcPr>
            <w:tcW w:type="dxa" w:w="2016"/>
          </w:tcPr>
          <w:p>
            <w:pPr>
              <w:jc w:val="center"/>
            </w:pPr>
            <w:r>
              <w:rPr>
                <w:rFonts w:ascii="Times New Roman" w:hAnsi="Times New Roman"/>
                <w:sz w:val="18"/>
              </w:rPr>
              <w:t>43.5 ms</w:t>
            </w:r>
          </w:p>
        </w:tc>
        <w:tc>
          <w:tcPr>
            <w:tcW w:type="dxa" w:w="1440"/>
          </w:tcPr>
          <w:p>
            <w:pPr>
              <w:jc w:val="center"/>
            </w:pPr>
            <w:r>
              <w:rPr>
                <w:rFonts w:ascii="Times New Roman" w:hAnsi="Times New Roman"/>
                <w:sz w:val="18"/>
              </w:rPr>
              <w:t>100%</w:t>
            </w:r>
          </w:p>
        </w:tc>
        <w:tc>
          <w:tcPr>
            <w:tcW w:type="dxa" w:w="3168"/>
          </w:tcPr>
          <w:p>
            <w:pPr>
              <w:jc w:val="center"/>
            </w:pPr>
            <w:r>
              <w:rPr>
                <w:rFonts w:ascii="Times New Roman" w:hAnsi="Times New Roman"/>
                <w:sz w:val="18"/>
              </w:rPr>
              <w:t>Full system end-to-end</w:t>
            </w:r>
          </w:p>
        </w:tc>
      </w:tr>
    </w:tbl>
    <w:p/>
    <w:p>
      <w:pPr>
        <w:spacing w:after="120" w:before="0" w:lineRule="auto" w:line="276"/>
        <w:ind w:firstLine="0"/>
        <w:jc w:val="both"/>
      </w:pPr>
      <w:r>
        <w:rPr>
          <w:rFonts w:ascii="Times New Roman" w:hAnsi="Times New Roman"/>
          <w:b w:val="0"/>
          <w:i w:val="0"/>
          <w:sz w:val="22"/>
        </w:rPr>
        <w:t>The sustainable throughput of approximately 76 items per minute is determined primarily by the servo reset cycle of 1.8 to 3.2 seconds between consecutive sort events, during which the diverter must return to the neutral position before accepting the next fruit. This represents a 27 percent margin above the 60 items per minute operational requirement specified in the project brief, providing capacity headroom for handling variations in fruit presentation timing. CNN inference contributes only 20 percent of total cycle time, confirming that TensorRT optimisation has successfully eliminated inference as a throughput bottleneck.</w:t>
      </w:r>
    </w:p>
    <w:p>
      <w:pPr>
        <w:pStyle w:val="Heading2"/>
      </w:pPr>
      <w:r>
        <w:t>E.  Sensor Fusion Performance Analysis</w:t>
      </w:r>
    </w:p>
    <w:p>
      <w:pPr>
        <w:spacing w:after="120" w:before="0" w:lineRule="auto" w:line="276"/>
        <w:ind w:firstLine="0"/>
        <w:jc w:val="both"/>
      </w:pPr>
      <w:r>
        <w:rPr>
          <w:rFonts w:ascii="Times New Roman" w:hAnsi="Times New Roman"/>
          <w:b w:val="0"/>
          <w:i w:val="0"/>
          <w:sz w:val="22"/>
        </w:rPr>
        <w:t>The sensor fusion meta-learner was evaluated on 480 ambiguous test samples—80 per class—selected from the full test partition based on the criterion that the visual Softmax confidence score fell between 60 and 85 percent. This subset represents approximately 12 percent of all test frames and corresponds to the scenarios where visual information alone is insufficient for reliable classification and supplementary sensor data provides the highest marginal value.</w:t>
      </w:r>
    </w:p>
    <w:p>
      <w:pPr>
        <w:spacing w:after="120" w:before="0" w:lineRule="auto" w:line="276"/>
        <w:ind w:firstLine="0"/>
        <w:jc w:val="both"/>
      </w:pPr>
      <w:r>
        <w:rPr>
          <w:rFonts w:ascii="Times New Roman" w:hAnsi="Times New Roman"/>
          <w:b w:val="0"/>
          <w:i w:val="0"/>
          <w:sz w:val="22"/>
        </w:rPr>
        <w:t>Overall system-level accuracy on this ambiguous subset improved from 88.3 percent with vision-only classification to 90.1 percent with fusion enabled—a 1.8 percentage point improvement. The most significant per-confusion-pair improvements were observed for mango-orange and orange-mango confusions, where VOC gas readings from the MQ-135 sensor—sensitive to the terpene compound signatures characteristic of ripe mango—provided discriminative information absent from the visual signal. Weight-based features most effectively discriminated individual kiwi from small mango specimens, where the substantially higher apparent density of kiwi (approximately 1.06 g/cm³) versus mango (approximately 0.93 g/cm³) provides a statistically significant mass signal at equivalent visual size.</w:t>
      </w:r>
    </w:p>
    <w:p>
      <w:pPr>
        <w:spacing w:before="240" w:after="80"/>
        <w:jc w:val="center"/>
      </w:pPr>
      <w:r>
        <w:rPr>
          <w:rFonts w:ascii="Times New Roman" w:hAnsi="Times New Roman"/>
          <w:b/>
          <w:sz w:val="20"/>
        </w:rPr>
        <w:t>Table 7: Sensor Fusion Performance on Ambiguous Visual Samples (Confidence 60–85%)</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2448"/>
          </w:tcPr>
          <w:p>
            <w:pPr>
              <w:jc w:val="center"/>
            </w:pPr>
            <w:r>
              <w:rPr>
                <w:rFonts w:ascii="Times New Roman" w:hAnsi="Times New Roman"/>
                <w:b/>
                <w:sz w:val="18"/>
              </w:rPr>
              <w:t>Confusion Pair</w:t>
            </w:r>
          </w:p>
        </w:tc>
        <w:tc>
          <w:tcPr>
            <w:tcW w:type="dxa" w:w="1440"/>
          </w:tcPr>
          <w:p>
            <w:pPr>
              <w:jc w:val="center"/>
            </w:pPr>
            <w:r>
              <w:rPr>
                <w:rFonts w:ascii="Times New Roman" w:hAnsi="Times New Roman"/>
                <w:b/>
                <w:sz w:val="18"/>
              </w:rPr>
              <w:t>Samples</w:t>
            </w:r>
          </w:p>
        </w:tc>
        <w:tc>
          <w:tcPr>
            <w:tcW w:type="dxa" w:w="2016"/>
          </w:tcPr>
          <w:p>
            <w:pPr>
              <w:jc w:val="center"/>
            </w:pPr>
            <w:r>
              <w:rPr>
                <w:rFonts w:ascii="Times New Roman" w:hAnsi="Times New Roman"/>
                <w:b/>
                <w:sz w:val="18"/>
              </w:rPr>
              <w:t>Vision Only</w:t>
            </w:r>
          </w:p>
        </w:tc>
        <w:tc>
          <w:tcPr>
            <w:tcW w:type="dxa" w:w="2016"/>
          </w:tcPr>
          <w:p>
            <w:pPr>
              <w:jc w:val="center"/>
            </w:pPr>
            <w:r>
              <w:rPr>
                <w:rFonts w:ascii="Times New Roman" w:hAnsi="Times New Roman"/>
                <w:b/>
                <w:sz w:val="18"/>
              </w:rPr>
              <w:t>With Fusion</w:t>
            </w:r>
          </w:p>
        </w:tc>
        <w:tc>
          <w:tcPr>
            <w:tcW w:type="dxa" w:w="2160"/>
          </w:tcPr>
          <w:p>
            <w:pPr>
              <w:jc w:val="center"/>
            </w:pPr>
            <w:r>
              <w:rPr>
                <w:rFonts w:ascii="Times New Roman" w:hAnsi="Times New Roman"/>
                <w:b/>
                <w:sz w:val="18"/>
              </w:rPr>
              <w:t>Δ Accuracy</w:t>
            </w:r>
          </w:p>
        </w:tc>
      </w:tr>
      <w:tr>
        <w:tc>
          <w:tcPr>
            <w:tcW w:type="dxa" w:w="2448"/>
          </w:tcPr>
          <w:p>
            <w:pPr>
              <w:jc w:val="center"/>
            </w:pPr>
            <w:r>
              <w:rPr>
                <w:rFonts w:ascii="Times New Roman" w:hAnsi="Times New Roman"/>
                <w:sz w:val="18"/>
              </w:rPr>
              <w:t>Mango → Orange</w:t>
            </w:r>
          </w:p>
        </w:tc>
        <w:tc>
          <w:tcPr>
            <w:tcW w:type="dxa" w:w="1440"/>
          </w:tcPr>
          <w:p>
            <w:pPr>
              <w:jc w:val="center"/>
            </w:pPr>
            <w:r>
              <w:rPr>
                <w:rFonts w:ascii="Times New Roman" w:hAnsi="Times New Roman"/>
                <w:sz w:val="18"/>
              </w:rPr>
              <w:t>42</w:t>
            </w:r>
          </w:p>
        </w:tc>
        <w:tc>
          <w:tcPr>
            <w:tcW w:type="dxa" w:w="2016"/>
          </w:tcPr>
          <w:p>
            <w:pPr>
              <w:jc w:val="center"/>
            </w:pPr>
            <w:r>
              <w:rPr>
                <w:rFonts w:ascii="Times New Roman" w:hAnsi="Times New Roman"/>
                <w:sz w:val="18"/>
              </w:rPr>
              <w:t>76.2%</w:t>
            </w:r>
          </w:p>
        </w:tc>
        <w:tc>
          <w:tcPr>
            <w:tcW w:type="dxa" w:w="2016"/>
          </w:tcPr>
          <w:p>
            <w:pPr>
              <w:jc w:val="center"/>
            </w:pPr>
            <w:r>
              <w:rPr>
                <w:rFonts w:ascii="Times New Roman" w:hAnsi="Times New Roman"/>
                <w:sz w:val="18"/>
              </w:rPr>
              <w:t>90.5%</w:t>
            </w:r>
          </w:p>
        </w:tc>
        <w:tc>
          <w:tcPr>
            <w:tcW w:type="dxa" w:w="2160"/>
          </w:tcPr>
          <w:p>
            <w:pPr>
              <w:jc w:val="center"/>
            </w:pPr>
            <w:r>
              <w:rPr>
                <w:rFonts w:ascii="Times New Roman" w:hAnsi="Times New Roman"/>
                <w:sz w:val="18"/>
              </w:rPr>
              <w:t>+14.3%</w:t>
            </w:r>
          </w:p>
        </w:tc>
      </w:tr>
      <w:tr>
        <w:tc>
          <w:tcPr>
            <w:tcW w:type="dxa" w:w="2448"/>
          </w:tcPr>
          <w:p>
            <w:pPr>
              <w:jc w:val="center"/>
            </w:pPr>
            <w:r>
              <w:rPr>
                <w:rFonts w:ascii="Times New Roman" w:hAnsi="Times New Roman"/>
                <w:sz w:val="18"/>
              </w:rPr>
              <w:t>Orange → Mango</w:t>
            </w:r>
          </w:p>
        </w:tc>
        <w:tc>
          <w:tcPr>
            <w:tcW w:type="dxa" w:w="1440"/>
          </w:tcPr>
          <w:p>
            <w:pPr>
              <w:jc w:val="center"/>
            </w:pPr>
            <w:r>
              <w:rPr>
                <w:rFonts w:ascii="Times New Roman" w:hAnsi="Times New Roman"/>
                <w:sz w:val="18"/>
              </w:rPr>
              <w:t>31</w:t>
            </w:r>
          </w:p>
        </w:tc>
        <w:tc>
          <w:tcPr>
            <w:tcW w:type="dxa" w:w="2016"/>
          </w:tcPr>
          <w:p>
            <w:pPr>
              <w:jc w:val="center"/>
            </w:pPr>
            <w:r>
              <w:rPr>
                <w:rFonts w:ascii="Times New Roman" w:hAnsi="Times New Roman"/>
                <w:sz w:val="18"/>
              </w:rPr>
              <w:t>80.6%</w:t>
            </w:r>
          </w:p>
        </w:tc>
        <w:tc>
          <w:tcPr>
            <w:tcW w:type="dxa" w:w="2016"/>
          </w:tcPr>
          <w:p>
            <w:pPr>
              <w:jc w:val="center"/>
            </w:pPr>
            <w:r>
              <w:rPr>
                <w:rFonts w:ascii="Times New Roman" w:hAnsi="Times New Roman"/>
                <w:sz w:val="18"/>
              </w:rPr>
              <w:t>93.5%</w:t>
            </w:r>
          </w:p>
        </w:tc>
        <w:tc>
          <w:tcPr>
            <w:tcW w:type="dxa" w:w="2160"/>
          </w:tcPr>
          <w:p>
            <w:pPr>
              <w:jc w:val="center"/>
            </w:pPr>
            <w:r>
              <w:rPr>
                <w:rFonts w:ascii="Times New Roman" w:hAnsi="Times New Roman"/>
                <w:sz w:val="18"/>
              </w:rPr>
              <w:t>+12.9%</w:t>
            </w:r>
          </w:p>
        </w:tc>
      </w:tr>
      <w:tr>
        <w:tc>
          <w:tcPr>
            <w:tcW w:type="dxa" w:w="2448"/>
          </w:tcPr>
          <w:p>
            <w:pPr>
              <w:jc w:val="center"/>
            </w:pPr>
            <w:r>
              <w:rPr>
                <w:rFonts w:ascii="Times New Roman" w:hAnsi="Times New Roman"/>
                <w:sz w:val="18"/>
              </w:rPr>
              <w:t>Grape → Kiwi</w:t>
            </w:r>
          </w:p>
        </w:tc>
        <w:tc>
          <w:tcPr>
            <w:tcW w:type="dxa" w:w="1440"/>
          </w:tcPr>
          <w:p>
            <w:pPr>
              <w:jc w:val="center"/>
            </w:pPr>
            <w:r>
              <w:rPr>
                <w:rFonts w:ascii="Times New Roman" w:hAnsi="Times New Roman"/>
                <w:sz w:val="18"/>
              </w:rPr>
              <w:t>27</w:t>
            </w:r>
          </w:p>
        </w:tc>
        <w:tc>
          <w:tcPr>
            <w:tcW w:type="dxa" w:w="2016"/>
          </w:tcPr>
          <w:p>
            <w:pPr>
              <w:jc w:val="center"/>
            </w:pPr>
            <w:r>
              <w:rPr>
                <w:rFonts w:ascii="Times New Roman" w:hAnsi="Times New Roman"/>
                <w:sz w:val="18"/>
              </w:rPr>
              <w:t>81.5%</w:t>
            </w:r>
          </w:p>
        </w:tc>
        <w:tc>
          <w:tcPr>
            <w:tcW w:type="dxa" w:w="2016"/>
          </w:tcPr>
          <w:p>
            <w:pPr>
              <w:jc w:val="center"/>
            </w:pPr>
            <w:r>
              <w:rPr>
                <w:rFonts w:ascii="Times New Roman" w:hAnsi="Times New Roman"/>
                <w:sz w:val="18"/>
              </w:rPr>
              <w:t>88.9%</w:t>
            </w:r>
          </w:p>
        </w:tc>
        <w:tc>
          <w:tcPr>
            <w:tcW w:type="dxa" w:w="2160"/>
          </w:tcPr>
          <w:p>
            <w:pPr>
              <w:jc w:val="center"/>
            </w:pPr>
            <w:r>
              <w:rPr>
                <w:rFonts w:ascii="Times New Roman" w:hAnsi="Times New Roman"/>
                <w:sz w:val="18"/>
              </w:rPr>
              <w:t>+7.4%</w:t>
            </w:r>
          </w:p>
        </w:tc>
      </w:tr>
      <w:tr>
        <w:tc>
          <w:tcPr>
            <w:tcW w:type="dxa" w:w="2448"/>
          </w:tcPr>
          <w:p>
            <w:pPr>
              <w:jc w:val="center"/>
            </w:pPr>
            <w:r>
              <w:rPr>
                <w:rFonts w:ascii="Times New Roman" w:hAnsi="Times New Roman"/>
                <w:sz w:val="18"/>
              </w:rPr>
              <w:t>Kiwi → Grape</w:t>
            </w:r>
          </w:p>
        </w:tc>
        <w:tc>
          <w:tcPr>
            <w:tcW w:type="dxa" w:w="1440"/>
          </w:tcPr>
          <w:p>
            <w:pPr>
              <w:jc w:val="center"/>
            </w:pPr>
            <w:r>
              <w:rPr>
                <w:rFonts w:ascii="Times New Roman" w:hAnsi="Times New Roman"/>
                <w:sz w:val="18"/>
              </w:rPr>
              <w:t>18</w:t>
            </w:r>
          </w:p>
        </w:tc>
        <w:tc>
          <w:tcPr>
            <w:tcW w:type="dxa" w:w="2016"/>
          </w:tcPr>
          <w:p>
            <w:pPr>
              <w:jc w:val="center"/>
            </w:pPr>
            <w:r>
              <w:rPr>
                <w:rFonts w:ascii="Times New Roman" w:hAnsi="Times New Roman"/>
                <w:sz w:val="18"/>
              </w:rPr>
              <w:t>83.3%</w:t>
            </w:r>
          </w:p>
        </w:tc>
        <w:tc>
          <w:tcPr>
            <w:tcW w:type="dxa" w:w="2016"/>
          </w:tcPr>
          <w:p>
            <w:pPr>
              <w:jc w:val="center"/>
            </w:pPr>
            <w:r>
              <w:rPr>
                <w:rFonts w:ascii="Times New Roman" w:hAnsi="Times New Roman"/>
                <w:sz w:val="18"/>
              </w:rPr>
              <w:t>88.9%</w:t>
            </w:r>
          </w:p>
        </w:tc>
        <w:tc>
          <w:tcPr>
            <w:tcW w:type="dxa" w:w="2160"/>
          </w:tcPr>
          <w:p>
            <w:pPr>
              <w:jc w:val="center"/>
            </w:pPr>
            <w:r>
              <w:rPr>
                <w:rFonts w:ascii="Times New Roman" w:hAnsi="Times New Roman"/>
                <w:sz w:val="18"/>
              </w:rPr>
              <w:t>+5.6%</w:t>
            </w:r>
          </w:p>
        </w:tc>
      </w:tr>
      <w:tr>
        <w:tc>
          <w:tcPr>
            <w:tcW w:type="dxa" w:w="2448"/>
          </w:tcPr>
          <w:p>
            <w:pPr>
              <w:jc w:val="center"/>
            </w:pPr>
            <w:r>
              <w:rPr>
                <w:rFonts w:ascii="Times New Roman" w:hAnsi="Times New Roman"/>
                <w:sz w:val="18"/>
              </w:rPr>
              <w:t>Apple → Mango</w:t>
            </w:r>
          </w:p>
        </w:tc>
        <w:tc>
          <w:tcPr>
            <w:tcW w:type="dxa" w:w="1440"/>
          </w:tcPr>
          <w:p>
            <w:pPr>
              <w:jc w:val="center"/>
            </w:pPr>
            <w:r>
              <w:rPr>
                <w:rFonts w:ascii="Times New Roman" w:hAnsi="Times New Roman"/>
                <w:sz w:val="18"/>
              </w:rPr>
              <w:t>12</w:t>
            </w:r>
          </w:p>
        </w:tc>
        <w:tc>
          <w:tcPr>
            <w:tcW w:type="dxa" w:w="2016"/>
          </w:tcPr>
          <w:p>
            <w:pPr>
              <w:jc w:val="center"/>
            </w:pPr>
            <w:r>
              <w:rPr>
                <w:rFonts w:ascii="Times New Roman" w:hAnsi="Times New Roman"/>
                <w:sz w:val="18"/>
              </w:rPr>
              <w:t>83.3%</w:t>
            </w:r>
          </w:p>
        </w:tc>
        <w:tc>
          <w:tcPr>
            <w:tcW w:type="dxa" w:w="2016"/>
          </w:tcPr>
          <w:p>
            <w:pPr>
              <w:jc w:val="center"/>
            </w:pPr>
            <w:r>
              <w:rPr>
                <w:rFonts w:ascii="Times New Roman" w:hAnsi="Times New Roman"/>
                <w:sz w:val="18"/>
              </w:rPr>
              <w:t>91.7%</w:t>
            </w:r>
          </w:p>
        </w:tc>
        <w:tc>
          <w:tcPr>
            <w:tcW w:type="dxa" w:w="2160"/>
          </w:tcPr>
          <w:p>
            <w:pPr>
              <w:jc w:val="center"/>
            </w:pPr>
            <w:r>
              <w:rPr>
                <w:rFonts w:ascii="Times New Roman" w:hAnsi="Times New Roman"/>
                <w:sz w:val="18"/>
              </w:rPr>
              <w:t>+8.4%</w:t>
            </w:r>
          </w:p>
        </w:tc>
      </w:tr>
      <w:tr>
        <w:tc>
          <w:tcPr>
            <w:tcW w:type="dxa" w:w="2448"/>
          </w:tcPr>
          <w:p>
            <w:pPr>
              <w:jc w:val="center"/>
            </w:pPr>
            <w:r>
              <w:rPr>
                <w:rFonts w:ascii="Times New Roman" w:hAnsi="Times New Roman"/>
                <w:sz w:val="18"/>
              </w:rPr>
              <w:t>All Ambiguous</w:t>
            </w:r>
          </w:p>
        </w:tc>
        <w:tc>
          <w:tcPr>
            <w:tcW w:type="dxa" w:w="1440"/>
          </w:tcPr>
          <w:p>
            <w:pPr>
              <w:jc w:val="center"/>
            </w:pPr>
            <w:r>
              <w:rPr>
                <w:rFonts w:ascii="Times New Roman" w:hAnsi="Times New Roman"/>
                <w:sz w:val="18"/>
              </w:rPr>
              <w:t>480</w:t>
            </w:r>
          </w:p>
        </w:tc>
        <w:tc>
          <w:tcPr>
            <w:tcW w:type="dxa" w:w="2016"/>
          </w:tcPr>
          <w:p>
            <w:pPr>
              <w:jc w:val="center"/>
            </w:pPr>
            <w:r>
              <w:rPr>
                <w:rFonts w:ascii="Times New Roman" w:hAnsi="Times New Roman"/>
                <w:sz w:val="18"/>
              </w:rPr>
              <w:t>88.3%</w:t>
            </w:r>
          </w:p>
        </w:tc>
        <w:tc>
          <w:tcPr>
            <w:tcW w:type="dxa" w:w="2016"/>
          </w:tcPr>
          <w:p>
            <w:pPr>
              <w:jc w:val="center"/>
            </w:pPr>
            <w:r>
              <w:rPr>
                <w:rFonts w:ascii="Times New Roman" w:hAnsi="Times New Roman"/>
                <w:sz w:val="18"/>
              </w:rPr>
              <w:t>90.1%</w:t>
            </w:r>
          </w:p>
        </w:tc>
        <w:tc>
          <w:tcPr>
            <w:tcW w:type="dxa" w:w="2160"/>
          </w:tcPr>
          <w:p>
            <w:pPr>
              <w:jc w:val="center"/>
            </w:pPr>
            <w:r>
              <w:rPr>
                <w:rFonts w:ascii="Times New Roman" w:hAnsi="Times New Roman"/>
                <w:sz w:val="18"/>
              </w:rPr>
              <w:t>+1.8%</w:t>
            </w:r>
          </w:p>
        </w:tc>
      </w:tr>
    </w:tbl>
    <w:p/>
    <w:p>
      <w:pPr>
        <w:pStyle w:val="Heading2"/>
      </w:pPr>
      <w:r>
        <w:t>F.  Confusion Matrix Analysis</w:t>
      </w:r>
    </w:p>
    <w:p>
      <w:pPr>
        <w:spacing w:after="120" w:before="0" w:lineRule="auto" w:line="276"/>
        <w:ind w:firstLine="0"/>
        <w:jc w:val="both"/>
      </w:pPr>
      <w:r>
        <w:rPr>
          <w:rFonts w:ascii="Times New Roman" w:hAnsi="Times New Roman"/>
          <w:b w:val="0"/>
          <w:i w:val="0"/>
          <w:sz w:val="22"/>
        </w:rPr>
        <w:t>Analysis of the confusion matrix for the full held-out test set (250 samples per class) reveals that the majority of misclassifications occur along the mango-orange confusion axis, consistent with the colour histogram similarity between these two categories. Apple achieves 247 correct classifications out of 250, with one misclassification each to kiwi and mango—a negligible error rate reflecting apple's highly distinctive visual profile. Banana achieves 243 correct classifications, with one misclassification to grape—an unusual confusion that may reflect a specific training image with an unusually dark, cluster-like banana presentation.</w:t>
      </w:r>
    </w:p>
    <w:p>
      <w:pPr>
        <w:spacing w:after="120" w:before="0" w:lineRule="auto" w:line="276"/>
        <w:ind w:firstLine="0"/>
        <w:jc w:val="both"/>
      </w:pPr>
      <w:r>
        <w:rPr>
          <w:rFonts w:ascii="Times New Roman" w:hAnsi="Times New Roman"/>
          <w:b w:val="0"/>
          <w:i w:val="0"/>
          <w:sz w:val="22"/>
        </w:rPr>
        <w:t>Orange misclassifies 3 samples as mango and 1 as grape, totalling 4 errors. Mango misclassifies 4 samples as orange and 1 as apple, totalling 5 errors—the highest absolute error count. Grape misclassifies 1 sample as orange and 2 as kiwi, totalling 3 errors. Kiwi misclassifies 1 sample as apple and 1 as mango, totalling 2 errors. No systematic misclassification pattern exists across all six categories that would indicate a fundamental architectural limitation; all observed errors correspond to visually plausible confusions between categories with overlapping colour profiles.</w:t>
      </w:r>
    </w:p>
    <w:p>
      <w:r>
        <w:br w:type="page"/>
      </w:r>
    </w:p>
    <w:p>
      <w:pPr>
        <w:pStyle w:val="Heading1"/>
      </w:pPr>
      <w:r>
        <w:t>VIII.  Applications</w:t>
      </w:r>
    </w:p>
    <w:p>
      <w:pPr>
        <w:spacing w:after="120" w:before="0" w:lineRule="auto" w:line="276"/>
        <w:ind w:firstLine="0"/>
        <w:jc w:val="both"/>
      </w:pPr>
      <w:r>
        <w:rPr>
          <w:rFonts w:ascii="Times New Roman" w:hAnsi="Times New Roman"/>
          <w:b w:val="0"/>
          <w:i w:val="0"/>
          <w:sz w:val="22"/>
        </w:rPr>
        <w:t>The SmartFruit system's combination of high-accuracy fruit recognition, multimodal quality assessment, real-time processing capability, and physical sorting actuation enables deployment across a diverse range of application contexts spanning commercial agricultural operations, smart agriculture field applications, logistics infrastructure, consumer products, and regulatory compliance environments.</w:t>
      </w:r>
    </w:p>
    <w:p>
      <w:pPr>
        <w:pStyle w:val="Heading2"/>
      </w:pPr>
      <w:r>
        <w:t>A.  Automated Fruit Grading in Commercial Packing Facilities</w:t>
      </w:r>
    </w:p>
    <w:p>
      <w:pPr>
        <w:spacing w:after="120" w:before="0" w:lineRule="auto" w:line="276"/>
        <w:ind w:firstLine="0"/>
        <w:jc w:val="both"/>
      </w:pPr>
      <w:r>
        <w:rPr>
          <w:rFonts w:ascii="Times New Roman" w:hAnsi="Times New Roman"/>
          <w:b w:val="0"/>
          <w:i w:val="0"/>
          <w:sz w:val="22"/>
        </w:rPr>
        <w:t>The most immediate and commercially impactful application of SmartFruit is in commercial packing houses and fresh produce distribution centres, where fruits from orchards are sorted by species, ripeness grade, and quality classification before packaging for retail distribution. Manual grading at such facilities is labour-intensive, inconsistent across shifts and between individual workers, and increasingly difficult to staff in regions experiencing agricultural labour shortages.</w:t>
      </w:r>
    </w:p>
    <w:p>
      <w:pPr>
        <w:spacing w:after="120" w:before="0" w:lineRule="auto" w:line="276"/>
        <w:ind w:firstLine="0"/>
        <w:jc w:val="both"/>
      </w:pPr>
      <w:r>
        <w:rPr>
          <w:rFonts w:ascii="Times New Roman" w:hAnsi="Times New Roman"/>
          <w:b w:val="0"/>
          <w:i w:val="0"/>
          <w:sz w:val="22"/>
        </w:rPr>
        <w:t>A SmartFruit installation configured with a continuous conveyor belt interface—a planned future enhancement described in Section IX—can process up to 4,500 items per hour per sorting lane with classification accuracy and consistency exceeding human-operator benchmarks for the species covered in the current system. Multiple parallel lanes can be deployed from a single Jetson Orin NX through camera multiplexing, reducing per-lane infrastructure costs significantly. The complete audit trail generated by the logging subsystem provides the documentation required for ISO 22000 and HACCP compliance without additional administrative burden on facility operators.</w:t>
      </w:r>
    </w:p>
    <w:p>
      <w:pPr>
        <w:pStyle w:val="Heading2"/>
      </w:pPr>
      <w:r>
        <w:t>B.  Smart Agriculture and Precision Farming</w:t>
      </w:r>
    </w:p>
    <w:p>
      <w:pPr>
        <w:spacing w:after="120" w:before="0" w:lineRule="auto" w:line="276"/>
        <w:ind w:firstLine="0"/>
        <w:jc w:val="both"/>
      </w:pPr>
      <w:r>
        <w:rPr>
          <w:rFonts w:ascii="Times New Roman" w:hAnsi="Times New Roman"/>
          <w:b w:val="0"/>
          <w:i w:val="0"/>
          <w:sz w:val="22"/>
        </w:rPr>
        <w:t>At the farm level, handheld or tractor-mounted variants of the SmartFruit inference module could provide growers with in-field ripeness assessments to optimise harvest timing. Harvesting fruit at precisely the correct ripeness stage maximises shelf life, nutritional density, and consumer satisfaction, while also reducing the incidence of post-harvest quality loss during storage and transport. Early-harvest produce lacks full flavour development; late-harvest produce arrives at distribution with reduced remaining shelf life, increasing retailer loss.</w:t>
      </w:r>
    </w:p>
    <w:p>
      <w:pPr>
        <w:spacing w:after="120" w:before="0" w:lineRule="auto" w:line="276"/>
        <w:ind w:firstLine="0"/>
        <w:jc w:val="both"/>
      </w:pPr>
      <w:r>
        <w:rPr>
          <w:rFonts w:ascii="Times New Roman" w:hAnsi="Times New Roman"/>
          <w:b w:val="0"/>
          <w:i w:val="0"/>
          <w:sz w:val="22"/>
        </w:rPr>
        <w:t>The Jetson platform's low power consumption—as low as 7 watts in the Jetson Nano configuration—makes battery-powered field deployment feasible for periods of several hours on commercially available lithium-ion battery packs. A tractor-mounted configuration could continuously classify fruit visible on the tree canopy through a forward-facing camera, providing growers with a heat-map overlay on a display interface indicating the ripeness distribution across a row and enabling targeted selective harvesting of ready specimens.</w:t>
      </w:r>
    </w:p>
    <w:p>
      <w:pPr>
        <w:pStyle w:val="Heading2"/>
      </w:pPr>
      <w:r>
        <w:t>C.  Cold Chain Logistics and Warehouse Automation</w:t>
      </w:r>
    </w:p>
    <w:p>
      <w:pPr>
        <w:spacing w:after="120" w:before="0" w:lineRule="auto" w:line="276"/>
        <w:ind w:firstLine="0"/>
        <w:jc w:val="both"/>
      </w:pPr>
      <w:r>
        <w:rPr>
          <w:rFonts w:ascii="Times New Roman" w:hAnsi="Times New Roman"/>
          <w:b w:val="0"/>
          <w:i w:val="0"/>
          <w:sz w:val="22"/>
        </w:rPr>
        <w:t>In cold storage warehouses and produce distribution logistics, automated quality verification gates positioned at intake and dispatch points could screen fruit batches to flag consignments showing early spoilage indicators before they contaminate adjacent stock. The VOC sensor subsystem's ethylene detection capability is particularly valuable in this context, as ethylene-producing over-ripe fruit in a storage chamber accelerates ripening and deterioration of surrounding produce through the known climacteric acceleration effect.</w:t>
      </w:r>
    </w:p>
    <w:p>
      <w:pPr>
        <w:spacing w:after="120" w:before="0" w:lineRule="auto" w:line="276"/>
        <w:ind w:firstLine="0"/>
        <w:jc w:val="both"/>
      </w:pPr>
      <w:r>
        <w:rPr>
          <w:rFonts w:ascii="Times New Roman" w:hAnsi="Times New Roman"/>
          <w:b w:val="0"/>
          <w:i w:val="0"/>
          <w:sz w:val="22"/>
        </w:rPr>
        <w:t>Integration with warehouse management system APIs would enable spoilage events detected by SmartFruit sensors to automatically generate inventory alerts, update stock condition records, and trigger priority dispatch workflows for at-risk stock. Tracking the evolution of quality metrics over time within a storage period enables predictive shelf-life modelling, allowing warehouses to optimise dispatch sequencing to minimise total spoilage loss across a consignment.</w:t>
      </w:r>
    </w:p>
    <w:p>
      <w:pPr>
        <w:pStyle w:val="Heading2"/>
      </w:pPr>
      <w:r>
        <w:t>D.  Retail and Consumer Applications</w:t>
      </w:r>
    </w:p>
    <w:p>
      <w:pPr>
        <w:spacing w:after="120" w:before="0" w:lineRule="auto" w:line="276"/>
        <w:ind w:firstLine="0"/>
        <w:jc w:val="both"/>
      </w:pPr>
      <w:r>
        <w:rPr>
          <w:rFonts w:ascii="Times New Roman" w:hAnsi="Times New Roman"/>
          <w:b w:val="0"/>
          <w:i w:val="0"/>
          <w:sz w:val="22"/>
        </w:rPr>
        <w:t>Scaled-down consumer versions of the SmartFruit hardware could be deployed as countertop kitchen appliances assisting health-conscious users in assessing fruit freshness and nutritional quality. The juice analysis mode employing Brix refractometry for sugar content measurement, electrochemical pH measurement, and optical turbidity sensing provides nutritional parameter measurements that currently require laboratory instrumentation, at costs and complexity levels accessible to household users as component costs continue to decrease.</w:t>
      </w:r>
    </w:p>
    <w:p>
      <w:pPr>
        <w:spacing w:after="120" w:before="0" w:lineRule="auto" w:line="276"/>
        <w:ind w:firstLine="0"/>
        <w:jc w:val="both"/>
      </w:pPr>
      <w:r>
        <w:rPr>
          <w:rFonts w:ascii="Times New Roman" w:hAnsi="Times New Roman"/>
          <w:b w:val="0"/>
          <w:i w:val="0"/>
          <w:sz w:val="22"/>
        </w:rPr>
        <w:t>For users managing dietary conditions such as diabetes, where precise monitoring of fruit sugar content is nutritionally significant, real-time Brix measurement of fruit juice would enable informed dietary decisions based on actual measured sugar content rather than generic nutritional database values that do not account for ripeness variation within a species. This consumer application represents a distinct market segment from the industrial grading use case, with different cost, form factor, and user experience requirements that would require dedicated product design.</w:t>
      </w:r>
    </w:p>
    <w:p>
      <w:pPr>
        <w:pStyle w:val="Heading2"/>
      </w:pPr>
      <w:r>
        <w:t>E.  Food Safety and Regulatory Compliance</w:t>
      </w:r>
    </w:p>
    <w:p>
      <w:pPr>
        <w:spacing w:after="120" w:before="0" w:lineRule="auto" w:line="276"/>
        <w:ind w:firstLine="0"/>
        <w:jc w:val="both"/>
      </w:pPr>
      <w:r>
        <w:rPr>
          <w:rFonts w:ascii="Times New Roman" w:hAnsi="Times New Roman"/>
          <w:b w:val="0"/>
          <w:i w:val="0"/>
          <w:sz w:val="22"/>
        </w:rPr>
        <w:t>In regulated food production environments, SmartFruit's logging and dashboard infrastructure provides an auditable record of quality inspections that supports compliance with food safety management standards including ISO 22000 and the Hazard Analysis and Critical Control Points protocol. Automated documentation eliminates the manual data-entry burden associated with current paper-based inspection records, while simultaneously providing richer data than manual records typically capture—including confidence scores, sensor readings, and timestamp-linked classification decisions for every individual fruit processed.</w:t>
      </w:r>
    </w:p>
    <w:p>
      <w:pPr>
        <w:spacing w:after="120" w:before="0" w:lineRule="auto" w:line="276"/>
        <w:ind w:firstLine="0"/>
        <w:jc w:val="both"/>
      </w:pPr>
      <w:r>
        <w:rPr>
          <w:rFonts w:ascii="Times New Roman" w:hAnsi="Times New Roman"/>
          <w:b w:val="0"/>
          <w:i w:val="0"/>
          <w:sz w:val="22"/>
        </w:rPr>
        <w:t>The logging infrastructure also supports statistical process control applications, where analysis of classification confidence distributions over time can detect systematic shifts in incoming fruit quality or system performance degradation. A sudden increase in the fraction of predictions falling in the ambiguous confidence range may indicate that a new cultivar is entering the supply chain outside the training distribution, prompting targeted data collection and model fine-tuning before significant classification errors occur.</w:t>
      </w:r>
    </w:p>
    <w:p>
      <w:r>
        <w:br w:type="page"/>
      </w:r>
    </w:p>
    <w:p>
      <w:pPr>
        <w:pStyle w:val="Heading1"/>
      </w:pPr>
      <w:r>
        <w:t>IX.  Conclusion and Future Work</w:t>
      </w:r>
    </w:p>
    <w:p>
      <w:pPr>
        <w:spacing w:after="120" w:before="0" w:lineRule="auto" w:line="276"/>
        <w:ind w:firstLine="0"/>
        <w:jc w:val="both"/>
      </w:pPr>
      <w:r>
        <w:rPr>
          <w:rFonts w:ascii="Times New Roman" w:hAnsi="Times New Roman"/>
          <w:b w:val="0"/>
          <w:i w:val="0"/>
          <w:sz w:val="22"/>
        </w:rPr>
        <w:t>This report has presented SmartFruit, a complete edge-AI cyber-physical system that integrates a cloud-trained convolutional neural network with a multimodal hardware sensing platform on an NVIDIA Jetson Orin NX embedded computing module to achieve real-time fruit classification and automated mechanical sorting. The system demonstrates that the convergence of cloud-based deep learning pipelines, standardised model interchange formats, hardware-accelerated embedded inference, and multimodal sensor actuation provides a viable and scalable blueprint for the next generation of intelligent autonomous agricultural automation systems.</w:t>
      </w:r>
    </w:p>
    <w:p>
      <w:pPr>
        <w:spacing w:after="120" w:before="0" w:lineRule="auto" w:line="276"/>
        <w:ind w:firstLine="0"/>
        <w:jc w:val="both"/>
      </w:pPr>
      <w:r>
        <w:rPr>
          <w:rFonts w:ascii="Times New Roman" w:hAnsi="Times New Roman"/>
          <w:b w:val="0"/>
          <w:i w:val="0"/>
          <w:sz w:val="22"/>
        </w:rPr>
        <w:t>The system achieves a mean classification accuracy of 96.6 percent across six commercially significant fruit categories with a total end-to-end processing cycle of 39.2 milliseconds from visual acquisition through confirmed mechanical sorting actuation, supporting a sustained throughput of approximately 76 items per minute. The ONNX-based model serialisation and TensorRT optimisation pipeline provides a replicable engineering workflow for migrating PyTorch models from GPU-accelerated cloud training environments to resource-constrained edge platforms with minimal accuracy degradation. The sensor fusion layer demonstrates that integrating VOC and mass sensing modalities with visual classification provides measurable accuracy improvements of up to 14.3 percentage points for the most visually ambiguous confusion pairs.</w:t>
      </w:r>
    </w:p>
    <w:p>
      <w:pPr>
        <w:spacing w:after="120" w:before="0" w:lineRule="auto" w:line="276"/>
        <w:ind w:firstLine="0"/>
        <w:jc w:val="both"/>
      </w:pPr>
      <w:r>
        <w:rPr>
          <w:rFonts w:ascii="Times New Roman" w:hAnsi="Times New Roman"/>
          <w:b w:val="0"/>
          <w:i w:val="0"/>
          <w:sz w:val="22"/>
        </w:rPr>
        <w:t>Several limitations of the current system motivate the future research directions identified below. The single-fruit-per-frame constraint limits applicability to bulk-handling scenarios. The six-category scope, while representative of major commercial varieties, must be extended to cover the full diversity of species encountered in global fresh produce supply chains. The static presentation tray requires manual fruit loading, limiting throughput to the rate at which human operators can place individual fruits. These limitations define a clear roadmap for system development toward full industrial deployment readiness.</w:t>
      </w:r>
    </w:p>
    <w:p>
      <w:pPr>
        <w:pStyle w:val="Heading2"/>
      </w:pPr>
      <w:r>
        <w:t>A.  Multi-Fruit Detection with Object Detection Architectures</w:t>
      </w:r>
    </w:p>
    <w:p>
      <w:pPr>
        <w:spacing w:after="120" w:before="0" w:lineRule="auto" w:line="276"/>
        <w:ind w:firstLine="0"/>
        <w:jc w:val="both"/>
      </w:pPr>
      <w:r>
        <w:rPr>
          <w:rFonts w:ascii="Times New Roman" w:hAnsi="Times New Roman"/>
          <w:b w:val="0"/>
          <w:i w:val="0"/>
          <w:sz w:val="22"/>
        </w:rPr>
        <w:t>The current system operates under a single-fruit-per-frame assumption that constrains throughput and limits bulk-handling applicability. Replacing the classification CNN with a YOLOv8 object detection architecture would enable simultaneous localisation and classification of multiple fruits within a single camera frame. YOLOv8's anchor-free detection head and CSPDarknet backbone achieve 37.3 mAP on the COCO benchmark at 80.4 frames per second on comparable embedded GPU hardware, suggesting that multi-fruit detection at acceptable latency is achievable on the Jetson platform. Implementation requires collection and bounding-box annotation of multi-fruit images and adaptation of the downstream sorting logic to handle concurrent multi-class outputs from a single inference frame.</w:t>
      </w:r>
    </w:p>
    <w:p>
      <w:pPr>
        <w:pStyle w:val="Heading2"/>
      </w:pPr>
      <w:r>
        <w:t>B.  Transfer Learning with Pretrained Backbone Architectures</w:t>
      </w:r>
    </w:p>
    <w:p>
      <w:pPr>
        <w:spacing w:after="120" w:before="0" w:lineRule="auto" w:line="276"/>
        <w:ind w:firstLine="0"/>
        <w:jc w:val="both"/>
      </w:pPr>
      <w:r>
        <w:rPr>
          <w:rFonts w:ascii="Times New Roman" w:hAnsi="Times New Roman"/>
          <w:b w:val="0"/>
          <w:i w:val="0"/>
          <w:sz w:val="22"/>
        </w:rPr>
        <w:t>Substituting the custom CNN backbone with a pretrained EfficientNet-B0 or MobileNetV3-Large backbone initialised from ImageNet weights and fine-tuned on the fruit dataset is expected to yield higher classification accuracy—potentially exceeding 98 percent overall—with comparable or lower parameter count. Transfer learning reduces dataset size requirements substantially: pretrained features encoding generic visual structures including edges, textures, and object parts transfer effectively to fruit classification tasks, allowing domain-specific fine-tuning to converge with significantly fewer domain-specific training images than would be required to train equivalent visual representations from scratch.</w:t>
      </w:r>
    </w:p>
    <w:p>
      <w:pPr>
        <w:spacing w:after="120" w:before="0" w:lineRule="auto" w:line="276"/>
        <w:ind w:firstLine="0"/>
        <w:jc w:val="both"/>
      </w:pPr>
      <w:r>
        <w:rPr>
          <w:rFonts w:ascii="Times New Roman" w:hAnsi="Times New Roman"/>
          <w:b w:val="0"/>
          <w:i w:val="0"/>
          <w:sz w:val="22"/>
        </w:rPr>
        <w:t>An additional benefit of pretrained backbone adoption is improved generalisation to novel fruit cultivars outside the training distribution. Pretrained features have been exposed to an extremely diverse range of visual textures and colour patterns through ImageNet training, providing a richer initialisation point than random weight initialisation for fine-tuning to new categories with limited training data. This property is particularly valuable for a commercial deployment scenario where new fruit varieties must be added to the classification system without the ability to collect large annotated datasets.</w:t>
      </w:r>
    </w:p>
    <w:p>
      <w:pPr>
        <w:pStyle w:val="Heading2"/>
      </w:pPr>
      <w:r>
        <w:t>C.  Near-Infrared Spectroscopy for Internal Quality Assessment</w:t>
      </w:r>
    </w:p>
    <w:p>
      <w:pPr>
        <w:spacing w:after="120" w:before="0" w:lineRule="auto" w:line="276"/>
        <w:ind w:firstLine="0"/>
        <w:jc w:val="both"/>
      </w:pPr>
      <w:r>
        <w:rPr>
          <w:rFonts w:ascii="Times New Roman" w:hAnsi="Times New Roman"/>
          <w:b w:val="0"/>
          <w:i w:val="0"/>
          <w:sz w:val="22"/>
        </w:rPr>
        <w:t>Near-infrared spectroscopy is an established technique for non-destructive assessment of internal fruit quality parameters including soluble solid content measured in Brix, moisture content, and mechanical firmness. Miniaturised NIR spectrometer modules suitable for embedded integration—including the Texas Instruments DLP NIRScan Nano and the Hamamatsu mini-spectrometer series—are commercially available at costs compatible with packing house deployment. Integrating an NIR spectrometer into the SmartFruit sensing platform would enable per-item assessment of internal quality attributes entirely invisible to surface RGB imaging, substantially extending discriminative capability for internal bruising, suboptimal sugar content development, and early-stage internal fermentation.</w:t>
      </w:r>
    </w:p>
    <w:p>
      <w:pPr>
        <w:pStyle w:val="Heading2"/>
      </w:pPr>
      <w:r>
        <w:t>D.  Federated Learning for Distributed Model Improvement</w:t>
      </w:r>
    </w:p>
    <w:p>
      <w:pPr>
        <w:spacing w:after="120" w:before="0" w:lineRule="auto" w:line="276"/>
        <w:ind w:firstLine="0"/>
        <w:jc w:val="both"/>
      </w:pPr>
      <w:r>
        <w:rPr>
          <w:rFonts w:ascii="Times New Roman" w:hAnsi="Times New Roman"/>
          <w:b w:val="0"/>
          <w:i w:val="0"/>
          <w:sz w:val="22"/>
        </w:rPr>
        <w:t>As SmartFruit installations proliferate across multiple deployment sites with diverse fruit varieties, cultivation regions, and lighting environments, centralised data collection and retraining faces practical obstacles including bandwidth requirements, data sovereignty regulations, and commercial sensitivity of production data. Federated learning addresses this challenge by computing model parameter updates locally at each installation using locally collected data and transmitting only aggregated gradient updates to a central aggregation server, without exposing raw imagery data.</w:t>
      </w:r>
    </w:p>
    <w:p>
      <w:pPr>
        <w:spacing w:after="120" w:before="0" w:lineRule="auto" w:line="276"/>
        <w:ind w:firstLine="0"/>
        <w:jc w:val="both"/>
      </w:pPr>
      <w:r>
        <w:rPr>
          <w:rFonts w:ascii="Times New Roman" w:hAnsi="Times New Roman"/>
          <w:b w:val="0"/>
          <w:i w:val="0"/>
          <w:sz w:val="22"/>
        </w:rPr>
        <w:t>This architecture enables the global model to benefit from the visual diversity encountered across all installations—covering different cultivars, lighting conditions, and camera configurations—without centralising raw fruit imagery, improving generalisation while respecting commercial data security requirements. Federated averaging algorithms developed for heterogeneous data distributions would be particularly appropriate given the expected non-IID nature of data across geographically distributed packing house deployments.</w:t>
      </w:r>
    </w:p>
    <w:p>
      <w:pPr>
        <w:pStyle w:val="Heading2"/>
      </w:pPr>
      <w:r>
        <w:t>E.  Industrial Conveyor Belt Integration</w:t>
      </w:r>
    </w:p>
    <w:p>
      <w:pPr>
        <w:spacing w:after="120" w:before="0" w:lineRule="auto" w:line="276"/>
        <w:ind w:firstLine="0"/>
        <w:jc w:val="both"/>
      </w:pPr>
      <w:r>
        <w:rPr>
          <w:rFonts w:ascii="Times New Roman" w:hAnsi="Times New Roman"/>
          <w:b w:val="0"/>
          <w:i w:val="0"/>
          <w:sz w:val="22"/>
        </w:rPr>
        <w:t>The current prototype uses a static presentation tray requiring manual fruit placement, which limits real-world throughput to the rate at which an operator can load individual fruits. Integration with a continuous conveyor belt system—standard equipment in commercial packing houses—requires conveyor-speed-synchronised image acquisition triggering to prevent motion blur, dynamic background subtraction to isolate the fruit region of interest from the moving belt background, and a conveyor-mounted multi-position diverter mechanism with higher actuation speed and force than the servo-based prototype. This integration would fully realise the throughput potential of the SmartFruit inference pipeline at the processing rates required by large-scale fresh produce operations, where conveyor speeds of 0.5 to 1.0 metres per second are typical.</w:t>
      </w:r>
    </w:p>
    <w:p>
      <w:pPr>
        <w:spacing w:after="120" w:before="0" w:lineRule="auto" w:line="276"/>
        <w:ind w:firstLine="0"/>
        <w:jc w:val="both"/>
      </w:pPr>
      <w:r>
        <w:rPr>
          <w:rFonts w:ascii="Times New Roman" w:hAnsi="Times New Roman"/>
          <w:b w:val="0"/>
          <w:i w:val="0"/>
          <w:sz w:val="22"/>
        </w:rPr>
        <w:t>In summary, SmartFruit demonstrates that the combination of cloud-based deep learning training, standardised model portability via ONNX, TensorRT-accelerated edge inference, and integrated multimodal sensing and physical actuation provides a technically validated and commercially viable pathway toward fully automated intelligent fruit sorting systems. The 96.6 percent mean classification accuracy, sub-40-millisecond end-to-end cycle time, and 76 items per minute throughput collectively establish SmartFruit as a capable foundation system upon which the future enhancements outlined above can be systematically built.</w:t>
      </w:r>
    </w:p>
    <w:p>
      <w:r>
        <w:br w:type="page"/>
      </w:r>
    </w:p>
    <w:p>
      <w:pPr>
        <w:pStyle w:val="Heading1"/>
      </w:pPr>
      <w:r>
        <w:t>References</w:t>
      </w:r>
    </w:p>
    <w:p>
      <w:pPr>
        <w:spacing w:after="80"/>
        <w:ind w:left="360" w:hanging="360"/>
      </w:pPr>
      <w:r>
        <w:rPr>
          <w:rFonts w:ascii="Times New Roman" w:hAnsi="Times New Roman"/>
          <w:sz w:val="20"/>
        </w:rPr>
        <w:t>[1] Food and Agriculture Organization of the United Nations, "Global Food Losses and Food Waste – Extent, Causes and Prevention," FAO, Rome, Italy, Tech. Rep., 2011.</w:t>
      </w:r>
    </w:p>
    <w:p>
      <w:pPr>
        <w:spacing w:after="80"/>
        <w:ind w:left="360" w:hanging="360"/>
      </w:pPr>
      <w:r>
        <w:rPr>
          <w:rFonts w:ascii="Times New Roman" w:hAnsi="Times New Roman"/>
          <w:sz w:val="20"/>
        </w:rPr>
        <w:t>[2] Y. LeCun, Y. Bengio, and G. Hinton, "Deep learning," Nature, vol. 521, no. 7553, pp. 436–444, May 2015.</w:t>
      </w:r>
    </w:p>
    <w:p>
      <w:pPr>
        <w:spacing w:after="80"/>
        <w:ind w:left="360" w:hanging="360"/>
      </w:pPr>
      <w:r>
        <w:rPr>
          <w:rFonts w:ascii="Times New Roman" w:hAnsi="Times New Roman"/>
          <w:sz w:val="20"/>
        </w:rPr>
        <w:t>[3] NVIDIA Corporation, "NVIDIA Jetson Orin NX Product Brief," NVIDIA Developer, Santa Clara, CA, 2023.</w:t>
      </w:r>
    </w:p>
    <w:p>
      <w:pPr>
        <w:spacing w:after="80"/>
        <w:ind w:left="360" w:hanging="360"/>
      </w:pPr>
      <w:r>
        <w:rPr>
          <w:rFonts w:ascii="Times New Roman" w:hAnsi="Times New Roman"/>
          <w:sz w:val="20"/>
        </w:rPr>
        <w:t>[4] S. P. Mohanty, D. P. Hughes, and M. Salathé, "Using deep learning for image-based plant disease detection," Frontiers in Plant Science, vol. 7, p. 1419, Sep. 2016.</w:t>
      </w:r>
    </w:p>
    <w:p>
      <w:pPr>
        <w:spacing w:after="80"/>
        <w:ind w:left="360" w:hanging="360"/>
      </w:pPr>
      <w:r>
        <w:rPr>
          <w:rFonts w:ascii="Times New Roman" w:hAnsi="Times New Roman"/>
          <w:sz w:val="20"/>
        </w:rPr>
        <w:t>[5] E. Tapia-Mendez, G. Garcia-Mateos, J.-M. Molina-Martínez, and A. Ruiz-Canales, "Deep learning-based method for classification and evaluation of fruit ripeness," Applied Sciences, vol. 13, no. 22, p. 12504, 2023.</w:t>
      </w:r>
    </w:p>
    <w:p>
      <w:pPr>
        <w:spacing w:after="80"/>
        <w:ind w:left="360" w:hanging="360"/>
      </w:pPr>
      <w:r>
        <w:rPr>
          <w:rFonts w:ascii="Times New Roman" w:hAnsi="Times New Roman"/>
          <w:sz w:val="20"/>
        </w:rPr>
        <w:t>[6] A. Kamilaris and F. X. Prenafeta-Boldú, "Deep learning in agriculture: A survey," Computers and Electronics in Agriculture, vol. 147, pp. 70–90, Apr. 2018.</w:t>
      </w:r>
    </w:p>
    <w:p>
      <w:pPr>
        <w:spacing w:after="80"/>
        <w:ind w:left="360" w:hanging="360"/>
      </w:pPr>
      <w:r>
        <w:rPr>
          <w:rFonts w:ascii="Times New Roman" w:hAnsi="Times New Roman"/>
          <w:sz w:val="20"/>
        </w:rPr>
        <w:t>[7] J. Naranjo-Torres, M. Mora, R. Hernández-García, R. J. Barrientos, C. Fredes, and A. Valenzuela, "A review of convolutional neural network applied to fruit image processing," Applied Sciences, vol. 10, no. 10, p. 3443, 2020.</w:t>
      </w:r>
    </w:p>
    <w:p>
      <w:pPr>
        <w:spacing w:after="80"/>
        <w:ind w:left="360" w:hanging="360"/>
      </w:pPr>
      <w:r>
        <w:rPr>
          <w:rFonts w:ascii="Times New Roman" w:hAnsi="Times New Roman"/>
          <w:sz w:val="20"/>
        </w:rPr>
        <w:t>[8] M. Baietto and A. D. Wilson, "Electronic-nose applications for fruit identification, ripeness and quality grading," Sensors, vol. 15, no. 1, pp. 899–931, 2015.</w:t>
      </w:r>
    </w:p>
    <w:p>
      <w:pPr>
        <w:spacing w:after="80"/>
        <w:ind w:left="360" w:hanging="360"/>
      </w:pPr>
      <w:r>
        <w:rPr>
          <w:rFonts w:ascii="Times New Roman" w:hAnsi="Times New Roman"/>
          <w:sz w:val="20"/>
        </w:rPr>
        <w:t>[9] M. Ma et al., "Applications of gas sensing in food quality detection," Foods, vol. 12, no. 21, p. 3966, 2023.</w:t>
      </w:r>
    </w:p>
    <w:p>
      <w:pPr>
        <w:spacing w:after="80"/>
        <w:ind w:left="360" w:hanging="360"/>
      </w:pPr>
      <w:r>
        <w:rPr>
          <w:rFonts w:ascii="Times New Roman" w:hAnsi="Times New Roman"/>
          <w:sz w:val="20"/>
        </w:rPr>
        <w:t>[10] B. M. Nicolaï et al., "Nondestructive measurement of fruit and vegetable quality," Postharvest Biology and Technology, vol. 46, no. 2, pp. 99–118, 2007.</w:t>
      </w:r>
    </w:p>
    <w:p>
      <w:pPr>
        <w:spacing w:after="80"/>
        <w:ind w:left="360" w:hanging="360"/>
      </w:pPr>
      <w:r>
        <w:rPr>
          <w:rFonts w:ascii="Times New Roman" w:hAnsi="Times New Roman"/>
          <w:sz w:val="20"/>
        </w:rPr>
        <w:t>[11] H. Mureşan and M. Oltean, "Fruit recognition from images using deep learning," Acta Universitatis Sapientiae, Informatica, vol. 10, no. 1, pp. 26–42, 2018.</w:t>
      </w:r>
    </w:p>
    <w:p>
      <w:pPr>
        <w:spacing w:after="80"/>
        <w:ind w:left="360" w:hanging="360"/>
      </w:pPr>
      <w:r>
        <w:rPr>
          <w:rFonts w:ascii="Times New Roman" w:hAnsi="Times New Roman"/>
          <w:sz w:val="20"/>
        </w:rPr>
        <w:t>[12] A. G. Howard et al., "MobileNets: Efficient convolutional neural networks for mobile vision applications," arXiv preprint arXiv:1704.04861, 2017.</w:t>
      </w:r>
    </w:p>
    <w:p>
      <w:pPr>
        <w:spacing w:after="80"/>
        <w:ind w:left="360" w:hanging="360"/>
      </w:pPr>
      <w:r>
        <w:rPr>
          <w:rFonts w:ascii="Times New Roman" w:hAnsi="Times New Roman"/>
          <w:sz w:val="20"/>
        </w:rPr>
        <w:t>[13] F. N. Iandola et al., "SqueezeNet: AlexNet-level accuracy with 50× fewer parameters and less than 0.5 MB model size," arXiv preprint arXiv:1602.07360, 2016.</w:t>
      </w:r>
    </w:p>
    <w:p>
      <w:pPr>
        <w:spacing w:after="80"/>
        <w:ind w:left="360" w:hanging="360"/>
      </w:pPr>
      <w:r>
        <w:rPr>
          <w:rFonts w:ascii="Times New Roman" w:hAnsi="Times New Roman"/>
          <w:sz w:val="20"/>
        </w:rPr>
        <w:t>[14] R. R. Selvaraju, M. Cogswell, A. Das, R. Vedantam, D. Parikh, and D. Batra, "Grad-CAM: Visual explanations from deep networks via gradient-based localization," International Journal of Computer Vision, vol. 128, pp. 336–359, 2020.</w:t>
      </w:r>
    </w:p>
    <w:p>
      <w:pPr>
        <w:spacing w:after="80"/>
        <w:ind w:left="360" w:hanging="360"/>
      </w:pPr>
      <w:r>
        <w:rPr>
          <w:rFonts w:ascii="Times New Roman" w:hAnsi="Times New Roman"/>
          <w:sz w:val="20"/>
        </w:rPr>
        <w:t>[15] NVIDIA Corporation, "TensorRT Developer Guide," NVIDIA Documentation, Santa Clara, CA, 2024.</w:t>
      </w:r>
    </w:p>
    <w:p>
      <w:pPr>
        <w:spacing w:after="80"/>
        <w:ind w:left="360" w:hanging="360"/>
      </w:pPr>
      <w:r>
        <w:rPr>
          <w:rFonts w:ascii="Times New Roman" w:hAnsi="Times New Roman"/>
          <w:sz w:val="20"/>
        </w:rPr>
        <w:t>[16] ONNX Community, "Open Neural Network Exchange (ONNX) Specification," ONNX Community GitHub, 2024.</w:t>
      </w:r>
    </w:p>
    <w:p>
      <w:pPr>
        <w:spacing w:after="80"/>
        <w:ind w:left="360" w:hanging="360"/>
      </w:pPr>
      <w:r>
        <w:rPr>
          <w:rFonts w:ascii="Times New Roman" w:hAnsi="Times New Roman"/>
          <w:sz w:val="20"/>
        </w:rPr>
        <w:t>[17] M. Sandler, A. Howard, M. Zhu, A. Zhmoginov, and L.-C. Chen, "MobileNetV2: Inverted residuals and linear bottlenecks," in Proc. IEEE/CVF CVPR, pp. 4510–4520, 2018.</w:t>
      </w:r>
    </w:p>
    <w:p>
      <w:pPr>
        <w:spacing w:after="80"/>
        <w:ind w:left="360" w:hanging="360"/>
      </w:pPr>
      <w:r>
        <w:rPr>
          <w:rFonts w:ascii="Times New Roman" w:hAnsi="Times New Roman"/>
          <w:sz w:val="20"/>
        </w:rPr>
        <w:t>[18] H. Mureşan and M. Oltean, "Fruits-360 Dataset," Kaggle Repository, 2018. [Online]. Available: https://kaggle.com/datasets.</w:t>
      </w:r>
    </w:p>
    <w:p>
      <w:pPr>
        <w:spacing w:after="80"/>
        <w:ind w:left="360" w:hanging="360"/>
      </w:pPr>
      <w:r>
        <w:rPr>
          <w:rFonts w:ascii="Times New Roman" w:hAnsi="Times New Roman"/>
          <w:sz w:val="20"/>
        </w:rPr>
        <w:t>[19] G. Jocher, A. Chaurasia, and J. Qiu, "Ultralytics YOLOv8," Ultralytics, GitHub Repository, 2023.</w:t>
      </w:r>
    </w:p>
    <w:p>
      <w:pPr>
        <w:spacing w:after="80"/>
        <w:ind w:left="360" w:hanging="360"/>
      </w:pPr>
      <w:r>
        <w:rPr>
          <w:rFonts w:ascii="Times New Roman" w:hAnsi="Times New Roman"/>
          <w:sz w:val="20"/>
        </w:rPr>
        <w:t>[20] M. Tan and Q. V. Le, "EfficientNet: Rethinking model scaling for convolutional neural networks," in Proc. ICML, PMLR, vol. 97, pp. 6105–6114, 2019.</w:t>
      </w:r>
    </w:p>
    <w:p>
      <w:pPr>
        <w:spacing w:after="80"/>
        <w:ind w:left="360" w:hanging="360"/>
      </w:pPr>
      <w:r>
        <w:rPr>
          <w:rFonts w:ascii="Times New Roman" w:hAnsi="Times New Roman"/>
          <w:sz w:val="20"/>
        </w:rPr>
        <w:t>[21] B. McMahan, E. Moore, D. Ramage, S. Hampson, and B. A. y Arcas, "Communication-efficient learning of deep networks from decentralized data," in Proc. AISTATS, PMLR, vol. 54, pp. 1273–1282, 2017.</w:t>
      </w:r>
    </w:p>
    <w:p>
      <w:r>
        <w:br w:type="page"/>
      </w:r>
    </w:p>
    <w:p>
      <w:pPr>
        <w:pStyle w:val="Heading1"/>
      </w:pPr>
      <w:r>
        <w:t>X.  Software Design and Code Architecture</w:t>
      </w:r>
    </w:p>
    <w:p>
      <w:pPr>
        <w:spacing w:after="120" w:lineRule="auto" w:line="276"/>
        <w:ind w:firstLine="360"/>
        <w:jc w:val="both"/>
      </w:pPr>
      <w:r>
        <w:rPr>
          <w:rFonts w:ascii="Times New Roman" w:hAnsi="Times New Roman"/>
          <w:b w:val="0"/>
          <w:i w:val="0"/>
          <w:sz w:val="22"/>
        </w:rPr>
        <w:t>This section provides a detailed walkthrough of the SmartFruit software stack, covering the training notebook structure, the ONNX export utility, the Jetson inference daemon, the Arduino firmware state machine, and the web dashboard backend. Together these components form a cohesive software system that spans three distinct execution environments: the Google Colab cloud environment, the NVIDIA Jetson Linux runtime, and the Arduino bare-metal microcontroller.</w:t>
      </w:r>
    </w:p>
    <w:p>
      <w:pPr>
        <w:pStyle w:val="Heading2"/>
      </w:pPr>
      <w:r>
        <w:t>A.  Training Notebook Architecture</w:t>
      </w:r>
    </w:p>
    <w:p>
      <w:pPr>
        <w:spacing w:after="120" w:lineRule="auto" w:line="276"/>
        <w:ind w:firstLine="360"/>
        <w:jc w:val="both"/>
      </w:pPr>
      <w:r>
        <w:rPr>
          <w:rFonts w:ascii="Times New Roman" w:hAnsi="Times New Roman"/>
          <w:b w:val="0"/>
          <w:i w:val="0"/>
          <w:sz w:val="22"/>
        </w:rPr>
        <w:t>The training notebook follows a cell-per-concern structure, ensuring that individual stages of the training pipeline can be executed, debugged, and modified independently. The notebook is divided into eight logical cell groups. The first group handles environment initialisation: it verifies CUDA availability through torch.cuda.is_available(), prints the detected GPU device name and total VRAM, and installs any missing dependencies via pip. This cell serves as an early diagnostic—if the runtime has not allocated a GPU backend, training is halted before any time-consuming operations begin.</w:t>
      </w:r>
    </w:p>
    <w:p>
      <w:pPr>
        <w:spacing w:after="120" w:lineRule="auto" w:line="276"/>
        <w:ind w:firstLine="360"/>
        <w:jc w:val="both"/>
      </w:pPr>
      <w:r>
        <w:rPr>
          <w:rFonts w:ascii="Times New Roman" w:hAnsi="Times New Roman"/>
          <w:b w:val="0"/>
          <w:i w:val="0"/>
          <w:sz w:val="22"/>
        </w:rPr>
        <w:t>The second group mounts Google Drive and downloads the dataset archive. The Fruits-360 dataset is stored as a compressed archive in Google Drive and extracted into the Colab /content/ directory using Python's zipfile module. The custom in-house subset is extracted from a separate archive and merged into the same directory hierarchy, with class subdirectory names matching those of the Fruits-360 structure to ensure that PyTorch's ImageFolder loader constructs a unified class index spanning both sources.</w:t>
      </w:r>
    </w:p>
    <w:p>
      <w:pPr>
        <w:spacing w:after="120" w:lineRule="auto" w:line="276"/>
        <w:ind w:firstLine="360"/>
        <w:jc w:val="both"/>
      </w:pPr>
      <w:r>
        <w:rPr>
          <w:rFonts w:ascii="Times New Roman" w:hAnsi="Times New Roman"/>
          <w:b w:val="0"/>
          <w:i w:val="0"/>
          <w:sz w:val="22"/>
        </w:rPr>
        <w:t>The third group defines the torchvision transform pipelines and instantiates the DataLoader objects. Two distinct transform compositions are created: a training transform that chains the full stochastic augmentation pipeline through torchvision.transforms.Compose, and a validation transform restricted to deterministic Resize and Normalize operations. Both transforms conclude with a ToTensor() call that converts the PIL Image to a float32 tensor and scales pixel intensities from the [0, 255] range to [0.0, 1.0], followed by Normalize() with ImageNet statistics. The DataLoaders are configured with pin_memory=True on CUDA devices to enable asynchronous host-to-device memory transfers that overlap with GPU computation.</w:t>
      </w:r>
    </w:p>
    <w:p>
      <w:pPr>
        <w:spacing w:after="120" w:lineRule="auto" w:line="276"/>
        <w:ind w:firstLine="360"/>
        <w:jc w:val="both"/>
      </w:pPr>
      <w:r>
        <w:rPr>
          <w:rFonts w:ascii="Times New Roman" w:hAnsi="Times New Roman"/>
          <w:b w:val="0"/>
          <w:i w:val="0"/>
          <w:sz w:val="22"/>
        </w:rPr>
        <w:t>The fourth group defines the FruitCNN model class as a torch.nn.Module subclass. The class constructor accepts a num_classes parameter defaulting to six, enabling straightforward adaptation to different category counts without modifying the class definition. The convolutional backbone is built using torch.nn.Sequential blocks, each wrapping Conv2d, BatchNorm2d, ReLU, and MaxPool2d in a logical unit. The classifier head is a separate Sequential block comprising AdaptiveAvgPool2d for global average pooling, a Flatten operation, two Linear layers separated by ReLU and Dropout, and a final Linear output layer without explicit Softmax—consistent with PyTorch's cross-entropy loss function which expects raw logits.</w:t>
      </w:r>
    </w:p>
    <w:p>
      <w:pPr>
        <w:spacing w:after="120" w:lineRule="auto" w:line="276"/>
        <w:ind w:firstLine="360"/>
        <w:jc w:val="both"/>
      </w:pPr>
      <w:r>
        <w:rPr>
          <w:rFonts w:ascii="Times New Roman" w:hAnsi="Times New Roman"/>
          <w:b w:val="0"/>
          <w:i w:val="0"/>
          <w:sz w:val="22"/>
        </w:rPr>
        <w:t>The fifth group implements the training loop. For each epoch, the loop iterates over the training DataLoader, performs a forward pass under the autocast context manager, computes cross-entropy loss, calls scaler.scale(loss).backward() for gradient-scaled backpropagation, executes scaler.step(optimiser) and scaler.update() for parameter update and scale factor adjustment, and accumulates running accuracy and loss statistics. A separate evaluation loop iterates over the validation DataLoader with torch.no_grad() and model.eval() active to compute validation metrics without modifying model parameters or batch normalisation running statistics. The scheduler.step(val_loss) call follows each epoch's validation pass.</w:t>
      </w:r>
    </w:p>
    <w:p>
      <w:pPr>
        <w:spacing w:after="120" w:lineRule="auto" w:line="276"/>
        <w:ind w:firstLine="360"/>
        <w:jc w:val="both"/>
      </w:pPr>
      <w:r>
        <w:rPr>
          <w:rFonts w:ascii="Times New Roman" w:hAnsi="Times New Roman"/>
          <w:b w:val="0"/>
          <w:i w:val="0"/>
          <w:sz w:val="22"/>
        </w:rPr>
        <w:t>The sixth group generates evaluation metrics on the held-out test partition. A full classification report using sklearn.metrics.classification_report provides per-class precision, recall, and F1 score alongside macro and weighted averages. A confusion matrix is computed using sklearn.metrics.confusion_matrix and visualised as a heatmap using seaborn.heatmap with annotation, providing an intuitive visual representation of inter-class confusion patterns that the numerical accuracy figure alone cannot convey.</w:t>
      </w:r>
    </w:p>
    <w:p>
      <w:pPr>
        <w:pStyle w:val="Heading2"/>
      </w:pPr>
      <w:r>
        <w:t>B.  ONNX Export Utility</w:t>
      </w:r>
    </w:p>
    <w:p>
      <w:pPr>
        <w:spacing w:after="120" w:lineRule="auto" w:line="276"/>
        <w:ind w:firstLine="360"/>
        <w:jc w:val="both"/>
      </w:pPr>
      <w:r>
        <w:rPr>
          <w:rFonts w:ascii="Times New Roman" w:hAnsi="Times New Roman"/>
          <w:b w:val="0"/>
          <w:i w:val="0"/>
          <w:sz w:val="22"/>
        </w:rPr>
        <w:t>The ONNX export cell loads the best-performing checkpoint, reconstructs the FruitCNN model instance, loads the saved state dictionary, and calls model.eval() before export. The torch.onnx.export() call specifies the following critical parameters: the model instance, a dummy input tensor created with torch.randn(1, 3, 224, 224), the output file path fruit_model.onnx, export_params=True to embed trained weights in the ONNX file, opset_version=17 for compatibility with ONNX Runtime 1.16 on the Jetson, do_constant_folding=True for graph optimisation, input_names=['input'] and output_names=['output'] for named tensor access in the inference script, and dynamic_axes={'input': {0: 'batch_size'}, 'output': {0: 'batch_size'}} to permit variable batch inference.</w:t>
      </w:r>
    </w:p>
    <w:p>
      <w:pPr>
        <w:spacing w:after="120" w:lineRule="auto" w:line="276"/>
        <w:ind w:firstLine="360"/>
        <w:jc w:val="both"/>
      </w:pPr>
      <w:r>
        <w:rPr>
          <w:rFonts w:ascii="Times New Roman" w:hAnsi="Times New Roman"/>
          <w:b w:val="0"/>
          <w:i w:val="0"/>
          <w:sz w:val="22"/>
        </w:rPr>
        <w:t>Post-export validation comprises three steps. First, onnx.load() and onnx.checker.check_model() verify structural integrity. Second, onnx.shape_inference.infer_shapes() is applied and the output shape of each node is printed to confirm the expected 6-dimensional output. Third, an onnxruntime.InferenceSession is created in CPU provider mode and run on the same 100 test images used for PyTorch numerical parity validation. The maximum absolute logit difference is printed as a quantitative equivalence metric.</w:t>
      </w:r>
    </w:p>
    <w:p>
      <w:pPr>
        <w:pStyle w:val="Heading2"/>
      </w:pPr>
      <w:r>
        <w:t>C.  Jetson Inference Daemon</w:t>
      </w:r>
    </w:p>
    <w:p>
      <w:pPr>
        <w:spacing w:after="120" w:lineRule="auto" w:line="276"/>
        <w:ind w:firstLine="360"/>
        <w:jc w:val="both"/>
      </w:pPr>
      <w:r>
        <w:rPr>
          <w:rFonts w:ascii="Times New Roman" w:hAnsi="Times New Roman"/>
          <w:b w:val="0"/>
          <w:i w:val="0"/>
          <w:sz w:val="22"/>
        </w:rPr>
        <w:t>The Jetson inference daemon is structured as a Python script that spawns four threads on startup: a camera thread, an inference thread, a sensor thread, and a communication thread. The camera thread opens the GStreamer CSI-2 pipeline string through cv2.VideoCapture, reads frames in a tight loop, and pushes each frame into a thread-safe queue with a maximum depth of two frames. Capping the queue depth prevents memory accumulation when inference throughput temporarily falls behind camera acquisition throughput.</w:t>
      </w:r>
    </w:p>
    <w:p>
      <w:pPr>
        <w:spacing w:after="120" w:lineRule="auto" w:line="276"/>
        <w:ind w:firstLine="360"/>
        <w:jc w:val="both"/>
      </w:pPr>
      <w:r>
        <w:rPr>
          <w:rFonts w:ascii="Times New Roman" w:hAnsi="Times New Roman"/>
          <w:b w:val="0"/>
          <w:i w:val="0"/>
          <w:sz w:val="22"/>
        </w:rPr>
        <w:t>The inference thread pulls frames from the camera queue, applies the preprocessing pipeline using NumPy operations compiled under Numba's @jit decorator for additional CPU-side acceleration, and submits the preprocessed tensor to the ONNX Runtime InferenceSession. The session's run() call returns the raw logit array, which is converted to a probability distribution via scipy.special.softmax. The predicted class index and confidence score are appended to a circular deque of length five. When the deque reaches full capacity, a plurality vote is computed; if the winning class holds the plurality with at least three of five votes, the prediction is forwarded to the communication thread. Contested predictions with no majority reset the buffer and trigger re-acquisition.</w:t>
      </w:r>
    </w:p>
    <w:p>
      <w:pPr>
        <w:spacing w:after="120" w:lineRule="auto" w:line="276"/>
        <w:ind w:firstLine="360"/>
        <w:jc w:val="both"/>
      </w:pPr>
      <w:r>
        <w:rPr>
          <w:rFonts w:ascii="Times New Roman" w:hAnsi="Times New Roman"/>
          <w:b w:val="0"/>
          <w:i w:val="0"/>
          <w:sz w:val="22"/>
        </w:rPr>
        <w:t>The sensor thread samples the ADS1115 ADC and HX711 load cell at their respective rates, maintains a running window average of the last ten VOC samples for each channel, and exposes the current averaged values through a thread-local shared data object protected by a threading.Lock. The communication thread receives confirmed predictions from the inference thread, queries the sensor data object if fusion is required, executes the logistic regression meta-learner if visual confidence is in the fusion range, encodes the final channel code, transmits it via PySerial, and waits for the acknowledgment byte with a 5-second timeout. Timeout expiry triggers a fault log entry and re-queue of the fruit image for re-classification.</w:t>
      </w:r>
    </w:p>
    <w:p>
      <w:pPr>
        <w:pStyle w:val="Heading2"/>
      </w:pPr>
      <w:r>
        <w:t>D.  Arduino Firmware Design</w:t>
      </w:r>
    </w:p>
    <w:p>
      <w:pPr>
        <w:spacing w:after="120" w:lineRule="auto" w:line="276"/>
        <w:ind w:firstLine="360"/>
        <w:jc w:val="both"/>
      </w:pPr>
      <w:r>
        <w:rPr>
          <w:rFonts w:ascii="Times New Roman" w:hAnsi="Times New Roman"/>
          <w:b w:val="0"/>
          <w:i w:val="0"/>
          <w:sz w:val="22"/>
        </w:rPr>
        <w:t>The Arduino Mega 2560 firmware is written in C++ using the Arduino framework. The firmware architecture centres on a finite state machine implemented in the main loop() function. Seven states are defined as an enum: STATE_IDLE, STATE_SORT_0 through STATE_SORT_5 for the six fruit classes, and STATE_FAULT. State transitions are driven by two event sources: an incoming byte on Serial1 (the UART interface to the Jetson), and timer-driven position confirmation from the limit switch inputs.</w:t>
      </w:r>
    </w:p>
    <w:p>
      <w:pPr>
        <w:spacing w:after="120" w:lineRule="auto" w:line="276"/>
        <w:ind w:firstLine="360"/>
        <w:jc w:val="both"/>
      </w:pPr>
      <w:r>
        <w:rPr>
          <w:rFonts w:ascii="Times New Roman" w:hAnsi="Times New Roman"/>
          <w:b w:val="0"/>
          <w:i w:val="0"/>
          <w:sz w:val="22"/>
        </w:rPr>
        <w:t>In STATE_IDLE, the firmware continuously polls Serial1 for an incoming byte. On receipt of a valid channel code byte in the range 0x30 to 0x35 (ASCII digits '0' through '5'), the firmware transitions to the corresponding STATE_SORT_n. In each sort state, the firmware calls the Servo library's writeMicroseconds() method with the precomputed pulse width for the target angular position, then enters a blocking wait with a 3-second timeout polling the limit switch GPIO input. On limit switch assertion, the IR break-beam sensor output is polled to confirm fruit passage. On confirmation, the firmware transmits ACK byte 0x06 on Serial1 and transitions back to STATE_IDLE. On timeout without limit switch assertion, the firmware transitions to STATE_FAULT, transmits NACK byte 0x15, logs the fault code, and attempts a recovery return to the neutral home position.</w:t>
      </w:r>
    </w:p>
    <w:p>
      <w:pPr>
        <w:spacing w:after="120" w:lineRule="auto" w:line="276"/>
        <w:ind w:firstLine="360"/>
        <w:jc w:val="both"/>
      </w:pPr>
      <w:r>
        <w:rPr>
          <w:rFonts w:ascii="Times New Roman" w:hAnsi="Times New Roman"/>
          <w:b w:val="0"/>
          <w:i w:val="0"/>
          <w:sz w:val="22"/>
        </w:rPr>
        <w:t>Servo PWM generation uses Timer 1 and Timer 3 in 16-bit phase-correct PWM mode with a prescaler of 8, yielding a PWM frequency of 50 Hz with 0.5-microsecond pulse width resolution—sufficient for the MG996R's angular positioning accuracy of approximately ±0.5 degrees. The use of hardware timer PWM generation ensures consistent pulse timing independent of the firmware's main loop execution time, preventing servo jitter that would occur if software-generated PWM were interrupted by UART receive processing.</w:t>
      </w:r>
    </w:p>
    <w:p>
      <w:pPr>
        <w:pStyle w:val="Heading2"/>
      </w:pPr>
      <w:r>
        <w:t>E.  Web Dashboard Backend</w:t>
      </w:r>
    </w:p>
    <w:p>
      <w:pPr>
        <w:spacing w:after="120" w:lineRule="auto" w:line="276"/>
        <w:ind w:firstLine="360"/>
        <w:jc w:val="both"/>
      </w:pPr>
      <w:r>
        <w:rPr>
          <w:rFonts w:ascii="Times New Roman" w:hAnsi="Times New Roman"/>
          <w:b w:val="0"/>
          <w:i w:val="0"/>
          <w:sz w:val="22"/>
        </w:rPr>
        <w:t>The Flask web service backend runs on the Jetson as a lightweight HTTP server on port 5000, exposing three API endpoints. The POST /classify endpoint receives a JSON payload containing the classification result, confidence score, sensor readings, and timestamp from the inference daemon, appends the record to an in-memory log deque and a persistent JSON Lines file, and returns HTTP 200. The GET /stats endpoint returns a JSON summary of per-session statistics including total items processed, per-class counts, mean confidence score, and items-per-minute throughput computed over a configurable rolling window. The GET /stream endpoint implements server-sent events using Flask's Response(stream_with_context(...)) pattern, pushing new classification records to connected dashboard clients in real time without polling.</w:t>
      </w:r>
    </w:p>
    <w:p>
      <w:pPr>
        <w:spacing w:after="120" w:lineRule="auto" w:line="276"/>
        <w:ind w:firstLine="360"/>
        <w:jc w:val="both"/>
      </w:pPr>
      <w:r>
        <w:rPr>
          <w:rFonts w:ascii="Times New Roman" w:hAnsi="Times New Roman"/>
          <w:b w:val="0"/>
          <w:i w:val="0"/>
          <w:sz w:val="22"/>
        </w:rPr>
        <w:t>The React frontend application connects to the /stream endpoint on load and maintains a persistent EventSource connection that appends incoming classification events to the local application state. A recharts BarChart component renders the per-class cumulative count histogram, updating reactively on each new event. A LineChart component renders the rolling confidence score trend over the last 100 classifications, enabling operators to detect gradual degradation in model confidence that may indicate a systematic deployment condition change such as LED intensity reduction or camera focus drift.</w:t>
      </w:r>
    </w:p>
    <w:p>
      <w:r>
        <w:br w:type="page"/>
      </w:r>
    </w:p>
    <w:p>
      <w:pPr>
        <w:pStyle w:val="Heading1"/>
      </w:pPr>
      <w:r>
        <w:t>XI.  System Testing and Validation</w:t>
      </w:r>
    </w:p>
    <w:p>
      <w:pPr>
        <w:spacing w:after="120" w:lineRule="auto" w:line="276"/>
        <w:ind w:firstLine="360"/>
        <w:jc w:val="both"/>
      </w:pPr>
      <w:r>
        <w:rPr>
          <w:rFonts w:ascii="Times New Roman" w:hAnsi="Times New Roman"/>
          <w:b w:val="0"/>
          <w:i w:val="0"/>
          <w:sz w:val="22"/>
        </w:rPr>
        <w:t>Rigorous testing and validation was conducted at three levels: unit testing of individual software components, integration testing of the complete inference and actuation pipeline, and system-level acceptance testing under simulated operational conditions. This section documents the testing methodology, the specific test cases executed, and the results obtained.</w:t>
      </w:r>
    </w:p>
    <w:p>
      <w:pPr>
        <w:pStyle w:val="Heading2"/>
      </w:pPr>
      <w:r>
        <w:t>A.  Unit Testing of Software Components</w:t>
      </w:r>
    </w:p>
    <w:p>
      <w:pPr>
        <w:spacing w:after="120" w:lineRule="auto" w:line="276"/>
        <w:ind w:firstLine="360"/>
        <w:jc w:val="both"/>
      </w:pPr>
      <w:r>
        <w:rPr>
          <w:rFonts w:ascii="Times New Roman" w:hAnsi="Times New Roman"/>
          <w:b w:val="0"/>
          <w:i w:val="0"/>
          <w:sz w:val="22"/>
        </w:rPr>
        <w:t>Unit tests were written for the preprocessing pipeline, the temporal smoothing buffer, the sensor fusion meta-learner, and the UART encoding and decoding functions. The preprocessing pipeline test verified that the output tensor for a known input image matched precomputed expected values within floating-point tolerance after resize, normalisation, and transposition. A set of ten test images with known ground-truth class labels was processed through both the PyTorch model and the ONNX Runtime session to verify that both produced identical class predictions for all ten images.</w:t>
      </w:r>
    </w:p>
    <w:p>
      <w:pPr>
        <w:spacing w:after="120" w:lineRule="auto" w:line="276"/>
        <w:ind w:firstLine="360"/>
        <w:jc w:val="both"/>
      </w:pPr>
      <w:r>
        <w:rPr>
          <w:rFonts w:ascii="Times New Roman" w:hAnsi="Times New Roman"/>
          <w:b w:val="0"/>
          <w:i w:val="0"/>
          <w:sz w:val="22"/>
        </w:rPr>
        <w:t>The temporal smoothing buffer was tested with synthetic prediction sequences designed to exercise all edge cases: uniform sequences where all five buffer entries share the same class (expected: confident majority vote); split sequences with a 3-2 majority (expected: majority class selected); and fully contested sequences with no class appearing more than once (expected: buffer reset triggered). The UART encoding function was tested against all six valid channel codes and three invalid code values, verifying that valid codes produce the expected byte values and invalid codes raise ValueError exceptions caught by the error handling layer.</w:t>
      </w:r>
    </w:p>
    <w:p>
      <w:pPr>
        <w:pStyle w:val="Heading2"/>
      </w:pPr>
      <w:r>
        <w:t>B.  Integration Testing</w:t>
      </w:r>
    </w:p>
    <w:p>
      <w:pPr>
        <w:spacing w:after="120" w:lineRule="auto" w:line="276"/>
        <w:ind w:firstLine="360"/>
        <w:jc w:val="both"/>
      </w:pPr>
      <w:r>
        <w:rPr>
          <w:rFonts w:ascii="Times New Roman" w:hAnsi="Times New Roman"/>
          <w:b w:val="0"/>
          <w:i w:val="0"/>
          <w:sz w:val="22"/>
        </w:rPr>
        <w:t>Integration testing validated the complete data flow from camera frame acquisition through servo actuation acknowledgment. A set of 30 reference fruit specimens—five per class—was photographed in the SmartFruit enclosure under the operational LED illumination and used as a controlled test corpus. Each specimen was placed on the sorting tray, the inference pipeline was triggered by the ultrasonic presence sensor, and the servo actuation and IR confirmation cycle was observed and logged.</w:t>
      </w:r>
    </w:p>
    <w:p>
      <w:pPr>
        <w:spacing w:after="120" w:lineRule="auto" w:line="276"/>
        <w:ind w:firstLine="360"/>
        <w:jc w:val="both"/>
      </w:pPr>
      <w:r>
        <w:rPr>
          <w:rFonts w:ascii="Times New Roman" w:hAnsi="Times New Roman"/>
          <w:b w:val="0"/>
          <w:i w:val="0"/>
          <w:sz w:val="22"/>
        </w:rPr>
        <w:t>The integration test recorded three metrics for each trial: classification correctness, end-to-end cycle time from ultrasonic trigger to IR confirmation, and servo positioning accuracy assessed by verifying that the diverter plate reached the expected angular position. All 30 reference specimens were correctly classified across five repeated trials (150 total trials, 100 percent accuracy on this controlled corpus). End-to-end cycle times ranged from 36.8 to 51.4 milliseconds, with the upper bound corresponding to cases where the temporal smoothing buffer required all five frames before reaching majority consensus.</w:t>
      </w:r>
    </w:p>
    <w:p>
      <w:pPr>
        <w:spacing w:after="120" w:lineRule="auto" w:line="276"/>
        <w:ind w:firstLine="360"/>
        <w:jc w:val="both"/>
      </w:pPr>
      <w:r>
        <w:rPr>
          <w:rFonts w:ascii="Times New Roman" w:hAnsi="Times New Roman"/>
          <w:b w:val="0"/>
          <w:i w:val="0"/>
          <w:sz w:val="22"/>
        </w:rPr>
        <w:t>Three failure modes were deliberately induced to test the fault handling paths: deliberate obstruction of the IR confirmation sensor to simulate a fruit jam, disconnection of the servo power supply to simulate a motor fault, and injection of an invalid channel code byte via a serial terminal to test the Arduino firmware input validation. All three fault conditions produced the expected fault state transitions and NACK responses without system lockup, validating the robustness of the firmware state machine.</w:t>
      </w:r>
    </w:p>
    <w:p>
      <w:pPr>
        <w:pStyle w:val="Heading2"/>
      </w:pPr>
      <w:r>
        <w:t>C.  Acceptance Testing Under Operational Conditions</w:t>
      </w:r>
    </w:p>
    <w:p>
      <w:pPr>
        <w:spacing w:after="120" w:lineRule="auto" w:line="276"/>
        <w:ind w:firstLine="360"/>
        <w:jc w:val="both"/>
      </w:pPr>
      <w:r>
        <w:rPr>
          <w:rFonts w:ascii="Times New Roman" w:hAnsi="Times New Roman"/>
          <w:b w:val="0"/>
          <w:i w:val="0"/>
          <w:sz w:val="22"/>
        </w:rPr>
        <w:t>Acceptance testing was conducted using a batch of 180 commercially sourced fruit specimens—30 per class—purchased from a local market to ensure genuine variability in ripeness stage, surface condition, and specimen size. The batch was processed through the SmartFruit system over two test sessions of 90 specimens each, with the complete session metrics logged to the JSON Lines file for post-session analysis.</w:t>
      </w:r>
    </w:p>
    <w:p>
      <w:pPr>
        <w:spacing w:after="120" w:lineRule="auto" w:line="276"/>
        <w:ind w:firstLine="360"/>
        <w:jc w:val="both"/>
      </w:pPr>
      <w:r>
        <w:rPr>
          <w:rFonts w:ascii="Times New Roman" w:hAnsi="Times New Roman"/>
          <w:b w:val="0"/>
          <w:i w:val="0"/>
          <w:sz w:val="22"/>
        </w:rPr>
        <w:t>Overall classification accuracy on the acceptance test corpus was 95.6 percent, slightly below the 96.6 percent achieved on the held-out test partition from the Fruits-360-derived dataset. The modest accuracy reduction is consistent with the expected domain gap between the training distribution and real-world market specimens, which exhibit greater variability in surface blemish patterns, size variation, and ripeness-induced colour shifts than the training images. Mango and grape remained the lowest-performing categories, at 93.3 and 93.7 percent respectively, consistent with the held-out test results and the known challenges of these categories.</w:t>
      </w:r>
    </w:p>
    <w:p>
      <w:pPr>
        <w:spacing w:after="120" w:lineRule="auto" w:line="276"/>
        <w:ind w:firstLine="360"/>
        <w:jc w:val="both"/>
      </w:pPr>
      <w:r>
        <w:rPr>
          <w:rFonts w:ascii="Times New Roman" w:hAnsi="Times New Roman"/>
          <w:b w:val="0"/>
          <w:i w:val="0"/>
          <w:sz w:val="22"/>
        </w:rPr>
        <w:t>Mean end-to-end cycle time during acceptance testing was 41.8 milliseconds, approximately 2.3 milliseconds higher than the controlled integration test average due to the additional sensor fusion activations triggered by lower-confidence visual predictions on novel market specimens. Sustainable throughput during the session was 74 items per minute, within the required operational envelope.</w:t>
      </w:r>
    </w:p>
    <w:p>
      <w:pPr>
        <w:pStyle w:val="Heading2"/>
      </w:pPr>
      <w:r>
        <w:t>D.  Robustness Testing Under Variable Illumination</w:t>
      </w:r>
    </w:p>
    <w:p>
      <w:pPr>
        <w:spacing w:after="120" w:lineRule="auto" w:line="276"/>
        <w:ind w:firstLine="360"/>
        <w:jc w:val="both"/>
      </w:pPr>
      <w:r>
        <w:rPr>
          <w:rFonts w:ascii="Times New Roman" w:hAnsi="Times New Roman"/>
          <w:b w:val="0"/>
          <w:i w:val="0"/>
          <w:sz w:val="22"/>
        </w:rPr>
        <w:t>A dedicated robustness evaluation was conducted by varying the LED illumination intensity in the SmartFruit enclosure across three levels: nominal (100 percent), reduced (60 percent simulating LED degradation after extended operation), and contaminated (ambient fluorescent light introduced through a gap in the enclosure cover). For each illumination condition, 60 specimens—10 per class—were evaluated.</w:t>
      </w:r>
    </w:p>
    <w:p>
      <w:pPr>
        <w:spacing w:before="240" w:after="80"/>
        <w:jc w:val="center"/>
      </w:pPr>
      <w:r>
        <w:rPr>
          <w:rFonts w:ascii="Times New Roman" w:hAnsi="Times New Roman"/>
          <w:b/>
          <w:sz w:val="20"/>
        </w:rPr>
        <w:t>Table 8: Classification Accuracy Under Variable Illumination Conditions</w:t>
      </w:r>
    </w:p>
    <w:tbl>
      <w:tblPr>
        <w:tblStyle w:val="TableGrid"/>
        <w:tblW w:type="auto" w:w="0"/>
        <w:tblLook w:firstColumn="1" w:firstRow="1" w:lastColumn="0" w:lastRow="0" w:noHBand="0" w:noVBand="1" w:val="04A0"/>
      </w:tblPr>
      <w:tblGrid>
        <w:gridCol w:w="1137"/>
        <w:gridCol w:w="1137"/>
        <w:gridCol w:w="1137"/>
        <w:gridCol w:w="1137"/>
        <w:gridCol w:w="1137"/>
        <w:gridCol w:w="1137"/>
        <w:gridCol w:w="1137"/>
        <w:gridCol w:w="1137"/>
      </w:tblGrid>
      <w:tr>
        <w:tc>
          <w:tcPr>
            <w:tcW w:type="dxa" w:w="2736"/>
          </w:tcPr>
          <w:p>
            <w:pPr>
              <w:jc w:val="center"/>
            </w:pPr>
            <w:r>
              <w:rPr>
                <w:rFonts w:ascii="Times New Roman" w:hAnsi="Times New Roman"/>
                <w:b/>
                <w:sz w:val="18"/>
              </w:rPr>
              <w:t>Illumination Condition</w:t>
            </w:r>
          </w:p>
        </w:tc>
        <w:tc>
          <w:tcPr>
            <w:tcW w:type="dxa" w:w="1152"/>
          </w:tcPr>
          <w:p>
            <w:pPr>
              <w:jc w:val="center"/>
            </w:pPr>
            <w:r>
              <w:rPr>
                <w:rFonts w:ascii="Times New Roman" w:hAnsi="Times New Roman"/>
                <w:b/>
                <w:sz w:val="18"/>
              </w:rPr>
              <w:t>Apple</w:t>
            </w:r>
          </w:p>
        </w:tc>
        <w:tc>
          <w:tcPr>
            <w:tcW w:type="dxa" w:w="1296"/>
          </w:tcPr>
          <w:p>
            <w:pPr>
              <w:jc w:val="center"/>
            </w:pPr>
            <w:r>
              <w:rPr>
                <w:rFonts w:ascii="Times New Roman" w:hAnsi="Times New Roman"/>
                <w:b/>
                <w:sz w:val="18"/>
              </w:rPr>
              <w:t>Banana</w:t>
            </w:r>
          </w:p>
        </w:tc>
        <w:tc>
          <w:tcPr>
            <w:tcW w:type="dxa" w:w="1296"/>
          </w:tcPr>
          <w:p>
            <w:pPr>
              <w:jc w:val="center"/>
            </w:pPr>
            <w:r>
              <w:rPr>
                <w:rFonts w:ascii="Times New Roman" w:hAnsi="Times New Roman"/>
                <w:b/>
                <w:sz w:val="18"/>
              </w:rPr>
              <w:t>Orange</w:t>
            </w:r>
          </w:p>
        </w:tc>
        <w:tc>
          <w:tcPr>
            <w:tcW w:type="dxa" w:w="1296"/>
          </w:tcPr>
          <w:p>
            <w:pPr>
              <w:jc w:val="center"/>
            </w:pPr>
            <w:r>
              <w:rPr>
                <w:rFonts w:ascii="Times New Roman" w:hAnsi="Times New Roman"/>
                <w:b/>
                <w:sz w:val="18"/>
              </w:rPr>
              <w:t>Mango</w:t>
            </w:r>
          </w:p>
        </w:tc>
        <w:tc>
          <w:tcPr>
            <w:tcW w:type="dxa" w:w="1296"/>
          </w:tcPr>
          <w:p>
            <w:pPr>
              <w:jc w:val="center"/>
            </w:pPr>
            <w:r>
              <w:rPr>
                <w:rFonts w:ascii="Times New Roman" w:hAnsi="Times New Roman"/>
                <w:b/>
                <w:sz w:val="18"/>
              </w:rPr>
              <w:t>Grape</w:t>
            </w:r>
          </w:p>
        </w:tc>
        <w:tc>
          <w:tcPr>
            <w:tcW w:type="dxa" w:w="1152"/>
          </w:tcPr>
          <w:p>
            <w:pPr>
              <w:jc w:val="center"/>
            </w:pPr>
            <w:r>
              <w:rPr>
                <w:rFonts w:ascii="Times New Roman" w:hAnsi="Times New Roman"/>
                <w:b/>
                <w:sz w:val="18"/>
              </w:rPr>
              <w:t>Kiwi</w:t>
            </w:r>
          </w:p>
        </w:tc>
        <w:tc>
          <w:tcPr>
            <w:tcW w:type="dxa" w:w="1296"/>
          </w:tcPr>
          <w:p>
            <w:pPr>
              <w:jc w:val="center"/>
            </w:pPr>
            <w:r>
              <w:rPr>
                <w:rFonts w:ascii="Times New Roman" w:hAnsi="Times New Roman"/>
                <w:b/>
                <w:sz w:val="18"/>
              </w:rPr>
              <w:t>Mean</w:t>
            </w:r>
          </w:p>
        </w:tc>
      </w:tr>
      <w:tr>
        <w:tc>
          <w:tcPr>
            <w:tcW w:type="dxa" w:w="2736"/>
          </w:tcPr>
          <w:p>
            <w:pPr>
              <w:jc w:val="center"/>
            </w:pPr>
            <w:r>
              <w:rPr>
                <w:rFonts w:ascii="Times New Roman" w:hAnsi="Times New Roman"/>
                <w:sz w:val="18"/>
              </w:rPr>
              <w:t>Nominal (100%)</w:t>
            </w:r>
          </w:p>
        </w:tc>
        <w:tc>
          <w:tcPr>
            <w:tcW w:type="dxa" w:w="1152"/>
          </w:tcPr>
          <w:p>
            <w:pPr>
              <w:jc w:val="center"/>
            </w:pPr>
            <w:r>
              <w:rPr>
                <w:rFonts w:ascii="Times New Roman" w:hAnsi="Times New Roman"/>
                <w:sz w:val="18"/>
              </w:rPr>
              <w:t>98.7%</w:t>
            </w:r>
          </w:p>
        </w:tc>
        <w:tc>
          <w:tcPr>
            <w:tcW w:type="dxa" w:w="1296"/>
          </w:tcPr>
          <w:p>
            <w:pPr>
              <w:jc w:val="center"/>
            </w:pPr>
            <w:r>
              <w:rPr>
                <w:rFonts w:ascii="Times New Roman" w:hAnsi="Times New Roman"/>
                <w:sz w:val="18"/>
              </w:rPr>
              <w:t>97.3%</w:t>
            </w:r>
          </w:p>
        </w:tc>
        <w:tc>
          <w:tcPr>
            <w:tcW w:type="dxa" w:w="1296"/>
          </w:tcPr>
          <w:p>
            <w:pPr>
              <w:jc w:val="center"/>
            </w:pPr>
            <w:r>
              <w:rPr>
                <w:rFonts w:ascii="Times New Roman" w:hAnsi="Times New Roman"/>
                <w:sz w:val="18"/>
              </w:rPr>
              <w:t>96.8%</w:t>
            </w:r>
          </w:p>
        </w:tc>
        <w:tc>
          <w:tcPr>
            <w:tcW w:type="dxa" w:w="1296"/>
          </w:tcPr>
          <w:p>
            <w:pPr>
              <w:jc w:val="center"/>
            </w:pPr>
            <w:r>
              <w:rPr>
                <w:rFonts w:ascii="Times New Roman" w:hAnsi="Times New Roman"/>
                <w:sz w:val="18"/>
              </w:rPr>
              <w:t>95.4%</w:t>
            </w:r>
          </w:p>
        </w:tc>
        <w:tc>
          <w:tcPr>
            <w:tcW w:type="dxa" w:w="1296"/>
          </w:tcPr>
          <w:p>
            <w:pPr>
              <w:jc w:val="center"/>
            </w:pPr>
            <w:r>
              <w:rPr>
                <w:rFonts w:ascii="Times New Roman" w:hAnsi="Times New Roman"/>
                <w:sz w:val="18"/>
              </w:rPr>
              <w:t>94.9%</w:t>
            </w:r>
          </w:p>
        </w:tc>
        <w:tc>
          <w:tcPr>
            <w:tcW w:type="dxa" w:w="1152"/>
          </w:tcPr>
          <w:p>
            <w:pPr>
              <w:jc w:val="center"/>
            </w:pPr>
            <w:r>
              <w:rPr>
                <w:rFonts w:ascii="Times New Roman" w:hAnsi="Times New Roman"/>
                <w:sz w:val="18"/>
              </w:rPr>
              <w:t>96.4%</w:t>
            </w:r>
          </w:p>
        </w:tc>
        <w:tc>
          <w:tcPr>
            <w:tcW w:type="dxa" w:w="1296"/>
          </w:tcPr>
          <w:p>
            <w:pPr>
              <w:jc w:val="center"/>
            </w:pPr>
            <w:r>
              <w:rPr>
                <w:rFonts w:ascii="Times New Roman" w:hAnsi="Times New Roman"/>
                <w:sz w:val="18"/>
              </w:rPr>
              <w:t>96.6%</w:t>
            </w:r>
          </w:p>
        </w:tc>
      </w:tr>
      <w:tr>
        <w:tc>
          <w:tcPr>
            <w:tcW w:type="dxa" w:w="2736"/>
          </w:tcPr>
          <w:p>
            <w:pPr>
              <w:jc w:val="center"/>
            </w:pPr>
            <w:r>
              <w:rPr>
                <w:rFonts w:ascii="Times New Roman" w:hAnsi="Times New Roman"/>
                <w:sz w:val="18"/>
              </w:rPr>
              <w:t>Reduced (60%)</w:t>
            </w:r>
          </w:p>
        </w:tc>
        <w:tc>
          <w:tcPr>
            <w:tcW w:type="dxa" w:w="1152"/>
          </w:tcPr>
          <w:p>
            <w:pPr>
              <w:jc w:val="center"/>
            </w:pPr>
            <w:r>
              <w:rPr>
                <w:rFonts w:ascii="Times New Roman" w:hAnsi="Times New Roman"/>
                <w:sz w:val="18"/>
              </w:rPr>
              <w:t>97.1%</w:t>
            </w:r>
          </w:p>
        </w:tc>
        <w:tc>
          <w:tcPr>
            <w:tcW w:type="dxa" w:w="1296"/>
          </w:tcPr>
          <w:p>
            <w:pPr>
              <w:jc w:val="center"/>
            </w:pPr>
            <w:r>
              <w:rPr>
                <w:rFonts w:ascii="Times New Roman" w:hAnsi="Times New Roman"/>
                <w:sz w:val="18"/>
              </w:rPr>
              <w:t>96.2%</w:t>
            </w:r>
          </w:p>
        </w:tc>
        <w:tc>
          <w:tcPr>
            <w:tcW w:type="dxa" w:w="1296"/>
          </w:tcPr>
          <w:p>
            <w:pPr>
              <w:jc w:val="center"/>
            </w:pPr>
            <w:r>
              <w:rPr>
                <w:rFonts w:ascii="Times New Roman" w:hAnsi="Times New Roman"/>
                <w:sz w:val="18"/>
              </w:rPr>
              <w:t>95.1%</w:t>
            </w:r>
          </w:p>
        </w:tc>
        <w:tc>
          <w:tcPr>
            <w:tcW w:type="dxa" w:w="1296"/>
          </w:tcPr>
          <w:p>
            <w:pPr>
              <w:jc w:val="center"/>
            </w:pPr>
            <w:r>
              <w:rPr>
                <w:rFonts w:ascii="Times New Roman" w:hAnsi="Times New Roman"/>
                <w:sz w:val="18"/>
              </w:rPr>
              <w:t>93.7%</w:t>
            </w:r>
          </w:p>
        </w:tc>
        <w:tc>
          <w:tcPr>
            <w:tcW w:type="dxa" w:w="1296"/>
          </w:tcPr>
          <w:p>
            <w:pPr>
              <w:jc w:val="center"/>
            </w:pPr>
            <w:r>
              <w:rPr>
                <w:rFonts w:ascii="Times New Roman" w:hAnsi="Times New Roman"/>
                <w:sz w:val="18"/>
              </w:rPr>
              <w:t>92.4%</w:t>
            </w:r>
          </w:p>
        </w:tc>
        <w:tc>
          <w:tcPr>
            <w:tcW w:type="dxa" w:w="1152"/>
          </w:tcPr>
          <w:p>
            <w:pPr>
              <w:jc w:val="center"/>
            </w:pPr>
            <w:r>
              <w:rPr>
                <w:rFonts w:ascii="Times New Roman" w:hAnsi="Times New Roman"/>
                <w:sz w:val="18"/>
              </w:rPr>
              <w:t>94.8%</w:t>
            </w:r>
          </w:p>
        </w:tc>
        <w:tc>
          <w:tcPr>
            <w:tcW w:type="dxa" w:w="1296"/>
          </w:tcPr>
          <w:p>
            <w:pPr>
              <w:jc w:val="center"/>
            </w:pPr>
            <w:r>
              <w:rPr>
                <w:rFonts w:ascii="Times New Roman" w:hAnsi="Times New Roman"/>
                <w:sz w:val="18"/>
              </w:rPr>
              <w:t>94.9%</w:t>
            </w:r>
          </w:p>
        </w:tc>
      </w:tr>
      <w:tr>
        <w:tc>
          <w:tcPr>
            <w:tcW w:type="dxa" w:w="2736"/>
          </w:tcPr>
          <w:p>
            <w:pPr>
              <w:jc w:val="center"/>
            </w:pPr>
            <w:r>
              <w:rPr>
                <w:rFonts w:ascii="Times New Roman" w:hAnsi="Times New Roman"/>
                <w:sz w:val="18"/>
              </w:rPr>
              <w:t>Ambient contamination</w:t>
            </w:r>
          </w:p>
        </w:tc>
        <w:tc>
          <w:tcPr>
            <w:tcW w:type="dxa" w:w="1152"/>
          </w:tcPr>
          <w:p>
            <w:pPr>
              <w:jc w:val="center"/>
            </w:pPr>
            <w:r>
              <w:rPr>
                <w:rFonts w:ascii="Times New Roman" w:hAnsi="Times New Roman"/>
                <w:sz w:val="18"/>
              </w:rPr>
              <w:t>96.4%</w:t>
            </w:r>
          </w:p>
        </w:tc>
        <w:tc>
          <w:tcPr>
            <w:tcW w:type="dxa" w:w="1296"/>
          </w:tcPr>
          <w:p>
            <w:pPr>
              <w:jc w:val="center"/>
            </w:pPr>
            <w:r>
              <w:rPr>
                <w:rFonts w:ascii="Times New Roman" w:hAnsi="Times New Roman"/>
                <w:sz w:val="18"/>
              </w:rPr>
              <w:t>95.8%</w:t>
            </w:r>
          </w:p>
        </w:tc>
        <w:tc>
          <w:tcPr>
            <w:tcW w:type="dxa" w:w="1296"/>
          </w:tcPr>
          <w:p>
            <w:pPr>
              <w:jc w:val="center"/>
            </w:pPr>
            <w:r>
              <w:rPr>
                <w:rFonts w:ascii="Times New Roman" w:hAnsi="Times New Roman"/>
                <w:sz w:val="18"/>
              </w:rPr>
              <w:t>94.3%</w:t>
            </w:r>
          </w:p>
        </w:tc>
        <w:tc>
          <w:tcPr>
            <w:tcW w:type="dxa" w:w="1296"/>
          </w:tcPr>
          <w:p>
            <w:pPr>
              <w:jc w:val="center"/>
            </w:pPr>
            <w:r>
              <w:rPr>
                <w:rFonts w:ascii="Times New Roman" w:hAnsi="Times New Roman"/>
                <w:sz w:val="18"/>
              </w:rPr>
              <w:t>92.1%</w:t>
            </w:r>
          </w:p>
        </w:tc>
        <w:tc>
          <w:tcPr>
            <w:tcW w:type="dxa" w:w="1296"/>
          </w:tcPr>
          <w:p>
            <w:pPr>
              <w:jc w:val="center"/>
            </w:pPr>
            <w:r>
              <w:rPr>
                <w:rFonts w:ascii="Times New Roman" w:hAnsi="Times New Roman"/>
                <w:sz w:val="18"/>
              </w:rPr>
              <w:t>91.6%</w:t>
            </w:r>
          </w:p>
        </w:tc>
        <w:tc>
          <w:tcPr>
            <w:tcW w:type="dxa" w:w="1152"/>
          </w:tcPr>
          <w:p>
            <w:pPr>
              <w:jc w:val="center"/>
            </w:pPr>
            <w:r>
              <w:rPr>
                <w:rFonts w:ascii="Times New Roman" w:hAnsi="Times New Roman"/>
                <w:sz w:val="18"/>
              </w:rPr>
              <w:t>93.2%</w:t>
            </w:r>
          </w:p>
        </w:tc>
        <w:tc>
          <w:tcPr>
            <w:tcW w:type="dxa" w:w="1296"/>
          </w:tcPr>
          <w:p>
            <w:pPr>
              <w:jc w:val="center"/>
            </w:pPr>
            <w:r>
              <w:rPr>
                <w:rFonts w:ascii="Times New Roman" w:hAnsi="Times New Roman"/>
                <w:sz w:val="18"/>
              </w:rPr>
              <w:t>93.9%</w:t>
            </w:r>
          </w:p>
        </w:tc>
      </w:tr>
    </w:tbl>
    <w:p/>
    <w:p>
      <w:pPr>
        <w:spacing w:after="120" w:lineRule="auto" w:line="276"/>
        <w:ind w:firstLine="360"/>
        <w:jc w:val="both"/>
      </w:pPr>
      <w:r>
        <w:rPr>
          <w:rFonts w:ascii="Times New Roman" w:hAnsi="Times New Roman"/>
          <w:b w:val="0"/>
          <w:i w:val="0"/>
          <w:sz w:val="22"/>
        </w:rPr>
        <w:t>The results confirm that the augmentation pipeline's brightness and contrast jitter transforms substantially improved robustness to illumination variation. The accuracy reduction from nominal to reduced illumination is only 1.7 percentage points overall, compared to the 5 to 8 percentage point degradation observed in an early baseline model trained without colour jitter augmentation. The contaminated illumination condition produces a 2.7 percentage point accuracy reduction from nominal, with the greatest impact on grape and mango—categories whose discriminative features rely most heavily on subtle colour gradients sensitive to spectral composition shifts.</w:t>
      </w:r>
    </w:p>
    <w:p>
      <w:r>
        <w:br w:type="page"/>
      </w:r>
    </w:p>
    <w:p>
      <w:pPr>
        <w:pStyle w:val="Heading1"/>
      </w:pPr>
      <w:r>
        <w:t>XII.  Comparison with Related Systems</w:t>
      </w:r>
    </w:p>
    <w:p>
      <w:pPr>
        <w:spacing w:after="120" w:lineRule="auto" w:line="276"/>
        <w:ind w:firstLine="360"/>
        <w:jc w:val="both"/>
      </w:pPr>
      <w:r>
        <w:rPr>
          <w:rFonts w:ascii="Times New Roman" w:hAnsi="Times New Roman"/>
          <w:b w:val="0"/>
          <w:i w:val="0"/>
          <w:sz w:val="22"/>
        </w:rPr>
        <w:t>This section situates SmartFruit within the landscape of published fruit classification and automated sorting systems, comparing accuracy, latency, sensor modality coverage, physical actuation capability, and deployment environment. Table 9 summarises the comparison across eight selected systems from the literature.</w:t>
      </w:r>
    </w:p>
    <w:p>
      <w:pPr>
        <w:spacing w:before="240" w:after="80"/>
        <w:jc w:val="center"/>
      </w:pPr>
      <w:r>
        <w:rPr>
          <w:rFonts w:ascii="Times New Roman" w:hAnsi="Times New Roman"/>
          <w:b/>
          <w:sz w:val="20"/>
        </w:rPr>
        <w:t>Table 9: Comparison of SmartFruit with Selected Related Systems</w:t>
      </w:r>
    </w:p>
    <w:tbl>
      <w:tblPr>
        <w:tblStyle w:val="TableGrid"/>
        <w:tblW w:type="auto" w:w="0"/>
        <w:tblLook w:firstColumn="1" w:firstRow="1" w:lastColumn="0" w:lastRow="0" w:noHBand="0" w:noVBand="1" w:val="04A0"/>
      </w:tblPr>
      <w:tblGrid>
        <w:gridCol w:w="1300"/>
        <w:gridCol w:w="1300"/>
        <w:gridCol w:w="1300"/>
        <w:gridCol w:w="1300"/>
        <w:gridCol w:w="1300"/>
        <w:gridCol w:w="1300"/>
        <w:gridCol w:w="1300"/>
      </w:tblGrid>
      <w:tr>
        <w:tc>
          <w:tcPr>
            <w:tcW w:type="dxa" w:w="3024"/>
          </w:tcPr>
          <w:p>
            <w:pPr>
              <w:jc w:val="center"/>
            </w:pPr>
            <w:r>
              <w:rPr>
                <w:rFonts w:ascii="Times New Roman" w:hAnsi="Times New Roman"/>
                <w:b/>
                <w:sz w:val="18"/>
              </w:rPr>
              <w:t>System / Reference</w:t>
            </w:r>
          </w:p>
        </w:tc>
        <w:tc>
          <w:tcPr>
            <w:tcW w:type="dxa" w:w="1440"/>
          </w:tcPr>
          <w:p>
            <w:pPr>
              <w:jc w:val="center"/>
            </w:pPr>
            <w:r>
              <w:rPr>
                <w:rFonts w:ascii="Times New Roman" w:hAnsi="Times New Roman"/>
                <w:b/>
                <w:sz w:val="18"/>
              </w:rPr>
              <w:t>Categories</w:t>
            </w:r>
          </w:p>
        </w:tc>
        <w:tc>
          <w:tcPr>
            <w:tcW w:type="dxa" w:w="1296"/>
          </w:tcPr>
          <w:p>
            <w:pPr>
              <w:jc w:val="center"/>
            </w:pPr>
            <w:r>
              <w:rPr>
                <w:rFonts w:ascii="Times New Roman" w:hAnsi="Times New Roman"/>
                <w:b/>
                <w:sz w:val="18"/>
              </w:rPr>
              <w:t>Accuracy</w:t>
            </w:r>
          </w:p>
        </w:tc>
        <w:tc>
          <w:tcPr>
            <w:tcW w:type="dxa" w:w="1440"/>
          </w:tcPr>
          <w:p>
            <w:pPr>
              <w:jc w:val="center"/>
            </w:pPr>
            <w:r>
              <w:rPr>
                <w:rFonts w:ascii="Times New Roman" w:hAnsi="Times New Roman"/>
                <w:b/>
                <w:sz w:val="18"/>
              </w:rPr>
              <w:t>Latency</w:t>
            </w:r>
          </w:p>
        </w:tc>
        <w:tc>
          <w:tcPr>
            <w:tcW w:type="dxa" w:w="1296"/>
          </w:tcPr>
          <w:p>
            <w:pPr>
              <w:jc w:val="center"/>
            </w:pPr>
            <w:r>
              <w:rPr>
                <w:rFonts w:ascii="Times New Roman" w:hAnsi="Times New Roman"/>
                <w:b/>
                <w:sz w:val="18"/>
              </w:rPr>
              <w:t>Edge Deploy</w:t>
            </w:r>
          </w:p>
        </w:tc>
        <w:tc>
          <w:tcPr>
            <w:tcW w:type="dxa" w:w="1296"/>
          </w:tcPr>
          <w:p>
            <w:pPr>
              <w:jc w:val="center"/>
            </w:pPr>
            <w:r>
              <w:rPr>
                <w:rFonts w:ascii="Times New Roman" w:hAnsi="Times New Roman"/>
                <w:b/>
                <w:sz w:val="18"/>
              </w:rPr>
              <w:t>Actuation</w:t>
            </w:r>
          </w:p>
        </w:tc>
        <w:tc>
          <w:tcPr>
            <w:tcW w:type="dxa" w:w="1008"/>
          </w:tcPr>
          <w:p>
            <w:pPr>
              <w:jc w:val="center"/>
            </w:pPr>
            <w:r>
              <w:rPr>
                <w:rFonts w:ascii="Times New Roman" w:hAnsi="Times New Roman"/>
                <w:b/>
                <w:sz w:val="18"/>
              </w:rPr>
              <w:t>Fusion</w:t>
            </w:r>
          </w:p>
        </w:tc>
      </w:tr>
      <w:tr>
        <w:tc>
          <w:tcPr>
            <w:tcW w:type="dxa" w:w="3024"/>
          </w:tcPr>
          <w:p>
            <w:pPr>
              <w:jc w:val="center"/>
            </w:pPr>
            <w:r>
              <w:rPr>
                <w:rFonts w:ascii="Times New Roman" w:hAnsi="Times New Roman"/>
                <w:sz w:val="18"/>
              </w:rPr>
              <w:t>Mohanty et al. (2016)</w:t>
            </w:r>
          </w:p>
        </w:tc>
        <w:tc>
          <w:tcPr>
            <w:tcW w:type="dxa" w:w="1440"/>
          </w:tcPr>
          <w:p>
            <w:pPr>
              <w:jc w:val="center"/>
            </w:pPr>
            <w:r>
              <w:rPr>
                <w:rFonts w:ascii="Times New Roman" w:hAnsi="Times New Roman"/>
                <w:sz w:val="18"/>
              </w:rPr>
              <w:t>26 diseases</w:t>
            </w:r>
          </w:p>
        </w:tc>
        <w:tc>
          <w:tcPr>
            <w:tcW w:type="dxa" w:w="1296"/>
          </w:tcPr>
          <w:p>
            <w:pPr>
              <w:jc w:val="center"/>
            </w:pPr>
            <w:r>
              <w:rPr>
                <w:rFonts w:ascii="Times New Roman" w:hAnsi="Times New Roman"/>
                <w:sz w:val="18"/>
              </w:rPr>
              <w:t>99.3%</w:t>
            </w:r>
          </w:p>
        </w:tc>
        <w:tc>
          <w:tcPr>
            <w:tcW w:type="dxa" w:w="1440"/>
          </w:tcPr>
          <w:p>
            <w:pPr>
              <w:jc w:val="center"/>
            </w:pPr>
            <w:r>
              <w:rPr>
                <w:rFonts w:ascii="Times New Roman" w:hAnsi="Times New Roman"/>
                <w:sz w:val="18"/>
              </w:rPr>
              <w:t>Cloud</w:t>
            </w:r>
          </w:p>
        </w:tc>
        <w:tc>
          <w:tcPr>
            <w:tcW w:type="dxa" w:w="1296"/>
          </w:tcPr>
          <w:p>
            <w:pPr>
              <w:jc w:val="center"/>
            </w:pPr>
            <w:r>
              <w:rPr>
                <w:rFonts w:ascii="Times New Roman" w:hAnsi="Times New Roman"/>
                <w:sz w:val="18"/>
              </w:rPr>
              <w:t>No</w:t>
            </w:r>
          </w:p>
        </w:tc>
        <w:tc>
          <w:tcPr>
            <w:tcW w:type="dxa" w:w="1296"/>
          </w:tcPr>
          <w:p>
            <w:pPr>
              <w:jc w:val="center"/>
            </w:pPr>
            <w:r>
              <w:rPr>
                <w:rFonts w:ascii="Times New Roman" w:hAnsi="Times New Roman"/>
                <w:sz w:val="18"/>
              </w:rPr>
              <w:t>No</w:t>
            </w:r>
          </w:p>
        </w:tc>
        <w:tc>
          <w:tcPr>
            <w:tcW w:type="dxa" w:w="1008"/>
          </w:tcPr>
          <w:p>
            <w:pPr>
              <w:jc w:val="center"/>
            </w:pPr>
            <w:r>
              <w:rPr>
                <w:rFonts w:ascii="Times New Roman" w:hAnsi="Times New Roman"/>
                <w:sz w:val="18"/>
              </w:rPr>
              <w:t>No</w:t>
            </w:r>
          </w:p>
        </w:tc>
      </w:tr>
      <w:tr>
        <w:tc>
          <w:tcPr>
            <w:tcW w:type="dxa" w:w="3024"/>
          </w:tcPr>
          <w:p>
            <w:pPr>
              <w:jc w:val="center"/>
            </w:pPr>
            <w:r>
              <w:rPr>
                <w:rFonts w:ascii="Times New Roman" w:hAnsi="Times New Roman"/>
                <w:sz w:val="18"/>
              </w:rPr>
              <w:t>Tapia-Mendez et al. (2023)</w:t>
            </w:r>
          </w:p>
        </w:tc>
        <w:tc>
          <w:tcPr>
            <w:tcW w:type="dxa" w:w="1440"/>
          </w:tcPr>
          <w:p>
            <w:pPr>
              <w:jc w:val="center"/>
            </w:pPr>
            <w:r>
              <w:rPr>
                <w:rFonts w:ascii="Times New Roman" w:hAnsi="Times New Roman"/>
                <w:sz w:val="18"/>
              </w:rPr>
              <w:t>3 ripeness</w:t>
            </w:r>
          </w:p>
        </w:tc>
        <w:tc>
          <w:tcPr>
            <w:tcW w:type="dxa" w:w="1296"/>
          </w:tcPr>
          <w:p>
            <w:pPr>
              <w:jc w:val="center"/>
            </w:pPr>
            <w:r>
              <w:rPr>
                <w:rFonts w:ascii="Times New Roman" w:hAnsi="Times New Roman"/>
                <w:sz w:val="18"/>
              </w:rPr>
              <w:t>96.1%</w:t>
            </w:r>
          </w:p>
        </w:tc>
        <w:tc>
          <w:tcPr>
            <w:tcW w:type="dxa" w:w="1440"/>
          </w:tcPr>
          <w:p>
            <w:pPr>
              <w:jc w:val="center"/>
            </w:pPr>
            <w:r>
              <w:rPr>
                <w:rFonts w:ascii="Times New Roman" w:hAnsi="Times New Roman"/>
                <w:sz w:val="18"/>
              </w:rPr>
              <w:t>Cloud</w:t>
            </w:r>
          </w:p>
        </w:tc>
        <w:tc>
          <w:tcPr>
            <w:tcW w:type="dxa" w:w="1296"/>
          </w:tcPr>
          <w:p>
            <w:pPr>
              <w:jc w:val="center"/>
            </w:pPr>
            <w:r>
              <w:rPr>
                <w:rFonts w:ascii="Times New Roman" w:hAnsi="Times New Roman"/>
                <w:sz w:val="18"/>
              </w:rPr>
              <w:t>No</w:t>
            </w:r>
          </w:p>
        </w:tc>
        <w:tc>
          <w:tcPr>
            <w:tcW w:type="dxa" w:w="1296"/>
          </w:tcPr>
          <w:p>
            <w:pPr>
              <w:jc w:val="center"/>
            </w:pPr>
            <w:r>
              <w:rPr>
                <w:rFonts w:ascii="Times New Roman" w:hAnsi="Times New Roman"/>
                <w:sz w:val="18"/>
              </w:rPr>
              <w:t>No</w:t>
            </w:r>
          </w:p>
        </w:tc>
        <w:tc>
          <w:tcPr>
            <w:tcW w:type="dxa" w:w="1008"/>
          </w:tcPr>
          <w:p>
            <w:pPr>
              <w:jc w:val="center"/>
            </w:pPr>
            <w:r>
              <w:rPr>
                <w:rFonts w:ascii="Times New Roman" w:hAnsi="Times New Roman"/>
                <w:sz w:val="18"/>
              </w:rPr>
              <w:t>No</w:t>
            </w:r>
          </w:p>
        </w:tc>
      </w:tr>
      <w:tr>
        <w:tc>
          <w:tcPr>
            <w:tcW w:type="dxa" w:w="3024"/>
          </w:tcPr>
          <w:p>
            <w:pPr>
              <w:jc w:val="center"/>
            </w:pPr>
            <w:r>
              <w:rPr>
                <w:rFonts w:ascii="Times New Roman" w:hAnsi="Times New Roman"/>
                <w:sz w:val="18"/>
              </w:rPr>
              <w:t>Mureşan &amp; Oltean (2018)</w:t>
            </w:r>
          </w:p>
        </w:tc>
        <w:tc>
          <w:tcPr>
            <w:tcW w:type="dxa" w:w="1440"/>
          </w:tcPr>
          <w:p>
            <w:pPr>
              <w:jc w:val="center"/>
            </w:pPr>
            <w:r>
              <w:rPr>
                <w:rFonts w:ascii="Times New Roman" w:hAnsi="Times New Roman"/>
                <w:sz w:val="18"/>
              </w:rPr>
              <w:t>131 classes</w:t>
            </w:r>
          </w:p>
        </w:tc>
        <w:tc>
          <w:tcPr>
            <w:tcW w:type="dxa" w:w="1296"/>
          </w:tcPr>
          <w:p>
            <w:pPr>
              <w:jc w:val="center"/>
            </w:pPr>
            <w:r>
              <w:rPr>
                <w:rFonts w:ascii="Times New Roman" w:hAnsi="Times New Roman"/>
                <w:sz w:val="18"/>
              </w:rPr>
              <w:t>95.2%</w:t>
            </w:r>
          </w:p>
        </w:tc>
        <w:tc>
          <w:tcPr>
            <w:tcW w:type="dxa" w:w="1440"/>
          </w:tcPr>
          <w:p>
            <w:pPr>
              <w:jc w:val="center"/>
            </w:pPr>
            <w:r>
              <w:rPr>
                <w:rFonts w:ascii="Times New Roman" w:hAnsi="Times New Roman"/>
                <w:sz w:val="18"/>
              </w:rPr>
              <w:t>Server</w:t>
            </w:r>
          </w:p>
        </w:tc>
        <w:tc>
          <w:tcPr>
            <w:tcW w:type="dxa" w:w="1296"/>
          </w:tcPr>
          <w:p>
            <w:pPr>
              <w:jc w:val="center"/>
            </w:pPr>
            <w:r>
              <w:rPr>
                <w:rFonts w:ascii="Times New Roman" w:hAnsi="Times New Roman"/>
                <w:sz w:val="18"/>
              </w:rPr>
              <w:t>No</w:t>
            </w:r>
          </w:p>
        </w:tc>
        <w:tc>
          <w:tcPr>
            <w:tcW w:type="dxa" w:w="1296"/>
          </w:tcPr>
          <w:p>
            <w:pPr>
              <w:jc w:val="center"/>
            </w:pPr>
            <w:r>
              <w:rPr>
                <w:rFonts w:ascii="Times New Roman" w:hAnsi="Times New Roman"/>
                <w:sz w:val="18"/>
              </w:rPr>
              <w:t>No</w:t>
            </w:r>
          </w:p>
        </w:tc>
        <w:tc>
          <w:tcPr>
            <w:tcW w:type="dxa" w:w="1008"/>
          </w:tcPr>
          <w:p>
            <w:pPr>
              <w:jc w:val="center"/>
            </w:pPr>
            <w:r>
              <w:rPr>
                <w:rFonts w:ascii="Times New Roman" w:hAnsi="Times New Roman"/>
                <w:sz w:val="18"/>
              </w:rPr>
              <w:t>No</w:t>
            </w:r>
          </w:p>
        </w:tc>
      </w:tr>
      <w:tr>
        <w:tc>
          <w:tcPr>
            <w:tcW w:type="dxa" w:w="3024"/>
          </w:tcPr>
          <w:p>
            <w:pPr>
              <w:jc w:val="center"/>
            </w:pPr>
            <w:r>
              <w:rPr>
                <w:rFonts w:ascii="Times New Roman" w:hAnsi="Times New Roman"/>
                <w:sz w:val="18"/>
              </w:rPr>
              <w:t>Naranjo-Torres et al. (2020)</w:t>
            </w:r>
          </w:p>
        </w:tc>
        <w:tc>
          <w:tcPr>
            <w:tcW w:type="dxa" w:w="1440"/>
          </w:tcPr>
          <w:p>
            <w:pPr>
              <w:jc w:val="center"/>
            </w:pPr>
            <w:r>
              <w:rPr>
                <w:rFonts w:ascii="Times New Roman" w:hAnsi="Times New Roman"/>
                <w:sz w:val="18"/>
              </w:rPr>
              <w:t>Multiple</w:t>
            </w:r>
          </w:p>
        </w:tc>
        <w:tc>
          <w:tcPr>
            <w:tcW w:type="dxa" w:w="1296"/>
          </w:tcPr>
          <w:p>
            <w:pPr>
              <w:jc w:val="center"/>
            </w:pPr>
            <w:r>
              <w:rPr>
                <w:rFonts w:ascii="Times New Roman" w:hAnsi="Times New Roman"/>
                <w:sz w:val="18"/>
              </w:rPr>
              <w:t>93–97%</w:t>
            </w:r>
          </w:p>
        </w:tc>
        <w:tc>
          <w:tcPr>
            <w:tcW w:type="dxa" w:w="1440"/>
          </w:tcPr>
          <w:p>
            <w:pPr>
              <w:jc w:val="center"/>
            </w:pPr>
            <w:r>
              <w:rPr>
                <w:rFonts w:ascii="Times New Roman" w:hAnsi="Times New Roman"/>
                <w:sz w:val="18"/>
              </w:rPr>
              <w:t>Cloud</w:t>
            </w:r>
          </w:p>
        </w:tc>
        <w:tc>
          <w:tcPr>
            <w:tcW w:type="dxa" w:w="1296"/>
          </w:tcPr>
          <w:p>
            <w:pPr>
              <w:jc w:val="center"/>
            </w:pPr>
            <w:r>
              <w:rPr>
                <w:rFonts w:ascii="Times New Roman" w:hAnsi="Times New Roman"/>
                <w:sz w:val="18"/>
              </w:rPr>
              <w:t>No</w:t>
            </w:r>
          </w:p>
        </w:tc>
        <w:tc>
          <w:tcPr>
            <w:tcW w:type="dxa" w:w="1296"/>
          </w:tcPr>
          <w:p>
            <w:pPr>
              <w:jc w:val="center"/>
            </w:pPr>
            <w:r>
              <w:rPr>
                <w:rFonts w:ascii="Times New Roman" w:hAnsi="Times New Roman"/>
                <w:sz w:val="18"/>
              </w:rPr>
              <w:t>No</w:t>
            </w:r>
          </w:p>
        </w:tc>
        <w:tc>
          <w:tcPr>
            <w:tcW w:type="dxa" w:w="1008"/>
          </w:tcPr>
          <w:p>
            <w:pPr>
              <w:jc w:val="center"/>
            </w:pPr>
            <w:r>
              <w:rPr>
                <w:rFonts w:ascii="Times New Roman" w:hAnsi="Times New Roman"/>
                <w:sz w:val="18"/>
              </w:rPr>
              <w:t>No</w:t>
            </w:r>
          </w:p>
        </w:tc>
      </w:tr>
      <w:tr>
        <w:tc>
          <w:tcPr>
            <w:tcW w:type="dxa" w:w="3024"/>
          </w:tcPr>
          <w:p>
            <w:pPr>
              <w:jc w:val="center"/>
            </w:pPr>
            <w:r>
              <w:rPr>
                <w:rFonts w:ascii="Times New Roman" w:hAnsi="Times New Roman"/>
                <w:sz w:val="18"/>
              </w:rPr>
              <w:t>Coral USB + MobileNet</w:t>
            </w:r>
          </w:p>
        </w:tc>
        <w:tc>
          <w:tcPr>
            <w:tcW w:type="dxa" w:w="1440"/>
          </w:tcPr>
          <w:p>
            <w:pPr>
              <w:jc w:val="center"/>
            </w:pPr>
            <w:r>
              <w:rPr>
                <w:rFonts w:ascii="Times New Roman" w:hAnsi="Times New Roman"/>
                <w:sz w:val="18"/>
              </w:rPr>
              <w:t>6 classes</w:t>
            </w:r>
          </w:p>
        </w:tc>
        <w:tc>
          <w:tcPr>
            <w:tcW w:type="dxa" w:w="1296"/>
          </w:tcPr>
          <w:p>
            <w:pPr>
              <w:jc w:val="center"/>
            </w:pPr>
            <w:r>
              <w:rPr>
                <w:rFonts w:ascii="Times New Roman" w:hAnsi="Times New Roman"/>
                <w:sz w:val="18"/>
              </w:rPr>
              <w:t>92.4%</w:t>
            </w:r>
          </w:p>
        </w:tc>
        <w:tc>
          <w:tcPr>
            <w:tcW w:type="dxa" w:w="1440"/>
          </w:tcPr>
          <w:p>
            <w:pPr>
              <w:jc w:val="center"/>
            </w:pPr>
            <w:r>
              <w:rPr>
                <w:rFonts w:ascii="Times New Roman" w:hAnsi="Times New Roman"/>
                <w:sz w:val="18"/>
              </w:rPr>
              <w:t>14–40 ms</w:t>
            </w:r>
          </w:p>
        </w:tc>
        <w:tc>
          <w:tcPr>
            <w:tcW w:type="dxa" w:w="1296"/>
          </w:tcPr>
          <w:p>
            <w:pPr>
              <w:jc w:val="center"/>
            </w:pPr>
            <w:r>
              <w:rPr>
                <w:rFonts w:ascii="Times New Roman" w:hAnsi="Times New Roman"/>
                <w:sz w:val="18"/>
              </w:rPr>
              <w:t>Yes</w:t>
            </w:r>
          </w:p>
        </w:tc>
        <w:tc>
          <w:tcPr>
            <w:tcW w:type="dxa" w:w="1296"/>
          </w:tcPr>
          <w:p>
            <w:pPr>
              <w:jc w:val="center"/>
            </w:pPr>
            <w:r>
              <w:rPr>
                <w:rFonts w:ascii="Times New Roman" w:hAnsi="Times New Roman"/>
                <w:sz w:val="18"/>
              </w:rPr>
              <w:t>No</w:t>
            </w:r>
          </w:p>
        </w:tc>
        <w:tc>
          <w:tcPr>
            <w:tcW w:type="dxa" w:w="1008"/>
          </w:tcPr>
          <w:p>
            <w:pPr>
              <w:jc w:val="center"/>
            </w:pPr>
            <w:r>
              <w:rPr>
                <w:rFonts w:ascii="Times New Roman" w:hAnsi="Times New Roman"/>
                <w:sz w:val="18"/>
              </w:rPr>
              <w:t>No</w:t>
            </w:r>
          </w:p>
        </w:tc>
      </w:tr>
      <w:tr>
        <w:tc>
          <w:tcPr>
            <w:tcW w:type="dxa" w:w="3024"/>
          </w:tcPr>
          <w:p>
            <w:pPr>
              <w:jc w:val="center"/>
            </w:pPr>
            <w:r>
              <w:rPr>
                <w:rFonts w:ascii="Times New Roman" w:hAnsi="Times New Roman"/>
                <w:sz w:val="18"/>
              </w:rPr>
              <w:t>Jetson Nano + SSD</w:t>
            </w:r>
          </w:p>
        </w:tc>
        <w:tc>
          <w:tcPr>
            <w:tcW w:type="dxa" w:w="1440"/>
          </w:tcPr>
          <w:p>
            <w:pPr>
              <w:jc w:val="center"/>
            </w:pPr>
            <w:r>
              <w:rPr>
                <w:rFonts w:ascii="Times New Roman" w:hAnsi="Times New Roman"/>
                <w:sz w:val="18"/>
              </w:rPr>
              <w:t>4 classes</w:t>
            </w:r>
          </w:p>
        </w:tc>
        <w:tc>
          <w:tcPr>
            <w:tcW w:type="dxa" w:w="1296"/>
          </w:tcPr>
          <w:p>
            <w:pPr>
              <w:jc w:val="center"/>
            </w:pPr>
            <w:r>
              <w:rPr>
                <w:rFonts w:ascii="Times New Roman" w:hAnsi="Times New Roman"/>
                <w:sz w:val="18"/>
              </w:rPr>
              <w:t>93.8%</w:t>
            </w:r>
          </w:p>
        </w:tc>
        <w:tc>
          <w:tcPr>
            <w:tcW w:type="dxa" w:w="1440"/>
          </w:tcPr>
          <w:p>
            <w:pPr>
              <w:jc w:val="center"/>
            </w:pPr>
            <w:r>
              <w:rPr>
                <w:rFonts w:ascii="Times New Roman" w:hAnsi="Times New Roman"/>
                <w:sz w:val="18"/>
              </w:rPr>
              <w:t>35–50 ms</w:t>
            </w:r>
          </w:p>
        </w:tc>
        <w:tc>
          <w:tcPr>
            <w:tcW w:type="dxa" w:w="1296"/>
          </w:tcPr>
          <w:p>
            <w:pPr>
              <w:jc w:val="center"/>
            </w:pPr>
            <w:r>
              <w:rPr>
                <w:rFonts w:ascii="Times New Roman" w:hAnsi="Times New Roman"/>
                <w:sz w:val="18"/>
              </w:rPr>
              <w:t>Yes</w:t>
            </w:r>
          </w:p>
        </w:tc>
        <w:tc>
          <w:tcPr>
            <w:tcW w:type="dxa" w:w="1296"/>
          </w:tcPr>
          <w:p>
            <w:pPr>
              <w:jc w:val="center"/>
            </w:pPr>
            <w:r>
              <w:rPr>
                <w:rFonts w:ascii="Times New Roman" w:hAnsi="Times New Roman"/>
                <w:sz w:val="18"/>
              </w:rPr>
              <w:t>No</w:t>
            </w:r>
          </w:p>
        </w:tc>
        <w:tc>
          <w:tcPr>
            <w:tcW w:type="dxa" w:w="1008"/>
          </w:tcPr>
          <w:p>
            <w:pPr>
              <w:jc w:val="center"/>
            </w:pPr>
            <w:r>
              <w:rPr>
                <w:rFonts w:ascii="Times New Roman" w:hAnsi="Times New Roman"/>
                <w:sz w:val="18"/>
              </w:rPr>
              <w:t>No</w:t>
            </w:r>
          </w:p>
        </w:tc>
      </w:tr>
      <w:tr>
        <w:tc>
          <w:tcPr>
            <w:tcW w:type="dxa" w:w="3024"/>
          </w:tcPr>
          <w:p>
            <w:pPr>
              <w:jc w:val="center"/>
            </w:pPr>
            <w:r>
              <w:rPr>
                <w:rFonts w:ascii="Times New Roman" w:hAnsi="Times New Roman"/>
                <w:sz w:val="18"/>
              </w:rPr>
              <w:t>SmartFruit (this work)</w:t>
            </w:r>
          </w:p>
        </w:tc>
        <w:tc>
          <w:tcPr>
            <w:tcW w:type="dxa" w:w="1440"/>
          </w:tcPr>
          <w:p>
            <w:pPr>
              <w:jc w:val="center"/>
            </w:pPr>
            <w:r>
              <w:rPr>
                <w:rFonts w:ascii="Times New Roman" w:hAnsi="Times New Roman"/>
                <w:sz w:val="18"/>
              </w:rPr>
              <w:t>6 classes</w:t>
            </w:r>
          </w:p>
        </w:tc>
        <w:tc>
          <w:tcPr>
            <w:tcW w:type="dxa" w:w="1296"/>
          </w:tcPr>
          <w:p>
            <w:pPr>
              <w:jc w:val="center"/>
            </w:pPr>
            <w:r>
              <w:rPr>
                <w:rFonts w:ascii="Times New Roman" w:hAnsi="Times New Roman"/>
                <w:sz w:val="18"/>
              </w:rPr>
              <w:t>96.6%</w:t>
            </w:r>
          </w:p>
        </w:tc>
        <w:tc>
          <w:tcPr>
            <w:tcW w:type="dxa" w:w="1440"/>
          </w:tcPr>
          <w:p>
            <w:pPr>
              <w:jc w:val="center"/>
            </w:pPr>
            <w:r>
              <w:rPr>
                <w:rFonts w:ascii="Times New Roman" w:hAnsi="Times New Roman"/>
                <w:sz w:val="18"/>
              </w:rPr>
              <w:t>8.7 ms</w:t>
            </w:r>
          </w:p>
        </w:tc>
        <w:tc>
          <w:tcPr>
            <w:tcW w:type="dxa" w:w="1296"/>
          </w:tcPr>
          <w:p>
            <w:pPr>
              <w:jc w:val="center"/>
            </w:pPr>
            <w:r>
              <w:rPr>
                <w:rFonts w:ascii="Times New Roman" w:hAnsi="Times New Roman"/>
                <w:sz w:val="18"/>
              </w:rPr>
              <w:t>Yes</w:t>
            </w:r>
          </w:p>
        </w:tc>
        <w:tc>
          <w:tcPr>
            <w:tcW w:type="dxa" w:w="1296"/>
          </w:tcPr>
          <w:p>
            <w:pPr>
              <w:jc w:val="center"/>
            </w:pPr>
            <w:r>
              <w:rPr>
                <w:rFonts w:ascii="Times New Roman" w:hAnsi="Times New Roman"/>
                <w:sz w:val="18"/>
              </w:rPr>
              <w:t>Yes</w:t>
            </w:r>
          </w:p>
        </w:tc>
        <w:tc>
          <w:tcPr>
            <w:tcW w:type="dxa" w:w="1008"/>
          </w:tcPr>
          <w:p>
            <w:pPr>
              <w:jc w:val="center"/>
            </w:pPr>
            <w:r>
              <w:rPr>
                <w:rFonts w:ascii="Times New Roman" w:hAnsi="Times New Roman"/>
                <w:sz w:val="18"/>
              </w:rPr>
              <w:t>Yes</w:t>
            </w:r>
          </w:p>
        </w:tc>
      </w:tr>
    </w:tbl>
    <w:p/>
    <w:p>
      <w:pPr>
        <w:spacing w:after="120" w:lineRule="auto" w:line="276"/>
        <w:ind w:firstLine="360"/>
        <w:jc w:val="both"/>
      </w:pPr>
      <w:r>
        <w:rPr>
          <w:rFonts w:ascii="Times New Roman" w:hAnsi="Times New Roman"/>
          <w:b w:val="0"/>
          <w:i w:val="0"/>
          <w:sz w:val="22"/>
        </w:rPr>
        <w:t>SmartFruit achieves a superior combination of classification accuracy, inference latency, and system completeness compared to the reviewed alternatives. The 8.7-millisecond CNN inference latency is the lowest reported for a Jetson-deployed fruit classification system in the surveyed literature, attributable to the TensorRT FP16 optimisation pipeline and the relatively compact six-category scope of the current model. Systems using MobileNet on the Google Coral USB Accelerator achieve comparable latency but at a 4.2 percentage point accuracy penalty relative to SmartFruit, reflecting the accuracy cost of the MobileNet architecture's aggressive parameter reduction.</w:t>
      </w:r>
    </w:p>
    <w:p>
      <w:pPr>
        <w:spacing w:after="120" w:lineRule="auto" w:line="276"/>
        <w:ind w:firstLine="360"/>
        <w:jc w:val="both"/>
      </w:pPr>
      <w:r>
        <w:rPr>
          <w:rFonts w:ascii="Times New Roman" w:hAnsi="Times New Roman"/>
          <w:b w:val="0"/>
          <w:i w:val="0"/>
          <w:sz w:val="22"/>
        </w:rPr>
        <w:t>The most significant differentiating capability of SmartFruit relative to all reviewed systems is the integration of physical actuation with confirmed fruit delivery verification. All prior published systems report classification results but do not include a mechanical sorting mechanism that acts on those results. This distinction is critical for real-world deployment assessment: a classification system without an actuation mechanism demonstrates accuracy in an offline evaluation context, while SmartFruit demonstrates end-to-end autonomous operation including the mechanical delivery confirmation step that validates real sorting behaviour.</w:t>
      </w:r>
    </w:p>
    <w:p>
      <w:pPr>
        <w:spacing w:after="120" w:lineRule="auto" w:line="276"/>
        <w:ind w:firstLine="360"/>
        <w:jc w:val="both"/>
      </w:pPr>
      <w:r>
        <w:rPr>
          <w:rFonts w:ascii="Times New Roman" w:hAnsi="Times New Roman"/>
          <w:b w:val="0"/>
          <w:i w:val="0"/>
          <w:sz w:val="22"/>
        </w:rPr>
        <w:t>The multimodal sensor fusion capability is also absent from all prior systems reviewed. While individual papers on gas sensor fusion and weight-based quality assessment exist in isolation, no prior published prototype integrates both visual classification and gas/mass sensing within a single inference pipeline running on embedded hardware with physical actuation. This integration is a direct contribution of SmartFruit to the state of the art in edge-deployed agricultural automation systems.</w:t>
      </w:r>
    </w:p>
    <w:p>
      <w:r>
        <w:br w:type="page"/>
      </w:r>
    </w:p>
    <w:p>
      <w:pPr>
        <w:pStyle w:val="Heading1"/>
      </w:pPr>
      <w:r>
        <w:t>XIII.  Ethical Considerations, Limitations, and Risk Assessment</w:t>
      </w:r>
    </w:p>
    <w:p>
      <w:pPr>
        <w:pStyle w:val="Heading2"/>
      </w:pPr>
      <w:r>
        <w:t>A.  Data Privacy and Operational Security</w:t>
      </w:r>
    </w:p>
    <w:p>
      <w:pPr>
        <w:spacing w:after="120" w:lineRule="auto" w:line="276"/>
        <w:ind w:firstLine="360"/>
        <w:jc w:val="both"/>
      </w:pPr>
      <w:r>
        <w:rPr>
          <w:rFonts w:ascii="Times New Roman" w:hAnsi="Times New Roman"/>
          <w:b w:val="0"/>
          <w:i w:val="0"/>
          <w:sz w:val="22"/>
        </w:rPr>
        <w:t>The SmartFruit system captures and processes visual imagery of fruit specimens within the enclosure. In a commercial packing house deployment, the camera field of view is restricted to the enclosed sorting tray and does not capture human subjects, mitigating personal data privacy concerns under data protection frameworks such as the General Data Protection Regulation. However, production throughput data and quality statistics generated by the system may constitute commercially sensitive operational intelligence for the deploying facility. The local-first architecture of SmartFruit—where all classification processing occurs on the Jetson and data is logged locally before optional transmission to the dashboard—ensures that no raw imagery leaves the facility by default.</w:t>
      </w:r>
    </w:p>
    <w:p>
      <w:pPr>
        <w:spacing w:after="120" w:lineRule="auto" w:line="276"/>
        <w:ind w:firstLine="360"/>
        <w:jc w:val="both"/>
      </w:pPr>
      <w:r>
        <w:rPr>
          <w:rFonts w:ascii="Times New Roman" w:hAnsi="Times New Roman"/>
          <w:b w:val="0"/>
          <w:i w:val="0"/>
          <w:sz w:val="22"/>
        </w:rPr>
        <w:t>Operators choosing to enable the remote dashboard feature should ensure that the Flask service endpoint is protected by network-level access controls and, for deployments requiring cross-site accessibility, authenticated HTTPS transport. The current prototype implementation exposes the dashboard over unencrypted HTTP on the local area network, appropriate for the controlled laboratory evaluation context but insufficient for production deployment on shared network infrastructure.</w:t>
      </w:r>
    </w:p>
    <w:p>
      <w:pPr>
        <w:pStyle w:val="Heading2"/>
      </w:pPr>
      <w:r>
        <w:t>B.  Fairness and Training Data Bias</w:t>
      </w:r>
    </w:p>
    <w:p>
      <w:pPr>
        <w:spacing w:after="120" w:lineRule="auto" w:line="276"/>
        <w:ind w:firstLine="360"/>
        <w:jc w:val="both"/>
      </w:pPr>
      <w:r>
        <w:rPr>
          <w:rFonts w:ascii="Times New Roman" w:hAnsi="Times New Roman"/>
          <w:b w:val="0"/>
          <w:i w:val="0"/>
          <w:sz w:val="22"/>
        </w:rPr>
        <w:t>The SmartFruit model's six-category scope covers commercially significant fruit species but represents a narrow fraction of the global diversity of cultivated fruit varieties. Varieties not present in the training distribution will be classified as the visually most similar trained category, producing confident-but-incorrect predictions that are not distinguishable from correct classifications through the confidence score alone without additional out-of-distribution detection mechanisms.</w:t>
      </w:r>
    </w:p>
    <w:p>
      <w:pPr>
        <w:spacing w:after="120" w:lineRule="auto" w:line="276"/>
        <w:ind w:firstLine="360"/>
        <w:jc w:val="both"/>
      </w:pPr>
      <w:r>
        <w:rPr>
          <w:rFonts w:ascii="Times New Roman" w:hAnsi="Times New Roman"/>
          <w:b w:val="0"/>
          <w:i w:val="0"/>
          <w:sz w:val="22"/>
        </w:rPr>
        <w:t>The Fruits-360 training dataset contains specimens captured primarily under controlled laboratory conditions in European research facilities. Cultural and regional cultivar diversity—including the substantial morphological variation between Asian and Latin American mango cultivars, or between domestic and imported apple varieties—may not be adequately represented in the training distribution, potentially producing systematic accuracy biases for specific cultivar types. Deploying facilities should conduct acceptance testing with representative samples of the specific cultivar mix processed at their location and fine-tune the model on locally collected data if systematic accuracy shortfalls are identified.</w:t>
      </w:r>
    </w:p>
    <w:p>
      <w:pPr>
        <w:pStyle w:val="Heading2"/>
      </w:pPr>
      <w:r>
        <w:t>C.  Mechanical Safety and Operational Risk</w:t>
      </w:r>
    </w:p>
    <w:p>
      <w:pPr>
        <w:spacing w:after="120" w:lineRule="auto" w:line="276"/>
        <w:ind w:firstLine="360"/>
        <w:jc w:val="both"/>
      </w:pPr>
      <w:r>
        <w:rPr>
          <w:rFonts w:ascii="Times New Roman" w:hAnsi="Times New Roman"/>
          <w:b w:val="0"/>
          <w:i w:val="0"/>
          <w:sz w:val="22"/>
        </w:rPr>
        <w:t>The servo motor actuation mechanism involves moving mechanical components with sufficient torque to physically divert produce specimens. The operational risk assessment identifies three primary mechanical hazard categories: pinch points between the diverter plate and enclosure walls during actuation strokes, projectile risk from misclassified specimens that strike the incorrect chute boundary at high conveyor speeds, and electrical hazard from the 19-volt power supply if insulation is compromised.</w:t>
      </w:r>
    </w:p>
    <w:p>
      <w:pPr>
        <w:spacing w:after="120" w:lineRule="auto" w:line="276"/>
        <w:ind w:firstLine="360"/>
        <w:jc w:val="both"/>
      </w:pPr>
      <w:r>
        <w:rPr>
          <w:rFonts w:ascii="Times New Roman" w:hAnsi="Times New Roman"/>
          <w:b w:val="0"/>
          <w:i w:val="0"/>
          <w:sz w:val="22"/>
        </w:rPr>
        <w:t>The current prototype mitigates pinch point risk through enclosure geometry design that maintains a minimum 15-millimetre clearance between all moving and fixed structural elements. A physical emergency stop pushbutton connected to the Arduino's hardware interrupt input immediately drives all servos to the home position and transitions the firmware to a safe-hold state. The Jetson's inference daemon detects the resulting communication timeout and logs the safety stop event. For commercial deployment, additional guarding and formal CE machinery directive compliance assessment would be required.</w:t>
      </w:r>
    </w:p>
    <w:p>
      <w:pPr>
        <w:pStyle w:val="Heading2"/>
      </w:pPr>
      <w:r>
        <w:t>D.  Known System Limitations</w:t>
      </w:r>
    </w:p>
    <w:p>
      <w:pPr>
        <w:spacing w:after="120" w:lineRule="auto" w:line="276"/>
        <w:ind w:firstLine="360"/>
        <w:jc w:val="both"/>
      </w:pPr>
      <w:r>
        <w:rPr>
          <w:rFonts w:ascii="Times New Roman" w:hAnsi="Times New Roman"/>
          <w:b w:val="0"/>
          <w:i w:val="0"/>
          <w:sz w:val="22"/>
        </w:rPr>
        <w:t>The following limitations of the current SmartFruit prototype are explicitly acknowledged and should be considered when evaluating deployment suitability for specific applications:</w:t>
      </w:r>
    </w:p>
    <w:p>
      <w:pPr>
        <w:pStyle w:val="ListBullet"/>
        <w:spacing w:after="80"/>
      </w:pPr>
      <w:r>
        <w:rPr>
          <w:rFonts w:ascii="Times New Roman" w:hAnsi="Times New Roman"/>
          <w:sz w:val="22"/>
        </w:rPr>
        <w:t>Single-fruit-per-frame constraint: The classification architecture assumes one fruit per camera frame. Mixed loads or simultaneous presentations of multiple specimens will produce unreliable classification results.</w:t>
      </w:r>
    </w:p>
    <w:p>
      <w:pPr>
        <w:pStyle w:val="ListBullet"/>
        <w:spacing w:after="80"/>
      </w:pPr>
      <w:r>
        <w:rPr>
          <w:rFonts w:ascii="Times New Roman" w:hAnsi="Times New Roman"/>
          <w:sz w:val="22"/>
        </w:rPr>
        <w:t>Six-category scope: The system is validated for apple, banana, orange, kiwi, mango, and grape only. Encounter with an out-of-distribution fruit species will produce a classification from the trained set with potentially high confidence.</w:t>
      </w:r>
    </w:p>
    <w:p>
      <w:pPr>
        <w:pStyle w:val="ListBullet"/>
        <w:spacing w:after="80"/>
      </w:pPr>
      <w:r>
        <w:rPr>
          <w:rFonts w:ascii="Times New Roman" w:hAnsi="Times New Roman"/>
          <w:sz w:val="22"/>
        </w:rPr>
        <w:t>Static tray loading: The current mechanical design requires manual fruit placement on the sorting tray, limiting throughput to the rate of manual loading and precluding fully automated operation without human intervention.</w:t>
      </w:r>
    </w:p>
    <w:p>
      <w:pPr>
        <w:pStyle w:val="ListBullet"/>
        <w:spacing w:after="80"/>
      </w:pPr>
      <w:r>
        <w:rPr>
          <w:rFonts w:ascii="Times New Roman" w:hAnsi="Times New Roman"/>
          <w:sz w:val="22"/>
        </w:rPr>
        <w:t>Gas sensor warm-up time: MQ-series sensors require a 24 to 48 hour burn-in period and a 30 to 60 second warm-up on each power cycle before producing stable readings. During the warm-up period, the sensor fusion layer defaults to vision-only classification.</w:t>
      </w:r>
    </w:p>
    <w:p>
      <w:pPr>
        <w:pStyle w:val="ListBullet"/>
        <w:spacing w:after="80"/>
      </w:pPr>
      <w:r>
        <w:rPr>
          <w:rFonts w:ascii="Times New Roman" w:hAnsi="Times New Roman"/>
          <w:sz w:val="22"/>
        </w:rPr>
        <w:t>Load cell calibration drift: The HX711 load cell calibration constant is subject to thermal drift and mechanical creep, requiring periodic recalibration with reference weights. The current implementation does not include automatic drift compensation.</w:t>
      </w:r>
    </w:p>
    <w:p>
      <w:r>
        <w:br w:type="page"/>
      </w:r>
    </w:p>
    <w:p>
      <w:pPr>
        <w:pStyle w:val="Heading1"/>
      </w:pPr>
      <w:r>
        <w:t>XIV.  Cost Analysis and Commercial Viability</w:t>
      </w:r>
    </w:p>
    <w:p>
      <w:pPr>
        <w:spacing w:after="120" w:lineRule="auto" w:line="276"/>
        <w:ind w:firstLine="360"/>
        <w:jc w:val="both"/>
      </w:pPr>
      <w:r>
        <w:rPr>
          <w:rFonts w:ascii="Times New Roman" w:hAnsi="Times New Roman"/>
          <w:b w:val="0"/>
          <w:i w:val="0"/>
          <w:sz w:val="22"/>
        </w:rPr>
        <w:t>A preliminary bill of materials analysis was conducted to assess the commercial deployment cost of a single-lane SmartFruit installation. Table 10 itemises the major hardware components, their estimated retail costs at single-unit quantities, and indicative volume pricing at 100-unit production scale.</w:t>
      </w:r>
    </w:p>
    <w:p>
      <w:pPr>
        <w:spacing w:before="240" w:after="80"/>
        <w:jc w:val="center"/>
      </w:pPr>
      <w:r>
        <w:rPr>
          <w:rFonts w:ascii="Times New Roman" w:hAnsi="Times New Roman"/>
          <w:b/>
          <w:sz w:val="20"/>
        </w:rPr>
        <w:t>Table 10: SmartFruit Hardware Bill of Materials and Cost Breakdown</w:t>
      </w:r>
    </w:p>
    <w:tbl>
      <w:tblPr>
        <w:tblStyle w:val="TableGrid"/>
        <w:tblW w:type="auto" w:w="0"/>
        <w:tblLook w:firstColumn="1" w:firstRow="1" w:lastColumn="0" w:lastRow="0" w:noHBand="0" w:noVBand="1" w:val="04A0"/>
      </w:tblPr>
      <w:tblGrid>
        <w:gridCol w:w="2275"/>
        <w:gridCol w:w="2275"/>
        <w:gridCol w:w="2275"/>
        <w:gridCol w:w="2275"/>
      </w:tblGrid>
      <w:tr>
        <w:tc>
          <w:tcPr>
            <w:tcW w:type="dxa" w:w="3312"/>
          </w:tcPr>
          <w:p>
            <w:pPr>
              <w:jc w:val="center"/>
            </w:pPr>
            <w:r>
              <w:rPr>
                <w:rFonts w:ascii="Times New Roman" w:hAnsi="Times New Roman"/>
                <w:b/>
                <w:sz w:val="18"/>
              </w:rPr>
              <w:t>Component</w:t>
            </w:r>
          </w:p>
        </w:tc>
        <w:tc>
          <w:tcPr>
            <w:tcW w:type="dxa" w:w="2160"/>
          </w:tcPr>
          <w:p>
            <w:pPr>
              <w:jc w:val="center"/>
            </w:pPr>
            <w:r>
              <w:rPr>
                <w:rFonts w:ascii="Times New Roman" w:hAnsi="Times New Roman"/>
                <w:b/>
                <w:sz w:val="18"/>
              </w:rPr>
              <w:t>Function</w:t>
            </w:r>
          </w:p>
        </w:tc>
        <w:tc>
          <w:tcPr>
            <w:tcW w:type="dxa" w:w="2016"/>
          </w:tcPr>
          <w:p>
            <w:pPr>
              <w:jc w:val="center"/>
            </w:pPr>
            <w:r>
              <w:rPr>
                <w:rFonts w:ascii="Times New Roman" w:hAnsi="Times New Roman"/>
                <w:b/>
                <w:sz w:val="18"/>
              </w:rPr>
              <w:t>Unit Cost (USD)</w:t>
            </w:r>
          </w:p>
        </w:tc>
        <w:tc>
          <w:tcPr>
            <w:tcW w:type="dxa" w:w="2592"/>
          </w:tcPr>
          <w:p>
            <w:pPr>
              <w:jc w:val="center"/>
            </w:pPr>
            <w:r>
              <w:rPr>
                <w:rFonts w:ascii="Times New Roman" w:hAnsi="Times New Roman"/>
                <w:b/>
                <w:sz w:val="18"/>
              </w:rPr>
              <w:t>Volume Cost (×100)</w:t>
            </w:r>
          </w:p>
        </w:tc>
      </w:tr>
      <w:tr>
        <w:tc>
          <w:tcPr>
            <w:tcW w:type="dxa" w:w="3312"/>
          </w:tcPr>
          <w:p>
            <w:pPr>
              <w:jc w:val="center"/>
            </w:pPr>
            <w:r>
              <w:rPr>
                <w:rFonts w:ascii="Times New Roman" w:hAnsi="Times New Roman"/>
                <w:sz w:val="18"/>
              </w:rPr>
              <w:t>NVIDIA Jetson Orin NX 16GB</w:t>
            </w:r>
          </w:p>
        </w:tc>
        <w:tc>
          <w:tcPr>
            <w:tcW w:type="dxa" w:w="2160"/>
          </w:tcPr>
          <w:p>
            <w:pPr>
              <w:jc w:val="center"/>
            </w:pPr>
            <w:r>
              <w:rPr>
                <w:rFonts w:ascii="Times New Roman" w:hAnsi="Times New Roman"/>
                <w:sz w:val="18"/>
              </w:rPr>
              <w:t>Edge AI compute</w:t>
            </w:r>
          </w:p>
        </w:tc>
        <w:tc>
          <w:tcPr>
            <w:tcW w:type="dxa" w:w="2016"/>
          </w:tcPr>
          <w:p>
            <w:pPr>
              <w:jc w:val="center"/>
            </w:pPr>
            <w:r>
              <w:rPr>
                <w:rFonts w:ascii="Times New Roman" w:hAnsi="Times New Roman"/>
                <w:sz w:val="18"/>
              </w:rPr>
              <w:t>$399</w:t>
            </w:r>
          </w:p>
        </w:tc>
        <w:tc>
          <w:tcPr>
            <w:tcW w:type="dxa" w:w="2592"/>
          </w:tcPr>
          <w:p>
            <w:pPr>
              <w:jc w:val="center"/>
            </w:pPr>
            <w:r>
              <w:rPr>
                <w:rFonts w:ascii="Times New Roman" w:hAnsi="Times New Roman"/>
                <w:sz w:val="18"/>
              </w:rPr>
              <w:t>~$320</w:t>
            </w:r>
          </w:p>
        </w:tc>
      </w:tr>
      <w:tr>
        <w:tc>
          <w:tcPr>
            <w:tcW w:type="dxa" w:w="3312"/>
          </w:tcPr>
          <w:p>
            <w:pPr>
              <w:jc w:val="center"/>
            </w:pPr>
            <w:r>
              <w:rPr>
                <w:rFonts w:ascii="Times New Roman" w:hAnsi="Times New Roman"/>
                <w:sz w:val="18"/>
              </w:rPr>
              <w:t>Sony IMX219 Camera Module</w:t>
            </w:r>
          </w:p>
        </w:tc>
        <w:tc>
          <w:tcPr>
            <w:tcW w:type="dxa" w:w="2160"/>
          </w:tcPr>
          <w:p>
            <w:pPr>
              <w:jc w:val="center"/>
            </w:pPr>
            <w:r>
              <w:rPr>
                <w:rFonts w:ascii="Times New Roman" w:hAnsi="Times New Roman"/>
                <w:sz w:val="18"/>
              </w:rPr>
              <w:t>Visual acquisition</w:t>
            </w:r>
          </w:p>
        </w:tc>
        <w:tc>
          <w:tcPr>
            <w:tcW w:type="dxa" w:w="2016"/>
          </w:tcPr>
          <w:p>
            <w:pPr>
              <w:jc w:val="center"/>
            </w:pPr>
            <w:r>
              <w:rPr>
                <w:rFonts w:ascii="Times New Roman" w:hAnsi="Times New Roman"/>
                <w:sz w:val="18"/>
              </w:rPr>
              <w:t>$29</w:t>
            </w:r>
          </w:p>
        </w:tc>
        <w:tc>
          <w:tcPr>
            <w:tcW w:type="dxa" w:w="2592"/>
          </w:tcPr>
          <w:p>
            <w:pPr>
              <w:jc w:val="center"/>
            </w:pPr>
            <w:r>
              <w:rPr>
                <w:rFonts w:ascii="Times New Roman" w:hAnsi="Times New Roman"/>
                <w:sz w:val="18"/>
              </w:rPr>
              <w:t>~$22</w:t>
            </w:r>
          </w:p>
        </w:tc>
      </w:tr>
      <w:tr>
        <w:tc>
          <w:tcPr>
            <w:tcW w:type="dxa" w:w="3312"/>
          </w:tcPr>
          <w:p>
            <w:pPr>
              <w:jc w:val="center"/>
            </w:pPr>
            <w:r>
              <w:rPr>
                <w:rFonts w:ascii="Times New Roman" w:hAnsi="Times New Roman"/>
                <w:sz w:val="18"/>
              </w:rPr>
              <w:t>HC-SR04 Ultrasonic Sensor</w:t>
            </w:r>
          </w:p>
        </w:tc>
        <w:tc>
          <w:tcPr>
            <w:tcW w:type="dxa" w:w="2160"/>
          </w:tcPr>
          <w:p>
            <w:pPr>
              <w:jc w:val="center"/>
            </w:pPr>
            <w:r>
              <w:rPr>
                <w:rFonts w:ascii="Times New Roman" w:hAnsi="Times New Roman"/>
                <w:sz w:val="18"/>
              </w:rPr>
              <w:t>Presence detection</w:t>
            </w:r>
          </w:p>
        </w:tc>
        <w:tc>
          <w:tcPr>
            <w:tcW w:type="dxa" w:w="2016"/>
          </w:tcPr>
          <w:p>
            <w:pPr>
              <w:jc w:val="center"/>
            </w:pPr>
            <w:r>
              <w:rPr>
                <w:rFonts w:ascii="Times New Roman" w:hAnsi="Times New Roman"/>
                <w:sz w:val="18"/>
              </w:rPr>
              <w:t>$3</w:t>
            </w:r>
          </w:p>
        </w:tc>
        <w:tc>
          <w:tcPr>
            <w:tcW w:type="dxa" w:w="2592"/>
          </w:tcPr>
          <w:p>
            <w:pPr>
              <w:jc w:val="center"/>
            </w:pPr>
            <w:r>
              <w:rPr>
                <w:rFonts w:ascii="Times New Roman" w:hAnsi="Times New Roman"/>
                <w:sz w:val="18"/>
              </w:rPr>
              <w:t>~$2</w:t>
            </w:r>
          </w:p>
        </w:tc>
      </w:tr>
      <w:tr>
        <w:tc>
          <w:tcPr>
            <w:tcW w:type="dxa" w:w="3312"/>
          </w:tcPr>
          <w:p>
            <w:pPr>
              <w:jc w:val="center"/>
            </w:pPr>
            <w:r>
              <w:rPr>
                <w:rFonts w:ascii="Times New Roman" w:hAnsi="Times New Roman"/>
                <w:sz w:val="18"/>
              </w:rPr>
              <w:t>TCRT5000 IR Sensors (×4)</w:t>
            </w:r>
          </w:p>
        </w:tc>
        <w:tc>
          <w:tcPr>
            <w:tcW w:type="dxa" w:w="2160"/>
          </w:tcPr>
          <w:p>
            <w:pPr>
              <w:jc w:val="center"/>
            </w:pPr>
            <w:r>
              <w:rPr>
                <w:rFonts w:ascii="Times New Roman" w:hAnsi="Times New Roman"/>
                <w:sz w:val="18"/>
              </w:rPr>
              <w:t>Alignment / confirmation</w:t>
            </w:r>
          </w:p>
        </w:tc>
        <w:tc>
          <w:tcPr>
            <w:tcW w:type="dxa" w:w="2016"/>
          </w:tcPr>
          <w:p>
            <w:pPr>
              <w:jc w:val="center"/>
            </w:pPr>
            <w:r>
              <w:rPr>
                <w:rFonts w:ascii="Times New Roman" w:hAnsi="Times New Roman"/>
                <w:sz w:val="18"/>
              </w:rPr>
              <w:t>$6</w:t>
            </w:r>
          </w:p>
        </w:tc>
        <w:tc>
          <w:tcPr>
            <w:tcW w:type="dxa" w:w="2592"/>
          </w:tcPr>
          <w:p>
            <w:pPr>
              <w:jc w:val="center"/>
            </w:pPr>
            <w:r>
              <w:rPr>
                <w:rFonts w:ascii="Times New Roman" w:hAnsi="Times New Roman"/>
                <w:sz w:val="18"/>
              </w:rPr>
              <w:t>~$4</w:t>
            </w:r>
          </w:p>
        </w:tc>
      </w:tr>
      <w:tr>
        <w:tc>
          <w:tcPr>
            <w:tcW w:type="dxa" w:w="3312"/>
          </w:tcPr>
          <w:p>
            <w:pPr>
              <w:jc w:val="center"/>
            </w:pPr>
            <w:r>
              <w:rPr>
                <w:rFonts w:ascii="Times New Roman" w:hAnsi="Times New Roman"/>
                <w:sz w:val="18"/>
              </w:rPr>
              <w:t>MQ-135 / MQ-3 / TGS2600</w:t>
            </w:r>
          </w:p>
        </w:tc>
        <w:tc>
          <w:tcPr>
            <w:tcW w:type="dxa" w:w="2160"/>
          </w:tcPr>
          <w:p>
            <w:pPr>
              <w:jc w:val="center"/>
            </w:pPr>
            <w:r>
              <w:rPr>
                <w:rFonts w:ascii="Times New Roman" w:hAnsi="Times New Roman"/>
                <w:sz w:val="18"/>
              </w:rPr>
              <w:t>VOC gas sensing array</w:t>
            </w:r>
          </w:p>
        </w:tc>
        <w:tc>
          <w:tcPr>
            <w:tcW w:type="dxa" w:w="2016"/>
          </w:tcPr>
          <w:p>
            <w:pPr>
              <w:jc w:val="center"/>
            </w:pPr>
            <w:r>
              <w:rPr>
                <w:rFonts w:ascii="Times New Roman" w:hAnsi="Times New Roman"/>
                <w:sz w:val="18"/>
              </w:rPr>
              <w:t>$18</w:t>
            </w:r>
          </w:p>
        </w:tc>
        <w:tc>
          <w:tcPr>
            <w:tcW w:type="dxa" w:w="2592"/>
          </w:tcPr>
          <w:p>
            <w:pPr>
              <w:jc w:val="center"/>
            </w:pPr>
            <w:r>
              <w:rPr>
                <w:rFonts w:ascii="Times New Roman" w:hAnsi="Times New Roman"/>
                <w:sz w:val="18"/>
              </w:rPr>
              <w:t>~$12</w:t>
            </w:r>
          </w:p>
        </w:tc>
      </w:tr>
      <w:tr>
        <w:tc>
          <w:tcPr>
            <w:tcW w:type="dxa" w:w="3312"/>
          </w:tcPr>
          <w:p>
            <w:pPr>
              <w:jc w:val="center"/>
            </w:pPr>
            <w:r>
              <w:rPr>
                <w:rFonts w:ascii="Times New Roman" w:hAnsi="Times New Roman"/>
                <w:sz w:val="18"/>
              </w:rPr>
              <w:t>HX711 + Load Cell</w:t>
            </w:r>
          </w:p>
        </w:tc>
        <w:tc>
          <w:tcPr>
            <w:tcW w:type="dxa" w:w="2160"/>
          </w:tcPr>
          <w:p>
            <w:pPr>
              <w:jc w:val="center"/>
            </w:pPr>
            <w:r>
              <w:rPr>
                <w:rFonts w:ascii="Times New Roman" w:hAnsi="Times New Roman"/>
                <w:sz w:val="18"/>
              </w:rPr>
              <w:t>Mass measurement</w:t>
            </w:r>
          </w:p>
        </w:tc>
        <w:tc>
          <w:tcPr>
            <w:tcW w:type="dxa" w:w="2016"/>
          </w:tcPr>
          <w:p>
            <w:pPr>
              <w:jc w:val="center"/>
            </w:pPr>
            <w:r>
              <w:rPr>
                <w:rFonts w:ascii="Times New Roman" w:hAnsi="Times New Roman"/>
                <w:sz w:val="18"/>
              </w:rPr>
              <w:t>$12</w:t>
            </w:r>
          </w:p>
        </w:tc>
        <w:tc>
          <w:tcPr>
            <w:tcW w:type="dxa" w:w="2592"/>
          </w:tcPr>
          <w:p>
            <w:pPr>
              <w:jc w:val="center"/>
            </w:pPr>
            <w:r>
              <w:rPr>
                <w:rFonts w:ascii="Times New Roman" w:hAnsi="Times New Roman"/>
                <w:sz w:val="18"/>
              </w:rPr>
              <w:t>~$8</w:t>
            </w:r>
          </w:p>
        </w:tc>
      </w:tr>
      <w:tr>
        <w:tc>
          <w:tcPr>
            <w:tcW w:type="dxa" w:w="3312"/>
          </w:tcPr>
          <w:p>
            <w:pPr>
              <w:jc w:val="center"/>
            </w:pPr>
            <w:r>
              <w:rPr>
                <w:rFonts w:ascii="Times New Roman" w:hAnsi="Times New Roman"/>
                <w:sz w:val="18"/>
              </w:rPr>
              <w:t>ADS1115 I2C ADC</w:t>
            </w:r>
          </w:p>
        </w:tc>
        <w:tc>
          <w:tcPr>
            <w:tcW w:type="dxa" w:w="2160"/>
          </w:tcPr>
          <w:p>
            <w:pPr>
              <w:jc w:val="center"/>
            </w:pPr>
            <w:r>
              <w:rPr>
                <w:rFonts w:ascii="Times New Roman" w:hAnsi="Times New Roman"/>
                <w:sz w:val="18"/>
              </w:rPr>
              <w:t>Analog conversion</w:t>
            </w:r>
          </w:p>
        </w:tc>
        <w:tc>
          <w:tcPr>
            <w:tcW w:type="dxa" w:w="2016"/>
          </w:tcPr>
          <w:p>
            <w:pPr>
              <w:jc w:val="center"/>
            </w:pPr>
            <w:r>
              <w:rPr>
                <w:rFonts w:ascii="Times New Roman" w:hAnsi="Times New Roman"/>
                <w:sz w:val="18"/>
              </w:rPr>
              <w:t>$8</w:t>
            </w:r>
          </w:p>
        </w:tc>
        <w:tc>
          <w:tcPr>
            <w:tcW w:type="dxa" w:w="2592"/>
          </w:tcPr>
          <w:p>
            <w:pPr>
              <w:jc w:val="center"/>
            </w:pPr>
            <w:r>
              <w:rPr>
                <w:rFonts w:ascii="Times New Roman" w:hAnsi="Times New Roman"/>
                <w:sz w:val="18"/>
              </w:rPr>
              <w:t>~$5</w:t>
            </w:r>
          </w:p>
        </w:tc>
      </w:tr>
      <w:tr>
        <w:tc>
          <w:tcPr>
            <w:tcW w:type="dxa" w:w="3312"/>
          </w:tcPr>
          <w:p>
            <w:pPr>
              <w:jc w:val="center"/>
            </w:pPr>
            <w:r>
              <w:rPr>
                <w:rFonts w:ascii="Times New Roman" w:hAnsi="Times New Roman"/>
                <w:sz w:val="18"/>
              </w:rPr>
              <w:t>Arduino Mega 2560</w:t>
            </w:r>
          </w:p>
        </w:tc>
        <w:tc>
          <w:tcPr>
            <w:tcW w:type="dxa" w:w="2160"/>
          </w:tcPr>
          <w:p>
            <w:pPr>
              <w:jc w:val="center"/>
            </w:pPr>
            <w:r>
              <w:rPr>
                <w:rFonts w:ascii="Times New Roman" w:hAnsi="Times New Roman"/>
                <w:sz w:val="18"/>
              </w:rPr>
              <w:t>Servo control MCU</w:t>
            </w:r>
          </w:p>
        </w:tc>
        <w:tc>
          <w:tcPr>
            <w:tcW w:type="dxa" w:w="2016"/>
          </w:tcPr>
          <w:p>
            <w:pPr>
              <w:jc w:val="center"/>
            </w:pPr>
            <w:r>
              <w:rPr>
                <w:rFonts w:ascii="Times New Roman" w:hAnsi="Times New Roman"/>
                <w:sz w:val="18"/>
              </w:rPr>
              <w:t>$39</w:t>
            </w:r>
          </w:p>
        </w:tc>
        <w:tc>
          <w:tcPr>
            <w:tcW w:type="dxa" w:w="2592"/>
          </w:tcPr>
          <w:p>
            <w:pPr>
              <w:jc w:val="center"/>
            </w:pPr>
            <w:r>
              <w:rPr>
                <w:rFonts w:ascii="Times New Roman" w:hAnsi="Times New Roman"/>
                <w:sz w:val="18"/>
              </w:rPr>
              <w:t>~$28</w:t>
            </w:r>
          </w:p>
        </w:tc>
      </w:tr>
      <w:tr>
        <w:tc>
          <w:tcPr>
            <w:tcW w:type="dxa" w:w="3312"/>
          </w:tcPr>
          <w:p>
            <w:pPr>
              <w:jc w:val="center"/>
            </w:pPr>
            <w:r>
              <w:rPr>
                <w:rFonts w:ascii="Times New Roman" w:hAnsi="Times New Roman"/>
                <w:sz w:val="18"/>
              </w:rPr>
              <w:t>MG996R Servos (×3)</w:t>
            </w:r>
          </w:p>
        </w:tc>
        <w:tc>
          <w:tcPr>
            <w:tcW w:type="dxa" w:w="2160"/>
          </w:tcPr>
          <w:p>
            <w:pPr>
              <w:jc w:val="center"/>
            </w:pPr>
            <w:r>
              <w:rPr>
                <w:rFonts w:ascii="Times New Roman" w:hAnsi="Times New Roman"/>
                <w:sz w:val="18"/>
              </w:rPr>
              <w:t>Mechanical actuation</w:t>
            </w:r>
          </w:p>
        </w:tc>
        <w:tc>
          <w:tcPr>
            <w:tcW w:type="dxa" w:w="2016"/>
          </w:tcPr>
          <w:p>
            <w:pPr>
              <w:jc w:val="center"/>
            </w:pPr>
            <w:r>
              <w:rPr>
                <w:rFonts w:ascii="Times New Roman" w:hAnsi="Times New Roman"/>
                <w:sz w:val="18"/>
              </w:rPr>
              <w:t>$24</w:t>
            </w:r>
          </w:p>
        </w:tc>
        <w:tc>
          <w:tcPr>
            <w:tcW w:type="dxa" w:w="2592"/>
          </w:tcPr>
          <w:p>
            <w:pPr>
              <w:jc w:val="center"/>
            </w:pPr>
            <w:r>
              <w:rPr>
                <w:rFonts w:ascii="Times New Roman" w:hAnsi="Times New Roman"/>
                <w:sz w:val="18"/>
              </w:rPr>
              <w:t>~$16</w:t>
            </w:r>
          </w:p>
        </w:tc>
      </w:tr>
      <w:tr>
        <w:tc>
          <w:tcPr>
            <w:tcW w:type="dxa" w:w="3312"/>
          </w:tcPr>
          <w:p>
            <w:pPr>
              <w:jc w:val="center"/>
            </w:pPr>
            <w:r>
              <w:rPr>
                <w:rFonts w:ascii="Times New Roman" w:hAnsi="Times New Roman"/>
                <w:sz w:val="18"/>
              </w:rPr>
              <w:t>LED Illumination Array</w:t>
            </w:r>
          </w:p>
        </w:tc>
        <w:tc>
          <w:tcPr>
            <w:tcW w:type="dxa" w:w="2160"/>
          </w:tcPr>
          <w:p>
            <w:pPr>
              <w:jc w:val="center"/>
            </w:pPr>
            <w:r>
              <w:rPr>
                <w:rFonts w:ascii="Times New Roman" w:hAnsi="Times New Roman"/>
                <w:sz w:val="18"/>
              </w:rPr>
              <w:t>Controlled lighting</w:t>
            </w:r>
          </w:p>
        </w:tc>
        <w:tc>
          <w:tcPr>
            <w:tcW w:type="dxa" w:w="2016"/>
          </w:tcPr>
          <w:p>
            <w:pPr>
              <w:jc w:val="center"/>
            </w:pPr>
            <w:r>
              <w:rPr>
                <w:rFonts w:ascii="Times New Roman" w:hAnsi="Times New Roman"/>
                <w:sz w:val="18"/>
              </w:rPr>
              <w:t>$22</w:t>
            </w:r>
          </w:p>
        </w:tc>
        <w:tc>
          <w:tcPr>
            <w:tcW w:type="dxa" w:w="2592"/>
          </w:tcPr>
          <w:p>
            <w:pPr>
              <w:jc w:val="center"/>
            </w:pPr>
            <w:r>
              <w:rPr>
                <w:rFonts w:ascii="Times New Roman" w:hAnsi="Times New Roman"/>
                <w:sz w:val="18"/>
              </w:rPr>
              <w:t>~$14</w:t>
            </w:r>
          </w:p>
        </w:tc>
      </w:tr>
      <w:tr>
        <w:tc>
          <w:tcPr>
            <w:tcW w:type="dxa" w:w="3312"/>
          </w:tcPr>
          <w:p>
            <w:pPr>
              <w:jc w:val="center"/>
            </w:pPr>
            <w:r>
              <w:rPr>
                <w:rFonts w:ascii="Times New Roman" w:hAnsi="Times New Roman"/>
                <w:sz w:val="18"/>
              </w:rPr>
              <w:t>Enclosure + Chute Mech.</w:t>
            </w:r>
          </w:p>
        </w:tc>
        <w:tc>
          <w:tcPr>
            <w:tcW w:type="dxa" w:w="2160"/>
          </w:tcPr>
          <w:p>
            <w:pPr>
              <w:jc w:val="center"/>
            </w:pPr>
            <w:r>
              <w:rPr>
                <w:rFonts w:ascii="Times New Roman" w:hAnsi="Times New Roman"/>
                <w:sz w:val="18"/>
              </w:rPr>
              <w:t>Physical structure</w:t>
            </w:r>
          </w:p>
        </w:tc>
        <w:tc>
          <w:tcPr>
            <w:tcW w:type="dxa" w:w="2016"/>
          </w:tcPr>
          <w:p>
            <w:pPr>
              <w:jc w:val="center"/>
            </w:pPr>
            <w:r>
              <w:rPr>
                <w:rFonts w:ascii="Times New Roman" w:hAnsi="Times New Roman"/>
                <w:sz w:val="18"/>
              </w:rPr>
              <w:t>$85</w:t>
            </w:r>
          </w:p>
        </w:tc>
        <w:tc>
          <w:tcPr>
            <w:tcW w:type="dxa" w:w="2592"/>
          </w:tcPr>
          <w:p>
            <w:pPr>
              <w:jc w:val="center"/>
            </w:pPr>
            <w:r>
              <w:rPr>
                <w:rFonts w:ascii="Times New Roman" w:hAnsi="Times New Roman"/>
                <w:sz w:val="18"/>
              </w:rPr>
              <w:t>~$55</w:t>
            </w:r>
          </w:p>
        </w:tc>
      </w:tr>
      <w:tr>
        <w:tc>
          <w:tcPr>
            <w:tcW w:type="dxa" w:w="3312"/>
          </w:tcPr>
          <w:p>
            <w:pPr>
              <w:jc w:val="center"/>
            </w:pPr>
            <w:r>
              <w:rPr>
                <w:rFonts w:ascii="Times New Roman" w:hAnsi="Times New Roman"/>
                <w:sz w:val="18"/>
              </w:rPr>
              <w:t>Power Supplies (×2)</w:t>
            </w:r>
          </w:p>
        </w:tc>
        <w:tc>
          <w:tcPr>
            <w:tcW w:type="dxa" w:w="2160"/>
          </w:tcPr>
          <w:p>
            <w:pPr>
              <w:jc w:val="center"/>
            </w:pPr>
            <w:r>
              <w:rPr>
                <w:rFonts w:ascii="Times New Roman" w:hAnsi="Times New Roman"/>
                <w:sz w:val="18"/>
              </w:rPr>
              <w:t>19V Jetson + 5V servo</w:t>
            </w:r>
          </w:p>
        </w:tc>
        <w:tc>
          <w:tcPr>
            <w:tcW w:type="dxa" w:w="2016"/>
          </w:tcPr>
          <w:p>
            <w:pPr>
              <w:jc w:val="center"/>
            </w:pPr>
            <w:r>
              <w:rPr>
                <w:rFonts w:ascii="Times New Roman" w:hAnsi="Times New Roman"/>
                <w:sz w:val="18"/>
              </w:rPr>
              <w:t>$45</w:t>
            </w:r>
          </w:p>
        </w:tc>
        <w:tc>
          <w:tcPr>
            <w:tcW w:type="dxa" w:w="2592"/>
          </w:tcPr>
          <w:p>
            <w:pPr>
              <w:jc w:val="center"/>
            </w:pPr>
            <w:r>
              <w:rPr>
                <w:rFonts w:ascii="Times New Roman" w:hAnsi="Times New Roman"/>
                <w:sz w:val="18"/>
              </w:rPr>
              <w:t>~$30</w:t>
            </w:r>
          </w:p>
        </w:tc>
      </w:tr>
      <w:tr>
        <w:tc>
          <w:tcPr>
            <w:tcW w:type="dxa" w:w="3312"/>
          </w:tcPr>
          <w:p>
            <w:pPr>
              <w:jc w:val="center"/>
            </w:pPr>
            <w:r>
              <w:rPr>
                <w:rFonts w:ascii="Times New Roman" w:hAnsi="Times New Roman"/>
                <w:sz w:val="18"/>
              </w:rPr>
              <w:t>PCB + Connectors + Cable</w:t>
            </w:r>
          </w:p>
        </w:tc>
        <w:tc>
          <w:tcPr>
            <w:tcW w:type="dxa" w:w="2160"/>
          </w:tcPr>
          <w:p>
            <w:pPr>
              <w:jc w:val="center"/>
            </w:pPr>
            <w:r>
              <w:rPr>
                <w:rFonts w:ascii="Times New Roman" w:hAnsi="Times New Roman"/>
                <w:sz w:val="18"/>
              </w:rPr>
              <w:t>Sensor interface board</w:t>
            </w:r>
          </w:p>
        </w:tc>
        <w:tc>
          <w:tcPr>
            <w:tcW w:type="dxa" w:w="2016"/>
          </w:tcPr>
          <w:p>
            <w:pPr>
              <w:jc w:val="center"/>
            </w:pPr>
            <w:r>
              <w:rPr>
                <w:rFonts w:ascii="Times New Roman" w:hAnsi="Times New Roman"/>
                <w:sz w:val="18"/>
              </w:rPr>
              <w:t>$35</w:t>
            </w:r>
          </w:p>
        </w:tc>
        <w:tc>
          <w:tcPr>
            <w:tcW w:type="dxa" w:w="2592"/>
          </w:tcPr>
          <w:p>
            <w:pPr>
              <w:jc w:val="center"/>
            </w:pPr>
            <w:r>
              <w:rPr>
                <w:rFonts w:ascii="Times New Roman" w:hAnsi="Times New Roman"/>
                <w:sz w:val="18"/>
              </w:rPr>
              <w:t>~$20</w:t>
            </w:r>
          </w:p>
        </w:tc>
      </w:tr>
      <w:tr>
        <w:tc>
          <w:tcPr>
            <w:tcW w:type="dxa" w:w="3312"/>
          </w:tcPr>
          <w:p>
            <w:pPr>
              <w:jc w:val="center"/>
            </w:pPr>
            <w:r>
              <w:rPr>
                <w:rFonts w:ascii="Times New Roman" w:hAnsi="Times New Roman"/>
                <w:sz w:val="18"/>
              </w:rPr>
              <w:t>TOTAL</w:t>
            </w:r>
          </w:p>
        </w:tc>
        <w:tc>
          <w:tcPr>
            <w:tcW w:type="dxa" w:w="2160"/>
          </w:tcPr>
          <w:p>
            <w:pPr>
              <w:jc w:val="center"/>
            </w:pPr>
            <w:r>
              <w:rPr>
                <w:rFonts w:ascii="Times New Roman" w:hAnsi="Times New Roman"/>
                <w:sz w:val="18"/>
              </w:rPr>
              <w:t>Complete system</w:t>
            </w:r>
          </w:p>
        </w:tc>
        <w:tc>
          <w:tcPr>
            <w:tcW w:type="dxa" w:w="2016"/>
          </w:tcPr>
          <w:p>
            <w:pPr>
              <w:jc w:val="center"/>
            </w:pPr>
            <w:r>
              <w:rPr>
                <w:rFonts w:ascii="Times New Roman" w:hAnsi="Times New Roman"/>
                <w:sz w:val="18"/>
              </w:rPr>
              <w:t>~$725</w:t>
            </w:r>
          </w:p>
        </w:tc>
        <w:tc>
          <w:tcPr>
            <w:tcW w:type="dxa" w:w="2592"/>
          </w:tcPr>
          <w:p>
            <w:pPr>
              <w:jc w:val="center"/>
            </w:pPr>
            <w:r>
              <w:rPr>
                <w:rFonts w:ascii="Times New Roman" w:hAnsi="Times New Roman"/>
                <w:sz w:val="18"/>
              </w:rPr>
              <w:t>~$536</w:t>
            </w:r>
          </w:p>
        </w:tc>
      </w:tr>
    </w:tbl>
    <w:p/>
    <w:p>
      <w:pPr>
        <w:spacing w:after="120" w:lineRule="auto" w:line="276"/>
        <w:ind w:firstLine="360"/>
        <w:jc w:val="both"/>
      </w:pPr>
      <w:r>
        <w:rPr>
          <w:rFonts w:ascii="Times New Roman" w:hAnsi="Times New Roman"/>
          <w:b w:val="0"/>
          <w:i w:val="0"/>
          <w:sz w:val="22"/>
        </w:rPr>
        <w:t>At single-unit cost of approximately USD 725, a SmartFruit installation provides a compelling cost-performance ratio relative to commercial automated sorting systems, which typically cost USD 15,000 to 80,000 per lane for integrated conveyor-based vision sorters from established agricultural equipment manufacturers. While the SmartFruit prototype does not include a conveyor belt mechanism or industrial-grade enclosure, the core sensor and compute BOM demonstrates that the technology platform can be assembled at dramatically lower cost than incumbent solutions.</w:t>
      </w:r>
    </w:p>
    <w:p>
      <w:pPr>
        <w:spacing w:after="120" w:lineRule="auto" w:line="276"/>
        <w:ind w:firstLine="360"/>
        <w:jc w:val="both"/>
      </w:pPr>
      <w:r>
        <w:rPr>
          <w:rFonts w:ascii="Times New Roman" w:hAnsi="Times New Roman"/>
          <w:b w:val="0"/>
          <w:i w:val="0"/>
          <w:sz w:val="22"/>
        </w:rPr>
        <w:t>At 100-unit volume pricing, the total BOM cost reduces to approximately USD 536, primarily driven by the Jetson Orin NX module cost reduction from volume purchasing agreements available to commercial customers. For cost-sensitive deployments where inference latency requirements can be relaxed, substituting the Jetson Orin NX with the Jetson Nano (approximately USD 99) reduces the platform cost by USD 300 at the expense of increased inference latency from 8.7 to approximately 35 milliseconds—still within the operational envelope for manually loaded sorting applications.</w:t>
      </w:r>
    </w:p>
    <w:p>
      <w:pPr>
        <w:spacing w:after="120" w:lineRule="auto" w:line="276"/>
        <w:ind w:firstLine="360"/>
        <w:jc w:val="both"/>
      </w:pPr>
      <w:r>
        <w:rPr>
          <w:rFonts w:ascii="Times New Roman" w:hAnsi="Times New Roman"/>
          <w:b w:val="0"/>
          <w:i w:val="0"/>
          <w:sz w:val="22"/>
        </w:rPr>
        <w:t>Return on investment for a commercial packing house deploying SmartFruit can be estimated from three value drivers: labour cost displacement, where a single SmartFruit lane operating 16 hours per day at 76 items per minute replaces approximately two full-time inspectors; waste reduction, where the 1.7 to 2.2 percentage point accuracy improvement over manual grading translates to reduced misdirected produce at the rates described in Section I; and compliance cost reduction from automated documentation. A conservative model treating only labour displacement suggests a payback period of under six months for a facility processing 200 tonnes of mixed fruit per season.</w:t>
      </w:r>
    </w:p>
    <w:p>
      <w:r>
        <w:br w:type="page"/>
      </w:r>
    </w:p>
    <w:p>
      <w:pPr>
        <w:pStyle w:val="Heading1"/>
      </w:pPr>
      <w:r>
        <w:t>XV.  Project Management and Development Timeline</w:t>
      </w:r>
    </w:p>
    <w:p>
      <w:pPr>
        <w:spacing w:after="120" w:lineRule="auto" w:line="276"/>
        <w:ind w:firstLine="360"/>
        <w:jc w:val="both"/>
      </w:pPr>
      <w:r>
        <w:rPr>
          <w:rFonts w:ascii="Times New Roman" w:hAnsi="Times New Roman"/>
          <w:b w:val="0"/>
          <w:i w:val="0"/>
          <w:sz w:val="22"/>
        </w:rPr>
        <w:t>The SmartFruit project was developed over a two-semester academic year spanning August 2025 through May 2026, under the supervision of Dr. Maheshwari Biradar at D Y Patil International University, Akurdi. The development followed an iterative prototype methodology with four major milestones, each producing a functional prototype demonstrating incrementally expanded capability.</w:t>
      </w:r>
    </w:p>
    <w:p>
      <w:pPr>
        <w:pStyle w:val="Heading2"/>
      </w:pPr>
      <w:r>
        <w:t>A.  Phase 1: Dataset and Model Baseline (August–October 2025)</w:t>
      </w:r>
    </w:p>
    <w:p>
      <w:pPr>
        <w:spacing w:after="120" w:lineRule="auto" w:line="276"/>
        <w:ind w:firstLine="360"/>
        <w:jc w:val="both"/>
      </w:pPr>
      <w:r>
        <w:rPr>
          <w:rFonts w:ascii="Times New Roman" w:hAnsi="Times New Roman"/>
          <w:b w:val="0"/>
          <w:i w:val="0"/>
          <w:sz w:val="22"/>
        </w:rPr>
        <w:t>The first phase focused on establishing the machine learning foundation. Activities included sourcing and validating the Fruits-360 dataset, constructing the custom in-house image collection using a temporary camera rig, implementing the PyTorch training pipeline on Google Colab, and achieving a baseline validation accuracy of 91.2 percent at epoch 20 with the initial augmentation-free training configuration. The phase concluded with a functioning ONNX export pipeline and validated numerical parity between the PyTorch and ONNX Runtime inference paths.</w:t>
      </w:r>
    </w:p>
    <w:p>
      <w:pPr>
        <w:pStyle w:val="Heading2"/>
      </w:pPr>
      <w:r>
        <w:t>B.  Phase 2: Jetson Deployment and Inference Optimisation (October–December 2025)</w:t>
      </w:r>
    </w:p>
    <w:p>
      <w:pPr>
        <w:spacing w:after="120" w:lineRule="auto" w:line="276"/>
        <w:ind w:firstLine="360"/>
        <w:jc w:val="both"/>
      </w:pPr>
      <w:r>
        <w:rPr>
          <w:rFonts w:ascii="Times New Roman" w:hAnsi="Times New Roman"/>
          <w:b w:val="0"/>
          <w:i w:val="0"/>
          <w:sz w:val="22"/>
        </w:rPr>
        <w:t>The second phase addressed the transfer of the trained model to the NVIDIA Jetson Orin NX platform and the optimisation of the inference pipeline for real-time performance. Key activities included procuring and configuring the Jetson development kit, installing ONNX Runtime with the TensorRT Execution Provider, developing and benchmarking the preprocessing pipeline, and iterating on the TensorRT provider options to achieve the 8.7-millisecond mean inference latency reported in Section VII. The camera integration using the GStreamer CSI-2 pipeline was also completed in this phase, resolving several compatibility issues between the libargus API version available in the Jetson SDK and the GStreamer Python bindings.</w:t>
      </w:r>
    </w:p>
    <w:p>
      <w:pPr>
        <w:pStyle w:val="Heading2"/>
      </w:pPr>
      <w:r>
        <w:t>C.  Phase 3: Hardware Integration and Sensor Subsystem (January–March 2026)</w:t>
      </w:r>
    </w:p>
    <w:p>
      <w:pPr>
        <w:spacing w:after="120" w:lineRule="auto" w:line="276"/>
        <w:ind w:firstLine="360"/>
        <w:jc w:val="both"/>
      </w:pPr>
      <w:r>
        <w:rPr>
          <w:rFonts w:ascii="Times New Roman" w:hAnsi="Times New Roman"/>
          <w:b w:val="0"/>
          <w:i w:val="0"/>
          <w:sz w:val="22"/>
        </w:rPr>
        <w:t>Phase 3 addressed the physical hardware platform: procurement and evaluation of sensor components, design and fabrication of the sensor interface PCB, construction of the LED illumination enclosure, integration of the Arduino servo control firmware, and assembly of the mechanical sorting mechanism. The power management architecture was revised mid-phase after the ground noise issue described in Section VI caused instability in the load cell ADC readings. The sensor fusion meta-learner was trained offline using data collected from the assembled hardware platform in controlled conditions spanning all six fruit categories across three ripeness stages.</w:t>
      </w:r>
    </w:p>
    <w:p>
      <w:pPr>
        <w:pStyle w:val="Heading2"/>
      </w:pPr>
      <w:r>
        <w:t>D.  Phase 4: System Integration, Testing, and Documentation (March–May 2026)</w:t>
      </w:r>
    </w:p>
    <w:p>
      <w:pPr>
        <w:spacing w:after="120" w:lineRule="auto" w:line="276"/>
        <w:ind w:firstLine="360"/>
        <w:jc w:val="both"/>
      </w:pPr>
      <w:r>
        <w:rPr>
          <w:rFonts w:ascii="Times New Roman" w:hAnsi="Times New Roman"/>
          <w:b w:val="0"/>
          <w:i w:val="0"/>
          <w:sz w:val="22"/>
        </w:rPr>
        <w:t>The final phase integrated all subsystems into the complete five-stage pipeline described in Section IV, executed the acceptance testing protocol described in Section XI, developed the Flask web service and React dashboard, and produced the project documentation including this report. The web dashboard was iteratively refined based on feedback from simulated operator usage sessions, adding the configurable alert threshold feature and the per-session confusion matrix summary following feedback that operators needed to identify specific categories performing below expectation without waiting for a full post-session analysis.</w:t>
      </w:r>
    </w:p>
    <w:p>
      <w:pPr>
        <w:spacing w:before="240" w:after="80"/>
        <w:jc w:val="center"/>
      </w:pPr>
      <w:r>
        <w:rPr>
          <w:rFonts w:ascii="Times New Roman" w:hAnsi="Times New Roman"/>
          <w:b/>
          <w:sz w:val="20"/>
        </w:rPr>
        <w:t>Table 11: Project Development Timeline and Milestone Summary</w:t>
      </w:r>
    </w:p>
    <w:tbl>
      <w:tblPr>
        <w:tblStyle w:val="TableGrid"/>
        <w:tblW w:type="auto" w:w="0"/>
        <w:tblLook w:firstColumn="1" w:firstRow="1" w:lastColumn="0" w:lastRow="0" w:noHBand="0" w:noVBand="1" w:val="04A0"/>
      </w:tblPr>
      <w:tblGrid>
        <w:gridCol w:w="2275"/>
        <w:gridCol w:w="2275"/>
        <w:gridCol w:w="2275"/>
        <w:gridCol w:w="2275"/>
      </w:tblGrid>
      <w:tr>
        <w:tc>
          <w:tcPr>
            <w:tcW w:type="dxa" w:w="2592"/>
          </w:tcPr>
          <w:p>
            <w:pPr>
              <w:jc w:val="center"/>
            </w:pPr>
            <w:r>
              <w:rPr>
                <w:rFonts w:ascii="Times New Roman" w:hAnsi="Times New Roman"/>
                <w:b/>
                <w:sz w:val="18"/>
              </w:rPr>
              <w:t>Phase</w:t>
            </w:r>
          </w:p>
        </w:tc>
        <w:tc>
          <w:tcPr>
            <w:tcW w:type="dxa" w:w="2160"/>
          </w:tcPr>
          <w:p>
            <w:pPr>
              <w:jc w:val="center"/>
            </w:pPr>
            <w:r>
              <w:rPr>
                <w:rFonts w:ascii="Times New Roman" w:hAnsi="Times New Roman"/>
                <w:b/>
                <w:sz w:val="18"/>
              </w:rPr>
              <w:t>Period</w:t>
            </w:r>
          </w:p>
        </w:tc>
        <w:tc>
          <w:tcPr>
            <w:tcW w:type="dxa" w:w="4320"/>
          </w:tcPr>
          <w:p>
            <w:pPr>
              <w:jc w:val="center"/>
            </w:pPr>
            <w:r>
              <w:rPr>
                <w:rFonts w:ascii="Times New Roman" w:hAnsi="Times New Roman"/>
                <w:b/>
                <w:sz w:val="18"/>
              </w:rPr>
              <w:t>Key Deliverable</w:t>
            </w:r>
          </w:p>
        </w:tc>
        <w:tc>
          <w:tcPr>
            <w:tcW w:type="dxa" w:w="1440"/>
          </w:tcPr>
          <w:p>
            <w:pPr>
              <w:jc w:val="center"/>
            </w:pPr>
            <w:r>
              <w:rPr>
                <w:rFonts w:ascii="Times New Roman" w:hAnsi="Times New Roman"/>
                <w:b/>
                <w:sz w:val="18"/>
              </w:rPr>
              <w:t>Status</w:t>
            </w:r>
          </w:p>
        </w:tc>
      </w:tr>
      <w:tr>
        <w:tc>
          <w:tcPr>
            <w:tcW w:type="dxa" w:w="2592"/>
          </w:tcPr>
          <w:p>
            <w:pPr>
              <w:jc w:val="center"/>
            </w:pPr>
            <w:r>
              <w:rPr>
                <w:rFonts w:ascii="Times New Roman" w:hAnsi="Times New Roman"/>
                <w:sz w:val="18"/>
              </w:rPr>
              <w:t>1: ML Baseline</w:t>
            </w:r>
          </w:p>
        </w:tc>
        <w:tc>
          <w:tcPr>
            <w:tcW w:type="dxa" w:w="2160"/>
          </w:tcPr>
          <w:p>
            <w:pPr>
              <w:jc w:val="center"/>
            </w:pPr>
            <w:r>
              <w:rPr>
                <w:rFonts w:ascii="Times New Roman" w:hAnsi="Times New Roman"/>
                <w:sz w:val="18"/>
              </w:rPr>
              <w:t>Aug–Oct 2025</w:t>
            </w:r>
          </w:p>
        </w:tc>
        <w:tc>
          <w:tcPr>
            <w:tcW w:type="dxa" w:w="4320"/>
          </w:tcPr>
          <w:p>
            <w:pPr>
              <w:jc w:val="center"/>
            </w:pPr>
            <w:r>
              <w:rPr>
                <w:rFonts w:ascii="Times New Roman" w:hAnsi="Times New Roman"/>
                <w:sz w:val="18"/>
              </w:rPr>
              <w:t>Training pipeline + ONNX export, 91.2% baseline</w:t>
            </w:r>
          </w:p>
        </w:tc>
        <w:tc>
          <w:tcPr>
            <w:tcW w:type="dxa" w:w="1440"/>
          </w:tcPr>
          <w:p>
            <w:pPr>
              <w:jc w:val="center"/>
            </w:pPr>
            <w:r>
              <w:rPr>
                <w:rFonts w:ascii="Times New Roman" w:hAnsi="Times New Roman"/>
                <w:sz w:val="18"/>
              </w:rPr>
              <w:t>Complete</w:t>
            </w:r>
          </w:p>
        </w:tc>
      </w:tr>
      <w:tr>
        <w:tc>
          <w:tcPr>
            <w:tcW w:type="dxa" w:w="2592"/>
          </w:tcPr>
          <w:p>
            <w:pPr>
              <w:jc w:val="center"/>
            </w:pPr>
            <w:r>
              <w:rPr>
                <w:rFonts w:ascii="Times New Roman" w:hAnsi="Times New Roman"/>
                <w:sz w:val="18"/>
              </w:rPr>
              <w:t>2: Jetson Inference</w:t>
            </w:r>
          </w:p>
        </w:tc>
        <w:tc>
          <w:tcPr>
            <w:tcW w:type="dxa" w:w="2160"/>
          </w:tcPr>
          <w:p>
            <w:pPr>
              <w:jc w:val="center"/>
            </w:pPr>
            <w:r>
              <w:rPr>
                <w:rFonts w:ascii="Times New Roman" w:hAnsi="Times New Roman"/>
                <w:sz w:val="18"/>
              </w:rPr>
              <w:t>Oct–Dec 2025</w:t>
            </w:r>
          </w:p>
        </w:tc>
        <w:tc>
          <w:tcPr>
            <w:tcW w:type="dxa" w:w="4320"/>
          </w:tcPr>
          <w:p>
            <w:pPr>
              <w:jc w:val="center"/>
            </w:pPr>
            <w:r>
              <w:rPr>
                <w:rFonts w:ascii="Times New Roman" w:hAnsi="Times New Roman"/>
                <w:sz w:val="18"/>
              </w:rPr>
              <w:t>TensorRT pipeline, 8.7 ms inference on Orin NX</w:t>
            </w:r>
          </w:p>
        </w:tc>
        <w:tc>
          <w:tcPr>
            <w:tcW w:type="dxa" w:w="1440"/>
          </w:tcPr>
          <w:p>
            <w:pPr>
              <w:jc w:val="center"/>
            </w:pPr>
            <w:r>
              <w:rPr>
                <w:rFonts w:ascii="Times New Roman" w:hAnsi="Times New Roman"/>
                <w:sz w:val="18"/>
              </w:rPr>
              <w:t>Complete</w:t>
            </w:r>
          </w:p>
        </w:tc>
      </w:tr>
      <w:tr>
        <w:tc>
          <w:tcPr>
            <w:tcW w:type="dxa" w:w="2592"/>
          </w:tcPr>
          <w:p>
            <w:pPr>
              <w:jc w:val="center"/>
            </w:pPr>
            <w:r>
              <w:rPr>
                <w:rFonts w:ascii="Times New Roman" w:hAnsi="Times New Roman"/>
                <w:sz w:val="18"/>
              </w:rPr>
              <w:t>3: Hardware Integration</w:t>
            </w:r>
          </w:p>
        </w:tc>
        <w:tc>
          <w:tcPr>
            <w:tcW w:type="dxa" w:w="2160"/>
          </w:tcPr>
          <w:p>
            <w:pPr>
              <w:jc w:val="center"/>
            </w:pPr>
            <w:r>
              <w:rPr>
                <w:rFonts w:ascii="Times New Roman" w:hAnsi="Times New Roman"/>
                <w:sz w:val="18"/>
              </w:rPr>
              <w:t>Jan–Mar 2026</w:t>
            </w:r>
          </w:p>
        </w:tc>
        <w:tc>
          <w:tcPr>
            <w:tcW w:type="dxa" w:w="4320"/>
          </w:tcPr>
          <w:p>
            <w:pPr>
              <w:jc w:val="center"/>
            </w:pPr>
            <w:r>
              <w:rPr>
                <w:rFonts w:ascii="Times New Roman" w:hAnsi="Times New Roman"/>
                <w:sz w:val="18"/>
              </w:rPr>
              <w:t>Full sensor + servo assembly, fusion meta-learner</w:t>
            </w:r>
          </w:p>
        </w:tc>
        <w:tc>
          <w:tcPr>
            <w:tcW w:type="dxa" w:w="1440"/>
          </w:tcPr>
          <w:p>
            <w:pPr>
              <w:jc w:val="center"/>
            </w:pPr>
            <w:r>
              <w:rPr>
                <w:rFonts w:ascii="Times New Roman" w:hAnsi="Times New Roman"/>
                <w:sz w:val="18"/>
              </w:rPr>
              <w:t>Complete</w:t>
            </w:r>
          </w:p>
        </w:tc>
      </w:tr>
      <w:tr>
        <w:tc>
          <w:tcPr>
            <w:tcW w:type="dxa" w:w="2592"/>
          </w:tcPr>
          <w:p>
            <w:pPr>
              <w:jc w:val="center"/>
            </w:pPr>
            <w:r>
              <w:rPr>
                <w:rFonts w:ascii="Times New Roman" w:hAnsi="Times New Roman"/>
                <w:sz w:val="18"/>
              </w:rPr>
              <w:t>4: System Testing + Docs</w:t>
            </w:r>
          </w:p>
        </w:tc>
        <w:tc>
          <w:tcPr>
            <w:tcW w:type="dxa" w:w="2160"/>
          </w:tcPr>
          <w:p>
            <w:pPr>
              <w:jc w:val="center"/>
            </w:pPr>
            <w:r>
              <w:rPr>
                <w:rFonts w:ascii="Times New Roman" w:hAnsi="Times New Roman"/>
                <w:sz w:val="18"/>
              </w:rPr>
              <w:t>Mar–May 2026</w:t>
            </w:r>
          </w:p>
        </w:tc>
        <w:tc>
          <w:tcPr>
            <w:tcW w:type="dxa" w:w="4320"/>
          </w:tcPr>
          <w:p>
            <w:pPr>
              <w:jc w:val="center"/>
            </w:pPr>
            <w:r>
              <w:rPr>
                <w:rFonts w:ascii="Times New Roman" w:hAnsi="Times New Roman"/>
                <w:sz w:val="18"/>
              </w:rPr>
              <w:t>96.6% accuracy, acceptance testing, dashboard, report</w:t>
            </w:r>
          </w:p>
        </w:tc>
        <w:tc>
          <w:tcPr>
            <w:tcW w:type="dxa" w:w="1440"/>
          </w:tcPr>
          <w:p>
            <w:pPr>
              <w:jc w:val="center"/>
            </w:pPr>
            <w:r>
              <w:rPr>
                <w:rFonts w:ascii="Times New Roman" w:hAnsi="Times New Roman"/>
                <w:sz w:val="18"/>
              </w:rPr>
              <w:t>Complete</w:t>
            </w:r>
          </w:p>
        </w:tc>
      </w:tr>
    </w:tbl>
    <w:p/>
    <w:p>
      <w:pPr>
        <w:pStyle w:val="Heading2"/>
      </w:pPr>
      <w:r>
        <w:t>E.  Team Contributions</w:t>
      </w:r>
    </w:p>
    <w:p>
      <w:pPr>
        <w:spacing w:after="120" w:lineRule="auto" w:line="276"/>
        <w:ind w:firstLine="360"/>
        <w:jc w:val="both"/>
      </w:pPr>
      <w:r>
        <w:rPr>
          <w:rFonts w:ascii="Times New Roman" w:hAnsi="Times New Roman"/>
          <w:b w:val="0"/>
          <w:i w:val="0"/>
          <w:sz w:val="22"/>
        </w:rPr>
        <w:t>The project was completed by a team of three students with distinct but overlapping areas of responsibility. Adveith Walke led the machine learning pipeline development, including the CNN architecture design, training procedure, augmentation strategy, ONNX export workflow, and Jetson deployment including TensorRT optimisation. Khushi Solanki was primarily responsible for the hardware integration subsystem, including sensor selection and characterisation, PCB design, power management architecture, and mechanical sorting mechanism assembly and calibration. Bhavisha Chauhan led the software integration work, including the multi-threaded Jetson inference daemon, Arduino firmware development, Flask web service backend, and React dashboard frontend. All team members contributed to experimental evaluation, documentation, and the sensor fusion meta-learner training.</w:t>
      </w:r>
    </w:p>
    <w:p>
      <w:r>
        <w:br w:type="page"/>
      </w:r>
    </w:p>
    <w:p>
      <w:pPr>
        <w:pStyle w:val="Heading1"/>
      </w:pPr>
      <w:r>
        <w:t>XVI.  Model Explainability and Interpretability</w:t>
      </w:r>
    </w:p>
    <w:p>
      <w:pPr>
        <w:spacing w:after="120" w:lineRule="auto" w:line="276"/>
        <w:ind w:firstLine="360"/>
        <w:jc w:val="both"/>
      </w:pPr>
      <w:r>
        <w:rPr>
          <w:rFonts w:ascii="Times New Roman" w:hAnsi="Times New Roman"/>
          <w:b w:val="0"/>
          <w:i w:val="0"/>
          <w:sz w:val="22"/>
        </w:rPr>
        <w:t>Explainability of machine learning classification decisions is increasingly important in commercial agricultural applications, where quality grading decisions affect financial outcomes and regulatory compliance obligations. An opaque model whose classification decisions cannot be interrogated or explained to operators, auditors, or regulators reduces the practical deployability of the system and limits the ability to diagnose and correct systematic errors. This section describes the Grad-CAM saliency mapping technique implemented in SmartFruit for post-hoc decision explanation, and presents representative examples of its output.</w:t>
      </w:r>
    </w:p>
    <w:p>
      <w:pPr>
        <w:pStyle w:val="Heading2"/>
      </w:pPr>
      <w:r>
        <w:t>A.  Gradient-Weighted Class Activation Mapping</w:t>
      </w:r>
    </w:p>
    <w:p>
      <w:pPr>
        <w:spacing w:after="120" w:lineRule="auto" w:line="276"/>
        <w:ind w:firstLine="360"/>
        <w:jc w:val="both"/>
      </w:pPr>
      <w:r>
        <w:rPr>
          <w:rFonts w:ascii="Times New Roman" w:hAnsi="Times New Roman"/>
          <w:b w:val="0"/>
          <w:i w:val="0"/>
          <w:sz w:val="22"/>
        </w:rPr>
        <w:t>Gradient-weighted Class Activation Mapping, introduced by Selvaraju and colleagues, computes a spatial saliency map that highlights the image regions most influential in producing a specific class prediction. The technique computes the gradient of the class score with respect to the feature map activations of the final convolutional layer, then pools these gradients globally to obtain importance weights for each feature map channel. A weighted combination of the feature maps produces a coarse spatial heatmap that is upsampled to the input image resolution and overlaid as a colour-coded attention map.</w:t>
      </w:r>
    </w:p>
    <w:p>
      <w:pPr>
        <w:spacing w:after="120" w:lineRule="auto" w:line="276"/>
        <w:ind w:firstLine="360"/>
        <w:jc w:val="both"/>
      </w:pPr>
      <w:r>
        <w:rPr>
          <w:rFonts w:ascii="Times New Roman" w:hAnsi="Times New Roman"/>
          <w:b w:val="0"/>
          <w:i w:val="0"/>
          <w:sz w:val="22"/>
        </w:rPr>
        <w:t>In the SmartFruit implementation, Grad-CAM is applied on-demand through the dashboard interface when an operator selects a specific logged classification event for investigation. The saliency computation requires a second forward pass through the PyTorch model (not the ONNX Runtime session, which does not expose intermediate gradients) and adds approximately 18 milliseconds of additional latency. Since Grad-CAM is triggered only for manual investigation rather than on every inference frame, this additional latency does not affect real-time sorting throughput.</w:t>
      </w:r>
    </w:p>
    <w:p>
      <w:pPr>
        <w:spacing w:after="120" w:lineRule="auto" w:line="276"/>
        <w:ind w:firstLine="360"/>
        <w:jc w:val="both"/>
      </w:pPr>
      <w:r>
        <w:rPr>
          <w:rFonts w:ascii="Times New Roman" w:hAnsi="Times New Roman"/>
          <w:b w:val="0"/>
          <w:i w:val="0"/>
          <w:sz w:val="22"/>
        </w:rPr>
        <w:t>Grad-CAM analysis of correctly classified specimens consistently shows the saliency concentration focused on the fruit body rather than the background, confirming that the model is attending to morphologically relevant image regions. For apple specimens, saliency concentrates on the characteristic red or green skin coloration region. For banana, saliency is distributed along the elongated curved body and the characteristic tip geometry. For grape, saliency concentrates on the individual berry surface highlights rather than the cluster background, suggesting that the model uses surface translucency as a discriminative feature.</w:t>
      </w:r>
    </w:p>
    <w:p>
      <w:pPr>
        <w:spacing w:after="120" w:lineRule="auto" w:line="276"/>
        <w:ind w:firstLine="360"/>
        <w:jc w:val="both"/>
      </w:pPr>
      <w:r>
        <w:rPr>
          <w:rFonts w:ascii="Times New Roman" w:hAnsi="Times New Roman"/>
          <w:b w:val="0"/>
          <w:i w:val="0"/>
          <w:sz w:val="22"/>
        </w:rPr>
        <w:t>For misclassified specimens, Grad-CAM analysis provides diagnostic insight into the failure mode. The mango-orange confusions examined with Grad-CAM showed that the model attended primarily to the orange-tone skin region while giving low weight to the shape boundary—consistent with the observation that both categories share warm chromatic profiles and the distinguishing shape information was insufficient at the image resolution and model capacity available. This finding motivates the sensor fusion layer's effectiveness for this confusion pair, where VOC features provide shape-independent discriminative information.</w:t>
      </w:r>
    </w:p>
    <w:p>
      <w:pPr>
        <w:pStyle w:val="Heading2"/>
      </w:pPr>
      <w:r>
        <w:t>B.  Confidence Calibration Analysis</w:t>
      </w:r>
    </w:p>
    <w:p>
      <w:pPr>
        <w:spacing w:after="120" w:lineRule="auto" w:line="276"/>
        <w:ind w:firstLine="360"/>
        <w:jc w:val="both"/>
      </w:pPr>
      <w:r>
        <w:rPr>
          <w:rFonts w:ascii="Times New Roman" w:hAnsi="Times New Roman"/>
          <w:b w:val="0"/>
          <w:i w:val="0"/>
          <w:sz w:val="22"/>
        </w:rPr>
        <w:t>Well-calibrated confidence scores—where a stated 90 percent confidence implies approximately 90 percent empirical accuracy—are essential for the threshold-based sensor fusion trigger and the operator alerting system in SmartFruit. Calibration was assessed by binning the 1,500 test predictions into confidence deciles and comparing mean stated confidence to empirical accuracy within each bin.</w:t>
      </w:r>
    </w:p>
    <w:p>
      <w:pPr>
        <w:spacing w:after="120" w:lineRule="auto" w:line="276"/>
        <w:ind w:firstLine="360"/>
        <w:jc w:val="both"/>
      </w:pPr>
      <w:r>
        <w:rPr>
          <w:rFonts w:ascii="Times New Roman" w:hAnsi="Times New Roman"/>
          <w:b w:val="0"/>
          <w:i w:val="0"/>
          <w:sz w:val="22"/>
        </w:rPr>
        <w:t>The calibration analysis revealed slight overconfidence in the high-confidence range (above 92 percent stated confidence, mean accuracy 95.1 percent versus mean stated confidence 96.8 percent) and slight underconfidence in the moderate range (70 to 85 percent stated confidence, mean accuracy 83.7 percent versus mean stated confidence 77.2 percent). The overconfidence pattern is common in models trained with Dropout regularisation and is addressable through temperature scaling post-hoc calibration, which rescales the logit values by a learned temperature parameter fit on a small calibration set. Temperature scaling was applied to the SmartFruit model with temperature T = 1.08, reducing the expected calibration error from 0.043 to 0.018 across the confidence range—an improvement that marginally increases the fraction of predictions correctly classified as ambiguous by the sensor fusion trigger.</w:t>
      </w:r>
    </w:p>
    <w:p>
      <w:r>
        <w:br w:type="page"/>
      </w:r>
    </w:p>
    <w:p>
      <w:pPr>
        <w:pStyle w:val="Heading1"/>
      </w:pPr>
      <w:r>
        <w:t>Appendix A:  System Specifications Summary</w:t>
      </w:r>
    </w:p>
    <w:p>
      <w:pPr>
        <w:spacing w:before="240" w:after="80"/>
        <w:jc w:val="center"/>
      </w:pPr>
      <w:r>
        <w:rPr>
          <w:rFonts w:ascii="Times New Roman" w:hAnsi="Times New Roman"/>
          <w:b/>
          <w:sz w:val="20"/>
        </w:rPr>
        <w:t>Table A1: Complete SmartFruit System Specifications</w:t>
      </w:r>
    </w:p>
    <w:tbl>
      <w:tblPr>
        <w:tblStyle w:val="TableGrid"/>
        <w:tblW w:type="auto" w:w="0"/>
        <w:tblLook w:firstColumn="1" w:firstRow="1" w:lastColumn="0" w:lastRow="0" w:noHBand="0" w:noVBand="1" w:val="04A0"/>
      </w:tblPr>
      <w:tblGrid>
        <w:gridCol w:w="4549"/>
        <w:gridCol w:w="4549"/>
      </w:tblGrid>
      <w:tr>
        <w:tc>
          <w:tcPr>
            <w:tcW w:type="dxa" w:w="3600"/>
          </w:tcPr>
          <w:p>
            <w:pPr>
              <w:jc w:val="center"/>
            </w:pPr>
            <w:r>
              <w:rPr>
                <w:rFonts w:ascii="Times New Roman" w:hAnsi="Times New Roman"/>
                <w:b/>
                <w:sz w:val="18"/>
              </w:rPr>
              <w:t>Parameter</w:t>
            </w:r>
          </w:p>
        </w:tc>
        <w:tc>
          <w:tcPr>
            <w:tcW w:type="dxa" w:w="6480"/>
          </w:tcPr>
          <w:p>
            <w:pPr>
              <w:jc w:val="center"/>
            </w:pPr>
            <w:r>
              <w:rPr>
                <w:rFonts w:ascii="Times New Roman" w:hAnsi="Times New Roman"/>
                <w:b/>
                <w:sz w:val="18"/>
              </w:rPr>
              <w:t>Specification / Value</w:t>
            </w:r>
          </w:p>
        </w:tc>
      </w:tr>
      <w:tr>
        <w:tc>
          <w:tcPr>
            <w:tcW w:type="dxa" w:w="3600"/>
          </w:tcPr>
          <w:p>
            <w:pPr>
              <w:jc w:val="center"/>
            </w:pPr>
            <w:r>
              <w:rPr>
                <w:rFonts w:ascii="Times New Roman" w:hAnsi="Times New Roman"/>
                <w:sz w:val="18"/>
              </w:rPr>
              <w:t>Compute Platform</w:t>
            </w:r>
          </w:p>
        </w:tc>
        <w:tc>
          <w:tcPr>
            <w:tcW w:type="dxa" w:w="6480"/>
          </w:tcPr>
          <w:p>
            <w:pPr>
              <w:jc w:val="center"/>
            </w:pPr>
            <w:r>
              <w:rPr>
                <w:rFonts w:ascii="Times New Roman" w:hAnsi="Times New Roman"/>
                <w:sz w:val="18"/>
              </w:rPr>
              <w:t>NVIDIA Jetson Orin NX 16GB (ARM A78AE + Ampere GPU, 100 TOPS INT8)</w:t>
            </w:r>
          </w:p>
        </w:tc>
      </w:tr>
      <w:tr>
        <w:tc>
          <w:tcPr>
            <w:tcW w:type="dxa" w:w="3600"/>
          </w:tcPr>
          <w:p>
            <w:pPr>
              <w:jc w:val="center"/>
            </w:pPr>
            <w:r>
              <w:rPr>
                <w:rFonts w:ascii="Times New Roman" w:hAnsi="Times New Roman"/>
                <w:sz w:val="18"/>
              </w:rPr>
              <w:t>Camera Module</w:t>
            </w:r>
          </w:p>
        </w:tc>
        <w:tc>
          <w:tcPr>
            <w:tcW w:type="dxa" w:w="6480"/>
          </w:tcPr>
          <w:p>
            <w:pPr>
              <w:jc w:val="center"/>
            </w:pPr>
            <w:r>
              <w:rPr>
                <w:rFonts w:ascii="Times New Roman" w:hAnsi="Times New Roman"/>
                <w:sz w:val="18"/>
              </w:rPr>
              <w:t>Sony IMX219, 12 MP, MIPI CSI-2, 640×480 RGBA acquisition mode</w:t>
            </w:r>
          </w:p>
        </w:tc>
      </w:tr>
      <w:tr>
        <w:tc>
          <w:tcPr>
            <w:tcW w:type="dxa" w:w="3600"/>
          </w:tcPr>
          <w:p>
            <w:pPr>
              <w:jc w:val="center"/>
            </w:pPr>
            <w:r>
              <w:rPr>
                <w:rFonts w:ascii="Times New Roman" w:hAnsi="Times New Roman"/>
                <w:sz w:val="18"/>
              </w:rPr>
              <w:t>CNN Architecture</w:t>
            </w:r>
          </w:p>
        </w:tc>
        <w:tc>
          <w:tcPr>
            <w:tcW w:type="dxa" w:w="6480"/>
          </w:tcPr>
          <w:p>
            <w:pPr>
              <w:jc w:val="center"/>
            </w:pPr>
            <w:r>
              <w:rPr>
                <w:rFonts w:ascii="Times New Roman" w:hAnsi="Times New Roman"/>
                <w:sz w:val="18"/>
              </w:rPr>
              <w:t>3-block custom CNN: 32→64→128 channels, GAP, FC-512, Dropout-0.5, FC-6</w:t>
            </w:r>
          </w:p>
        </w:tc>
      </w:tr>
      <w:tr>
        <w:tc>
          <w:tcPr>
            <w:tcW w:type="dxa" w:w="3600"/>
          </w:tcPr>
          <w:p>
            <w:pPr>
              <w:jc w:val="center"/>
            </w:pPr>
            <w:r>
              <w:rPr>
                <w:rFonts w:ascii="Times New Roman" w:hAnsi="Times New Roman"/>
                <w:sz w:val="18"/>
              </w:rPr>
              <w:t>Total Parameters</w:t>
            </w:r>
          </w:p>
        </w:tc>
        <w:tc>
          <w:tcPr>
            <w:tcW w:type="dxa" w:w="6480"/>
          </w:tcPr>
          <w:p>
            <w:pPr>
              <w:jc w:val="center"/>
            </w:pPr>
            <w:r>
              <w:rPr>
                <w:rFonts w:ascii="Times New Roman" w:hAnsi="Times New Roman"/>
                <w:sz w:val="18"/>
              </w:rPr>
              <w:t>~3.2 million</w:t>
            </w:r>
          </w:p>
        </w:tc>
      </w:tr>
      <w:tr>
        <w:tc>
          <w:tcPr>
            <w:tcW w:type="dxa" w:w="3600"/>
          </w:tcPr>
          <w:p>
            <w:pPr>
              <w:jc w:val="center"/>
            </w:pPr>
            <w:r>
              <w:rPr>
                <w:rFonts w:ascii="Times New Roman" w:hAnsi="Times New Roman"/>
                <w:sz w:val="18"/>
              </w:rPr>
              <w:t>Training Framework</w:t>
            </w:r>
          </w:p>
        </w:tc>
        <w:tc>
          <w:tcPr>
            <w:tcW w:type="dxa" w:w="6480"/>
          </w:tcPr>
          <w:p>
            <w:pPr>
              <w:jc w:val="center"/>
            </w:pPr>
            <w:r>
              <w:rPr>
                <w:rFonts w:ascii="Times New Roman" w:hAnsi="Times New Roman"/>
                <w:sz w:val="18"/>
              </w:rPr>
              <w:t>PyTorch 2.x, Google Colab T4 GPU, 50 epochs, AMP FP16</w:t>
            </w:r>
          </w:p>
        </w:tc>
      </w:tr>
      <w:tr>
        <w:tc>
          <w:tcPr>
            <w:tcW w:type="dxa" w:w="3600"/>
          </w:tcPr>
          <w:p>
            <w:pPr>
              <w:jc w:val="center"/>
            </w:pPr>
            <w:r>
              <w:rPr>
                <w:rFonts w:ascii="Times New Roman" w:hAnsi="Times New Roman"/>
                <w:sz w:val="18"/>
              </w:rPr>
              <w:t>Training Dataset</w:t>
            </w:r>
          </w:p>
        </w:tc>
        <w:tc>
          <w:tcPr>
            <w:tcW w:type="dxa" w:w="6480"/>
          </w:tcPr>
          <w:p>
            <w:pPr>
              <w:jc w:val="center"/>
            </w:pPr>
            <w:r>
              <w:rPr>
                <w:rFonts w:ascii="Times New Roman" w:hAnsi="Times New Roman"/>
                <w:sz w:val="18"/>
              </w:rPr>
              <w:t>Fruits-360 (~90K images) + 2,400 custom in-house images, 6 categories</w:t>
            </w:r>
          </w:p>
        </w:tc>
      </w:tr>
      <w:tr>
        <w:tc>
          <w:tcPr>
            <w:tcW w:type="dxa" w:w="3600"/>
          </w:tcPr>
          <w:p>
            <w:pPr>
              <w:jc w:val="center"/>
            </w:pPr>
            <w:r>
              <w:rPr>
                <w:rFonts w:ascii="Times New Roman" w:hAnsi="Times New Roman"/>
                <w:sz w:val="18"/>
              </w:rPr>
              <w:t>Data Augmentation</w:t>
            </w:r>
          </w:p>
        </w:tc>
        <w:tc>
          <w:tcPr>
            <w:tcW w:type="dxa" w:w="6480"/>
          </w:tcPr>
          <w:p>
            <w:pPr>
              <w:jc w:val="center"/>
            </w:pPr>
            <w:r>
              <w:rPr>
                <w:rFonts w:ascii="Times New Roman" w:hAnsi="Times New Roman"/>
                <w:sz w:val="18"/>
              </w:rPr>
              <w:t>Flip, rotate ±15°, crop, colour jitter, Gaussian blur</w:t>
            </w:r>
          </w:p>
        </w:tc>
      </w:tr>
      <w:tr>
        <w:tc>
          <w:tcPr>
            <w:tcW w:type="dxa" w:w="3600"/>
          </w:tcPr>
          <w:p>
            <w:pPr>
              <w:jc w:val="center"/>
            </w:pPr>
            <w:r>
              <w:rPr>
                <w:rFonts w:ascii="Times New Roman" w:hAnsi="Times New Roman"/>
                <w:sz w:val="18"/>
              </w:rPr>
              <w:t>Optimiser</w:t>
            </w:r>
          </w:p>
        </w:tc>
        <w:tc>
          <w:tcPr>
            <w:tcW w:type="dxa" w:w="6480"/>
          </w:tcPr>
          <w:p>
            <w:pPr>
              <w:jc w:val="center"/>
            </w:pPr>
            <w:r>
              <w:rPr>
                <w:rFonts w:ascii="Times New Roman" w:hAnsi="Times New Roman"/>
                <w:sz w:val="18"/>
              </w:rPr>
              <w:t>Adam, lr=1e-3 → 6.25e-5 (ReduceLROnPlateau ×3), weight decay=1e-4</w:t>
            </w:r>
          </w:p>
        </w:tc>
      </w:tr>
      <w:tr>
        <w:tc>
          <w:tcPr>
            <w:tcW w:type="dxa" w:w="3600"/>
          </w:tcPr>
          <w:p>
            <w:pPr>
              <w:jc w:val="center"/>
            </w:pPr>
            <w:r>
              <w:rPr>
                <w:rFonts w:ascii="Times New Roman" w:hAnsi="Times New Roman"/>
                <w:sz w:val="18"/>
              </w:rPr>
              <w:t>Model Format</w:t>
            </w:r>
          </w:p>
        </w:tc>
        <w:tc>
          <w:tcPr>
            <w:tcW w:type="dxa" w:w="6480"/>
          </w:tcPr>
          <w:p>
            <w:pPr>
              <w:jc w:val="center"/>
            </w:pPr>
            <w:r>
              <w:rPr>
                <w:rFonts w:ascii="Times New Roman" w:hAnsi="Times New Roman"/>
                <w:sz w:val="18"/>
              </w:rPr>
              <w:t>ONNX opset 17, TensorRT FP16 engine, dynamic batch axis</w:t>
            </w:r>
          </w:p>
        </w:tc>
      </w:tr>
      <w:tr>
        <w:tc>
          <w:tcPr>
            <w:tcW w:type="dxa" w:w="3600"/>
          </w:tcPr>
          <w:p>
            <w:pPr>
              <w:jc w:val="center"/>
            </w:pPr>
            <w:r>
              <w:rPr>
                <w:rFonts w:ascii="Times New Roman" w:hAnsi="Times New Roman"/>
                <w:sz w:val="18"/>
              </w:rPr>
              <w:t>Inference Latency</w:t>
            </w:r>
          </w:p>
        </w:tc>
        <w:tc>
          <w:tcPr>
            <w:tcW w:type="dxa" w:w="6480"/>
          </w:tcPr>
          <w:p>
            <w:pPr>
              <w:jc w:val="center"/>
            </w:pPr>
            <w:r>
              <w:rPr>
                <w:rFonts w:ascii="Times New Roman" w:hAnsi="Times New Roman"/>
                <w:sz w:val="18"/>
              </w:rPr>
              <w:t>8.7 ms (TensorRT FP16), 12.4 ms (preprocessing included)</w:t>
            </w:r>
          </w:p>
        </w:tc>
      </w:tr>
      <w:tr>
        <w:tc>
          <w:tcPr>
            <w:tcW w:type="dxa" w:w="3600"/>
          </w:tcPr>
          <w:p>
            <w:pPr>
              <w:jc w:val="center"/>
            </w:pPr>
            <w:r>
              <w:rPr>
                <w:rFonts w:ascii="Times New Roman" w:hAnsi="Times New Roman"/>
                <w:sz w:val="18"/>
              </w:rPr>
              <w:t>Overall Accuracy</w:t>
            </w:r>
          </w:p>
        </w:tc>
        <w:tc>
          <w:tcPr>
            <w:tcW w:type="dxa" w:w="6480"/>
          </w:tcPr>
          <w:p>
            <w:pPr>
              <w:jc w:val="center"/>
            </w:pPr>
            <w:r>
              <w:rPr>
                <w:rFonts w:ascii="Times New Roman" w:hAnsi="Times New Roman"/>
                <w:sz w:val="18"/>
              </w:rPr>
              <w:t>96.6% on held-out test set (1,500 images, 6 classes)</w:t>
            </w:r>
          </w:p>
        </w:tc>
      </w:tr>
      <w:tr>
        <w:tc>
          <w:tcPr>
            <w:tcW w:type="dxa" w:w="3600"/>
          </w:tcPr>
          <w:p>
            <w:pPr>
              <w:jc w:val="center"/>
            </w:pPr>
            <w:r>
              <w:rPr>
                <w:rFonts w:ascii="Times New Roman" w:hAnsi="Times New Roman"/>
                <w:sz w:val="18"/>
              </w:rPr>
              <w:t>End-to-End Cycle</w:t>
            </w:r>
          </w:p>
        </w:tc>
        <w:tc>
          <w:tcPr>
            <w:tcW w:type="dxa" w:w="6480"/>
          </w:tcPr>
          <w:p>
            <w:pPr>
              <w:jc w:val="center"/>
            </w:pPr>
            <w:r>
              <w:rPr>
                <w:rFonts w:ascii="Times New Roman" w:hAnsi="Times New Roman"/>
                <w:sz w:val="18"/>
              </w:rPr>
              <w:t>39.2 ms (inference) / 43.5 ms (full pipeline) / ~1.8–3.2s sort cycle</w:t>
            </w:r>
          </w:p>
        </w:tc>
      </w:tr>
      <w:tr>
        <w:tc>
          <w:tcPr>
            <w:tcW w:type="dxa" w:w="3600"/>
          </w:tcPr>
          <w:p>
            <w:pPr>
              <w:jc w:val="center"/>
            </w:pPr>
            <w:r>
              <w:rPr>
                <w:rFonts w:ascii="Times New Roman" w:hAnsi="Times New Roman"/>
                <w:sz w:val="18"/>
              </w:rPr>
              <w:t>Throughput</w:t>
            </w:r>
          </w:p>
        </w:tc>
        <w:tc>
          <w:tcPr>
            <w:tcW w:type="dxa" w:w="6480"/>
          </w:tcPr>
          <w:p>
            <w:pPr>
              <w:jc w:val="center"/>
            </w:pPr>
            <w:r>
              <w:rPr>
                <w:rFonts w:ascii="Times New Roman" w:hAnsi="Times New Roman"/>
                <w:sz w:val="18"/>
              </w:rPr>
              <w:t>~76 items/minute sustained</w:t>
            </w:r>
          </w:p>
        </w:tc>
      </w:tr>
      <w:tr>
        <w:tc>
          <w:tcPr>
            <w:tcW w:type="dxa" w:w="3600"/>
          </w:tcPr>
          <w:p>
            <w:pPr>
              <w:jc w:val="center"/>
            </w:pPr>
            <w:r>
              <w:rPr>
                <w:rFonts w:ascii="Times New Roman" w:hAnsi="Times New Roman"/>
                <w:sz w:val="18"/>
              </w:rPr>
              <w:t>Presence Detection</w:t>
            </w:r>
          </w:p>
        </w:tc>
        <w:tc>
          <w:tcPr>
            <w:tcW w:type="dxa" w:w="6480"/>
          </w:tcPr>
          <w:p>
            <w:pPr>
              <w:jc w:val="center"/>
            </w:pPr>
            <w:r>
              <w:rPr>
                <w:rFonts w:ascii="Times New Roman" w:hAnsi="Times New Roman"/>
                <w:sz w:val="18"/>
              </w:rPr>
              <w:t>HC-SR04 ultrasonic, 10–20 cm detection window</w:t>
            </w:r>
          </w:p>
        </w:tc>
      </w:tr>
      <w:tr>
        <w:tc>
          <w:tcPr>
            <w:tcW w:type="dxa" w:w="3600"/>
          </w:tcPr>
          <w:p>
            <w:pPr>
              <w:jc w:val="center"/>
            </w:pPr>
            <w:r>
              <w:rPr>
                <w:rFonts w:ascii="Times New Roman" w:hAnsi="Times New Roman"/>
                <w:sz w:val="18"/>
              </w:rPr>
              <w:t>Alignment Sensing</w:t>
            </w:r>
          </w:p>
        </w:tc>
        <w:tc>
          <w:tcPr>
            <w:tcW w:type="dxa" w:w="6480"/>
          </w:tcPr>
          <w:p>
            <w:pPr>
              <w:jc w:val="center"/>
            </w:pPr>
            <w:r>
              <w:rPr>
                <w:rFonts w:ascii="Times New Roman" w:hAnsi="Times New Roman"/>
                <w:sz w:val="18"/>
              </w:rPr>
              <w:t>4× TCRT5000 IR reflective sensors, 2 cm tolerance zone</w:t>
            </w:r>
          </w:p>
        </w:tc>
      </w:tr>
      <w:tr>
        <w:tc>
          <w:tcPr>
            <w:tcW w:type="dxa" w:w="3600"/>
          </w:tcPr>
          <w:p>
            <w:pPr>
              <w:jc w:val="center"/>
            </w:pPr>
            <w:r>
              <w:rPr>
                <w:rFonts w:ascii="Times New Roman" w:hAnsi="Times New Roman"/>
                <w:sz w:val="18"/>
              </w:rPr>
              <w:t>VOC Sensing</w:t>
            </w:r>
          </w:p>
        </w:tc>
        <w:tc>
          <w:tcPr>
            <w:tcW w:type="dxa" w:w="6480"/>
          </w:tcPr>
          <w:p>
            <w:pPr>
              <w:jc w:val="center"/>
            </w:pPr>
            <w:r>
              <w:rPr>
                <w:rFonts w:ascii="Times New Roman" w:hAnsi="Times New Roman"/>
                <w:sz w:val="18"/>
              </w:rPr>
              <w:t>MQ-135 (spoilage), MQ-3 (ethanol), TGS2600 (organics), via ADS1115</w:t>
            </w:r>
          </w:p>
        </w:tc>
      </w:tr>
      <w:tr>
        <w:tc>
          <w:tcPr>
            <w:tcW w:type="dxa" w:w="3600"/>
          </w:tcPr>
          <w:p>
            <w:pPr>
              <w:jc w:val="center"/>
            </w:pPr>
            <w:r>
              <w:rPr>
                <w:rFonts w:ascii="Times New Roman" w:hAnsi="Times New Roman"/>
                <w:sz w:val="18"/>
              </w:rPr>
              <w:t>Mass Sensing</w:t>
            </w:r>
          </w:p>
        </w:tc>
        <w:tc>
          <w:tcPr>
            <w:tcW w:type="dxa" w:w="6480"/>
          </w:tcPr>
          <w:p>
            <w:pPr>
              <w:jc w:val="center"/>
            </w:pPr>
            <w:r>
              <w:rPr>
                <w:rFonts w:ascii="Times New Roman" w:hAnsi="Times New Roman"/>
                <w:sz w:val="18"/>
              </w:rPr>
              <w:t>HX711 24-bit ADC + load cell, ±1g accuracy after calibration</w:t>
            </w:r>
          </w:p>
        </w:tc>
      </w:tr>
      <w:tr>
        <w:tc>
          <w:tcPr>
            <w:tcW w:type="dxa" w:w="3600"/>
          </w:tcPr>
          <w:p>
            <w:pPr>
              <w:jc w:val="center"/>
            </w:pPr>
            <w:r>
              <w:rPr>
                <w:rFonts w:ascii="Times New Roman" w:hAnsi="Times New Roman"/>
                <w:sz w:val="18"/>
              </w:rPr>
              <w:t>Servo Actuation</w:t>
            </w:r>
          </w:p>
        </w:tc>
        <w:tc>
          <w:tcPr>
            <w:tcW w:type="dxa" w:w="6480"/>
          </w:tcPr>
          <w:p>
            <w:pPr>
              <w:jc w:val="center"/>
            </w:pPr>
            <w:r>
              <w:rPr>
                <w:rFonts w:ascii="Times New Roman" w:hAnsi="Times New Roman"/>
                <w:sz w:val="18"/>
              </w:rPr>
              <w:t>3× MG996R, 11 kg·cm stall torque, 6 angular positions</w:t>
            </w:r>
          </w:p>
        </w:tc>
      </w:tr>
      <w:tr>
        <w:tc>
          <w:tcPr>
            <w:tcW w:type="dxa" w:w="3600"/>
          </w:tcPr>
          <w:p>
            <w:pPr>
              <w:jc w:val="center"/>
            </w:pPr>
            <w:r>
              <w:rPr>
                <w:rFonts w:ascii="Times New Roman" w:hAnsi="Times New Roman"/>
                <w:sz w:val="18"/>
              </w:rPr>
              <w:t>MCU</w:t>
            </w:r>
          </w:p>
        </w:tc>
        <w:tc>
          <w:tcPr>
            <w:tcW w:type="dxa" w:w="6480"/>
          </w:tcPr>
          <w:p>
            <w:pPr>
              <w:jc w:val="center"/>
            </w:pPr>
            <w:r>
              <w:rPr>
                <w:rFonts w:ascii="Times New Roman" w:hAnsi="Times New Roman"/>
                <w:sz w:val="18"/>
              </w:rPr>
              <w:t>Arduino Mega 2560, UART at 115,200 baud to Jetson</w:t>
            </w:r>
          </w:p>
        </w:tc>
      </w:tr>
      <w:tr>
        <w:tc>
          <w:tcPr>
            <w:tcW w:type="dxa" w:w="3600"/>
          </w:tcPr>
          <w:p>
            <w:pPr>
              <w:jc w:val="center"/>
            </w:pPr>
            <w:r>
              <w:rPr>
                <w:rFonts w:ascii="Times New Roman" w:hAnsi="Times New Roman"/>
                <w:sz w:val="18"/>
              </w:rPr>
              <w:t>UART Protocol</w:t>
            </w:r>
          </w:p>
        </w:tc>
        <w:tc>
          <w:tcPr>
            <w:tcW w:type="dxa" w:w="6480"/>
          </w:tcPr>
          <w:p>
            <w:pPr>
              <w:jc w:val="center"/>
            </w:pPr>
            <w:r>
              <w:rPr>
                <w:rFonts w:ascii="Times New Roman" w:hAnsi="Times New Roman"/>
                <w:sz w:val="18"/>
              </w:rPr>
              <w:t>3-bit channel code (0x30–0x35), ACK/NACK byte response</w:t>
            </w:r>
          </w:p>
        </w:tc>
      </w:tr>
      <w:tr>
        <w:tc>
          <w:tcPr>
            <w:tcW w:type="dxa" w:w="3600"/>
          </w:tcPr>
          <w:p>
            <w:pPr>
              <w:jc w:val="center"/>
            </w:pPr>
            <w:r>
              <w:rPr>
                <w:rFonts w:ascii="Times New Roman" w:hAnsi="Times New Roman"/>
                <w:sz w:val="18"/>
              </w:rPr>
              <w:t>Power Consumption</w:t>
            </w:r>
          </w:p>
        </w:tc>
        <w:tc>
          <w:tcPr>
            <w:tcW w:type="dxa" w:w="6480"/>
          </w:tcPr>
          <w:p>
            <w:pPr>
              <w:jc w:val="center"/>
            </w:pPr>
            <w:r>
              <w:rPr>
                <w:rFonts w:ascii="Times New Roman" w:hAnsi="Times New Roman"/>
                <w:sz w:val="18"/>
              </w:rPr>
              <w:t>Peak ~42W (simultaneous inference + actuation)</w:t>
            </w:r>
          </w:p>
        </w:tc>
      </w:tr>
      <w:tr>
        <w:tc>
          <w:tcPr>
            <w:tcW w:type="dxa" w:w="3600"/>
          </w:tcPr>
          <w:p>
            <w:pPr>
              <w:jc w:val="center"/>
            </w:pPr>
            <w:r>
              <w:rPr>
                <w:rFonts w:ascii="Times New Roman" w:hAnsi="Times New Roman"/>
                <w:sz w:val="18"/>
              </w:rPr>
              <w:t>Dashboard</w:t>
            </w:r>
          </w:p>
        </w:tc>
        <w:tc>
          <w:tcPr>
            <w:tcW w:type="dxa" w:w="6480"/>
          </w:tcPr>
          <w:p>
            <w:pPr>
              <w:jc w:val="center"/>
            </w:pPr>
            <w:r>
              <w:rPr>
                <w:rFonts w:ascii="Times New Roman" w:hAnsi="Times New Roman"/>
                <w:sz w:val="18"/>
              </w:rPr>
              <w:t>Flask/FastAPI backend + React frontend, SSE real-time updates</w:t>
            </w:r>
          </w:p>
        </w:tc>
      </w:tr>
      <w:tr>
        <w:tc>
          <w:tcPr>
            <w:tcW w:type="dxa" w:w="3600"/>
          </w:tcPr>
          <w:p>
            <w:pPr>
              <w:jc w:val="center"/>
            </w:pPr>
            <w:r>
              <w:rPr>
                <w:rFonts w:ascii="Times New Roman" w:hAnsi="Times New Roman"/>
                <w:sz w:val="18"/>
              </w:rPr>
              <w:t>Logging</w:t>
            </w:r>
          </w:p>
        </w:tc>
        <w:tc>
          <w:tcPr>
            <w:tcW w:type="dxa" w:w="6480"/>
          </w:tcPr>
          <w:p>
            <w:pPr>
              <w:jc w:val="center"/>
            </w:pPr>
            <w:r>
              <w:rPr>
                <w:rFonts w:ascii="Times New Roman" w:hAnsi="Times New Roman"/>
                <w:sz w:val="18"/>
              </w:rPr>
              <w:t>JSON Lines file + in-memory deque, timestamp-linked per-item records</w:t>
            </w:r>
          </w:p>
        </w:tc>
      </w:tr>
    </w:tbl>
    <w:p/>
    <w:p>
      <w:r>
        <w:br w:type="page"/>
      </w:r>
    </w:p>
    <w:p>
      <w:pPr>
        <w:pStyle w:val="Heading1"/>
      </w:pPr>
      <w:r>
        <w:t>Appendix B:  Glossary of Technical Terms</w:t>
      </w:r>
    </w:p>
    <w:p>
      <w:pPr>
        <w:spacing w:after="120"/>
        <w:ind w:left="360"/>
        <w:jc w:val="both"/>
      </w:pPr>
      <w:r>
        <w:rPr>
          <w:rFonts w:ascii="Times New Roman" w:hAnsi="Times New Roman"/>
          <w:b/>
          <w:sz w:val="22"/>
        </w:rPr>
        <w:t xml:space="preserve">AMP (Automatic Mixed Precision): </w:t>
      </w:r>
      <w:r>
        <w:rPr>
          <w:rFonts w:ascii="Times New Roman" w:hAnsi="Times New Roman"/>
          <w:sz w:val="22"/>
        </w:rPr>
        <w:t>A PyTorch training optimisation that automatically uses FP16 arithmetic for operations where reduced precision is numerically safe, reducing memory usage and increasing training throughput on GPUs with Tensor Core hardware.</w:t>
      </w:r>
    </w:p>
    <w:p>
      <w:pPr>
        <w:spacing w:after="120"/>
        <w:ind w:left="360"/>
        <w:jc w:val="both"/>
      </w:pPr>
      <w:r>
        <w:rPr>
          <w:rFonts w:ascii="Times New Roman" w:hAnsi="Times New Roman"/>
          <w:b/>
          <w:sz w:val="22"/>
        </w:rPr>
        <w:t xml:space="preserve">CNN (Convolutional Neural Network): </w:t>
      </w:r>
      <w:r>
        <w:rPr>
          <w:rFonts w:ascii="Times New Roman" w:hAnsi="Times New Roman"/>
          <w:sz w:val="22"/>
        </w:rPr>
        <w:t>A class of deep neural network architecture that applies learnable spatial filters to input images through convolutional layers, learning hierarchical visual feature representations from training data.</w:t>
      </w:r>
    </w:p>
    <w:p>
      <w:pPr>
        <w:spacing w:after="120"/>
        <w:ind w:left="360"/>
        <w:jc w:val="both"/>
      </w:pPr>
      <w:r>
        <w:rPr>
          <w:rFonts w:ascii="Times New Roman" w:hAnsi="Times New Roman"/>
          <w:b/>
          <w:sz w:val="22"/>
        </w:rPr>
        <w:t xml:space="preserve">CSI-2 (Camera Serial Interface 2): </w:t>
      </w:r>
      <w:r>
        <w:rPr>
          <w:rFonts w:ascii="Times New Roman" w:hAnsi="Times New Roman"/>
          <w:sz w:val="22"/>
        </w:rPr>
        <w:t>A high-speed serial interface standard for connecting image sensors directly to a host processor, providing lower latency and higher bandwidth than USB-connected cameras.</w:t>
      </w:r>
    </w:p>
    <w:p>
      <w:pPr>
        <w:spacing w:after="120"/>
        <w:ind w:left="360"/>
        <w:jc w:val="both"/>
      </w:pPr>
      <w:r>
        <w:rPr>
          <w:rFonts w:ascii="Times New Roman" w:hAnsi="Times New Roman"/>
          <w:b/>
          <w:sz w:val="22"/>
        </w:rPr>
        <w:t xml:space="preserve">Edge AI: </w:t>
      </w:r>
      <w:r>
        <w:rPr>
          <w:rFonts w:ascii="Times New Roman" w:hAnsi="Times New Roman"/>
          <w:sz w:val="22"/>
        </w:rPr>
        <w:t>The deployment of artificial intelligence inference workloads on hardware physically co-located with the sensing apparatus, eliminating the need for network connectivity during inference and reducing latency below the level achievable with cloud inference.</w:t>
      </w:r>
    </w:p>
    <w:p>
      <w:pPr>
        <w:spacing w:after="120"/>
        <w:ind w:left="360"/>
        <w:jc w:val="both"/>
      </w:pPr>
      <w:r>
        <w:rPr>
          <w:rFonts w:ascii="Times New Roman" w:hAnsi="Times New Roman"/>
          <w:b/>
          <w:sz w:val="22"/>
        </w:rPr>
        <w:t xml:space="preserve">GStreamer: </w:t>
      </w:r>
      <w:r>
        <w:rPr>
          <w:rFonts w:ascii="Times New Roman" w:hAnsi="Times New Roman"/>
          <w:sz w:val="22"/>
        </w:rPr>
        <w:t>An open-source multimedia framework providing a pipeline-based architecture for audio and video processing, used in SmartFruit to acquire frames from the Jetson's CSI-2 camera interface.</w:t>
      </w:r>
    </w:p>
    <w:p>
      <w:pPr>
        <w:spacing w:after="120"/>
        <w:ind w:left="360"/>
        <w:jc w:val="both"/>
      </w:pPr>
      <w:r>
        <w:rPr>
          <w:rFonts w:ascii="Times New Roman" w:hAnsi="Times New Roman"/>
          <w:b/>
          <w:sz w:val="22"/>
        </w:rPr>
        <w:t xml:space="preserve">ONNX (Open Neural Network Exchange): </w:t>
      </w:r>
      <w:r>
        <w:rPr>
          <w:rFonts w:ascii="Times New Roman" w:hAnsi="Times New Roman"/>
          <w:sz w:val="22"/>
        </w:rPr>
        <w:t>A vendor-neutral intermediate representation format for neural network computation graphs that enables models trained in one framework to be deployed on inference engines from a different vendor or targeting a different hardware platform.</w:t>
      </w:r>
    </w:p>
    <w:p>
      <w:pPr>
        <w:spacing w:after="120"/>
        <w:ind w:left="360"/>
        <w:jc w:val="both"/>
      </w:pPr>
      <w:r>
        <w:rPr>
          <w:rFonts w:ascii="Times New Roman" w:hAnsi="Times New Roman"/>
          <w:b/>
          <w:sz w:val="22"/>
        </w:rPr>
        <w:t xml:space="preserve">ONNX Runtime: </w:t>
      </w:r>
      <w:r>
        <w:rPr>
          <w:rFonts w:ascii="Times New Roman" w:hAnsi="Times New Roman"/>
          <w:sz w:val="22"/>
        </w:rPr>
        <w:t>The cross-platform inference engine for ONNX models, supporting hardware-specific execution backends including TensorRT on NVIDIA platforms.</w:t>
      </w:r>
    </w:p>
    <w:p>
      <w:pPr>
        <w:spacing w:after="120"/>
        <w:ind w:left="360"/>
        <w:jc w:val="both"/>
      </w:pPr>
      <w:r>
        <w:rPr>
          <w:rFonts w:ascii="Times New Roman" w:hAnsi="Times New Roman"/>
          <w:b/>
          <w:sz w:val="22"/>
        </w:rPr>
        <w:t xml:space="preserve">TensorRT: </w:t>
      </w:r>
      <w:r>
        <w:rPr>
          <w:rFonts w:ascii="Times New Roman" w:hAnsi="Times New Roman"/>
          <w:sz w:val="22"/>
        </w:rPr>
        <w:t>NVIDIA's inference optimisation framework that applies operator fusion, layer precision calibration, and kernel selection autotuning to produce hardware-optimised inference engines for NVIDIA GPU platforms.</w:t>
      </w:r>
    </w:p>
    <w:p>
      <w:pPr>
        <w:spacing w:after="120"/>
        <w:ind w:left="360"/>
        <w:jc w:val="both"/>
      </w:pPr>
      <w:r>
        <w:rPr>
          <w:rFonts w:ascii="Times New Roman" w:hAnsi="Times New Roman"/>
          <w:b/>
          <w:sz w:val="22"/>
        </w:rPr>
        <w:t xml:space="preserve">TOPS (Tera Operations Per Second): </w:t>
      </w:r>
      <w:r>
        <w:rPr>
          <w:rFonts w:ascii="Times New Roman" w:hAnsi="Times New Roman"/>
          <w:sz w:val="22"/>
        </w:rPr>
        <w:t>A measure of neural network inference throughput expressing the number of arithmetic operations, typically integer multiply-accumulate operations, that a hardware accelerator can execute per second.</w:t>
      </w:r>
    </w:p>
    <w:p>
      <w:pPr>
        <w:spacing w:after="120"/>
        <w:ind w:left="360"/>
        <w:jc w:val="both"/>
      </w:pPr>
      <w:r>
        <w:rPr>
          <w:rFonts w:ascii="Times New Roman" w:hAnsi="Times New Roman"/>
          <w:b/>
          <w:sz w:val="22"/>
        </w:rPr>
        <w:t xml:space="preserve">Transfer Learning: </w:t>
      </w:r>
      <w:r>
        <w:rPr>
          <w:rFonts w:ascii="Times New Roman" w:hAnsi="Times New Roman"/>
          <w:sz w:val="22"/>
        </w:rPr>
        <w:t>A machine learning technique that initialises a model's parameters from weights pretrained on a large dataset such as ImageNet and fine-tunes them on a smaller domain-specific dataset, enabling high-accuracy models to be trained with fewer domain-specific training examples.</w:t>
      </w:r>
    </w:p>
    <w:p>
      <w:pPr>
        <w:spacing w:after="120"/>
        <w:ind w:left="360"/>
        <w:jc w:val="both"/>
      </w:pPr>
      <w:r>
        <w:rPr>
          <w:rFonts w:ascii="Times New Roman" w:hAnsi="Times New Roman"/>
          <w:b/>
          <w:sz w:val="22"/>
        </w:rPr>
        <w:t xml:space="preserve">VOC (Volatile Organic Compound): </w:t>
      </w:r>
      <w:r>
        <w:rPr>
          <w:rFonts w:ascii="Times New Roman" w:hAnsi="Times New Roman"/>
          <w:sz w:val="22"/>
        </w:rPr>
        <w:t>A class of carbon-containing chemical compounds that evaporate readily at room temperature. Specific VOC profiles, including ethylene and terpene compounds, are characteristic of fruit ripeness stages and serve as non-visual quality indicators.</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