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4FAAF" w14:textId="77777777" w:rsidR="007C32F3" w:rsidRDefault="007C32F3" w:rsidP="00F07AE6">
      <w:pPr>
        <w:spacing w:before="0" w:beforeAutospacing="0" w:after="0" w:afterAutospacing="0" w:line="360" w:lineRule="auto"/>
        <w:ind w:firstLine="0"/>
      </w:pPr>
    </w:p>
    <w:p w14:paraId="77EF1225" w14:textId="77777777" w:rsidR="007C32F3" w:rsidRPr="00D72626" w:rsidRDefault="007C32F3" w:rsidP="007C32F3">
      <w:pPr>
        <w:spacing w:line="480" w:lineRule="auto"/>
        <w:contextualSpacing/>
        <w:jc w:val="center"/>
        <w:rPr>
          <w:rFonts w:eastAsia="Times New Roman"/>
          <w:spacing w:val="-10"/>
          <w:kern w:val="28"/>
          <w:sz w:val="48"/>
          <w:szCs w:val="48"/>
          <w14:ligatures w14:val="standardContextual"/>
        </w:rPr>
      </w:pPr>
      <w:r w:rsidRPr="00D72626">
        <w:rPr>
          <w:rFonts w:eastAsia="Times New Roman"/>
          <w:spacing w:val="-10"/>
          <w:kern w:val="28"/>
          <w:sz w:val="48"/>
          <w:szCs w:val="48"/>
          <w14:ligatures w14:val="standardContextual"/>
        </w:rPr>
        <w:t>TUMAINI UNIVERSITY MAKUMIRA</w:t>
      </w:r>
    </w:p>
    <w:p w14:paraId="29980769" w14:textId="4AE85437" w:rsidR="007C32F3" w:rsidRPr="00D72626" w:rsidRDefault="007C32F3" w:rsidP="007C32F3">
      <w:pPr>
        <w:spacing w:after="0" w:line="480" w:lineRule="auto"/>
        <w:jc w:val="center"/>
        <w:rPr>
          <w:rFonts w:eastAsia="Calibri"/>
          <w:kern w:val="2"/>
          <w:szCs w:val="24"/>
          <w14:ligatures w14:val="standardContextual"/>
        </w:rPr>
      </w:pPr>
      <w:r w:rsidRPr="00D72626">
        <w:rPr>
          <w:rFonts w:eastAsia="Calibri"/>
          <w:noProof/>
          <w:kern w:val="2"/>
          <w:szCs w:val="24"/>
          <w14:ligatures w14:val="standardContextual"/>
        </w:rPr>
        <w:drawing>
          <wp:inline distT="0" distB="0" distL="0" distR="0" wp14:anchorId="5C3C48EB" wp14:editId="0FC63E62">
            <wp:extent cx="872182" cy="1008107"/>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872182" cy="1008107"/>
                    </a:xfrm>
                    <a:prstGeom prst="rect">
                      <a:avLst/>
                    </a:prstGeom>
                  </pic:spPr>
                </pic:pic>
              </a:graphicData>
            </a:graphic>
          </wp:inline>
        </w:drawing>
      </w:r>
    </w:p>
    <w:p w14:paraId="48610543" w14:textId="77777777" w:rsidR="007C32F3" w:rsidRPr="00D72626" w:rsidRDefault="007C32F3" w:rsidP="007C32F3">
      <w:pPr>
        <w:spacing w:after="0" w:line="480" w:lineRule="auto"/>
        <w:jc w:val="center"/>
        <w:rPr>
          <w:rFonts w:eastAsia="Calibri"/>
          <w:kern w:val="2"/>
          <w:szCs w:val="24"/>
          <w14:ligatures w14:val="standardContextual"/>
        </w:rPr>
      </w:pPr>
      <w:r w:rsidRPr="00D72626">
        <w:rPr>
          <w:rFonts w:eastAsia="Calibri"/>
          <w:b/>
          <w:kern w:val="2"/>
          <w:szCs w:val="24"/>
          <w14:ligatures w14:val="standardContextual"/>
        </w:rPr>
        <w:t>FACULTY OF LAW</w:t>
      </w:r>
    </w:p>
    <w:p w14:paraId="4D13A512" w14:textId="4C5BCF59" w:rsidR="007C32F3" w:rsidRPr="00D72626" w:rsidRDefault="007C32F3" w:rsidP="007C32F3">
      <w:pPr>
        <w:spacing w:after="0" w:line="480" w:lineRule="auto"/>
        <w:jc w:val="both"/>
        <w:rPr>
          <w:rFonts w:eastAsia="Calibri"/>
          <w:b/>
          <w:bCs/>
          <w:kern w:val="2"/>
          <w:szCs w:val="24"/>
          <w14:ligatures w14:val="standardContextual"/>
        </w:rPr>
      </w:pPr>
      <w:r w:rsidRPr="00D72626">
        <w:rPr>
          <w:rFonts w:eastAsia="Calibri"/>
          <w:b/>
          <w:kern w:val="2"/>
          <w:szCs w:val="24"/>
          <w14:ligatures w14:val="standardContextual"/>
        </w:rPr>
        <w:t>COURSE NAME</w:t>
      </w:r>
      <w:r w:rsidRPr="00D72626">
        <w:rPr>
          <w:rFonts w:eastAsia="Calibri"/>
          <w:b/>
          <w:kern w:val="2"/>
          <w:szCs w:val="24"/>
          <w14:ligatures w14:val="standardContextual"/>
        </w:rPr>
        <w:tab/>
      </w:r>
      <w:r w:rsidRPr="00D72626">
        <w:rPr>
          <w:rFonts w:eastAsia="Calibri"/>
          <w:b/>
          <w:kern w:val="2"/>
          <w:szCs w:val="24"/>
          <w14:ligatures w14:val="standardContextual"/>
        </w:rPr>
        <w:tab/>
      </w:r>
      <w:r w:rsidRPr="00D72626">
        <w:rPr>
          <w:rFonts w:eastAsia="Calibri"/>
          <w:b/>
          <w:bCs/>
          <w:kern w:val="2"/>
          <w:szCs w:val="24"/>
          <w14:ligatures w14:val="standardContextual"/>
        </w:rPr>
        <w:t>:</w:t>
      </w:r>
      <w:r w:rsidRPr="00D72626">
        <w:rPr>
          <w:rFonts w:eastAsia="Calibri"/>
          <w:b/>
          <w:bCs/>
          <w:kern w:val="2"/>
          <w:szCs w:val="24"/>
          <w14:ligatures w14:val="standardContextual"/>
        </w:rPr>
        <w:tab/>
      </w:r>
      <w:r>
        <w:rPr>
          <w:rFonts w:eastAsia="Calibri"/>
          <w:b/>
          <w:bCs/>
          <w:kern w:val="2"/>
          <w:szCs w:val="24"/>
          <w14:ligatures w14:val="standardContextual"/>
        </w:rPr>
        <w:t>ADMINISTRATIVE LAW II</w:t>
      </w:r>
      <w:r w:rsidRPr="00D72626">
        <w:rPr>
          <w:rFonts w:eastAsia="Calibri"/>
          <w:b/>
          <w:bCs/>
          <w:kern w:val="2"/>
          <w:szCs w:val="24"/>
          <w14:ligatures w14:val="standardContextual"/>
        </w:rPr>
        <w:t xml:space="preserve"> </w:t>
      </w:r>
    </w:p>
    <w:p w14:paraId="05B07331" w14:textId="5A46E9EE" w:rsidR="007C32F3" w:rsidRPr="00D72626" w:rsidRDefault="007C32F3" w:rsidP="007C32F3">
      <w:pPr>
        <w:spacing w:after="0" w:line="480" w:lineRule="auto"/>
        <w:jc w:val="both"/>
        <w:rPr>
          <w:rFonts w:eastAsia="Calibri"/>
          <w:b/>
          <w:kern w:val="2"/>
          <w:szCs w:val="24"/>
          <w14:ligatures w14:val="standardContextual"/>
        </w:rPr>
      </w:pPr>
      <w:r w:rsidRPr="00D72626">
        <w:rPr>
          <w:rFonts w:eastAsia="Calibri"/>
          <w:b/>
          <w:kern w:val="2"/>
          <w:szCs w:val="24"/>
          <w14:ligatures w14:val="standardContextual"/>
        </w:rPr>
        <w:t>COURSE CODE</w:t>
      </w:r>
      <w:r w:rsidRPr="00D72626">
        <w:rPr>
          <w:rFonts w:eastAsia="Calibri"/>
          <w:b/>
          <w:kern w:val="2"/>
          <w:szCs w:val="24"/>
          <w14:ligatures w14:val="standardContextual"/>
        </w:rPr>
        <w:tab/>
      </w:r>
      <w:r w:rsidRPr="00D72626">
        <w:rPr>
          <w:rFonts w:eastAsia="Calibri"/>
          <w:b/>
          <w:kern w:val="2"/>
          <w:szCs w:val="24"/>
          <w14:ligatures w14:val="standardContextual"/>
        </w:rPr>
        <w:tab/>
      </w:r>
      <w:r w:rsidRPr="00D72626">
        <w:rPr>
          <w:rFonts w:eastAsia="Calibri"/>
          <w:b/>
          <w:bCs/>
          <w:kern w:val="2"/>
          <w:szCs w:val="24"/>
          <w14:ligatures w14:val="standardContextual"/>
        </w:rPr>
        <w:t xml:space="preserve">: </w:t>
      </w:r>
      <w:r w:rsidRPr="00D72626">
        <w:rPr>
          <w:rFonts w:eastAsia="Calibri"/>
          <w:b/>
          <w:bCs/>
          <w:kern w:val="2"/>
          <w:szCs w:val="24"/>
          <w14:ligatures w14:val="standardContextual"/>
        </w:rPr>
        <w:tab/>
        <w:t>FL</w:t>
      </w:r>
      <w:r>
        <w:rPr>
          <w:rFonts w:eastAsia="Calibri"/>
          <w:b/>
          <w:bCs/>
          <w:kern w:val="2"/>
          <w:szCs w:val="24"/>
          <w14:ligatures w14:val="standardContextual"/>
        </w:rPr>
        <w:t>E 220</w:t>
      </w:r>
    </w:p>
    <w:p w14:paraId="5D3FD57F" w14:textId="1A488AA0" w:rsidR="007C32F3" w:rsidRPr="00D72626" w:rsidRDefault="007C32F3" w:rsidP="007C32F3">
      <w:pPr>
        <w:spacing w:after="0" w:line="480" w:lineRule="auto"/>
        <w:jc w:val="both"/>
        <w:rPr>
          <w:rFonts w:eastAsia="Calibri"/>
          <w:b/>
          <w:kern w:val="2"/>
          <w:szCs w:val="24"/>
          <w14:ligatures w14:val="standardContextual"/>
        </w:rPr>
      </w:pPr>
      <w:r w:rsidRPr="00D72626">
        <w:rPr>
          <w:rFonts w:eastAsia="Calibri"/>
          <w:b/>
          <w:kern w:val="2"/>
          <w:szCs w:val="24"/>
          <w14:ligatures w14:val="standardContextual"/>
        </w:rPr>
        <w:t>COURSE INSTRUCTOR</w:t>
      </w:r>
      <w:r w:rsidRPr="00D72626">
        <w:rPr>
          <w:rFonts w:eastAsia="Calibri"/>
          <w:b/>
          <w:kern w:val="2"/>
          <w:szCs w:val="24"/>
          <w14:ligatures w14:val="standardContextual"/>
        </w:rPr>
        <w:tab/>
        <w:t>:</w:t>
      </w:r>
      <w:r w:rsidRPr="00D72626">
        <w:rPr>
          <w:rFonts w:eastAsia="Calibri"/>
          <w:b/>
          <w:kern w:val="2"/>
          <w:szCs w:val="24"/>
          <w14:ligatures w14:val="standardContextual"/>
        </w:rPr>
        <w:tab/>
      </w:r>
      <w:r>
        <w:rPr>
          <w:rFonts w:eastAsia="Calibri"/>
          <w:b/>
          <w:kern w:val="2"/>
          <w:szCs w:val="24"/>
          <w14:ligatures w14:val="standardContextual"/>
        </w:rPr>
        <w:t xml:space="preserve">Sir. </w:t>
      </w:r>
      <w:r>
        <w:rPr>
          <w:rFonts w:eastAsia="Calibri"/>
          <w:b/>
          <w:kern w:val="2"/>
          <w:szCs w:val="24"/>
          <w14:ligatures w14:val="standardContextual"/>
        </w:rPr>
        <w:t>FRANK AKYOO</w:t>
      </w:r>
    </w:p>
    <w:p w14:paraId="74EE59E7" w14:textId="77777777" w:rsidR="007C32F3" w:rsidRPr="00D72626" w:rsidRDefault="007C32F3" w:rsidP="007C32F3">
      <w:pPr>
        <w:spacing w:after="0" w:line="480" w:lineRule="auto"/>
        <w:jc w:val="both"/>
        <w:rPr>
          <w:rFonts w:eastAsia="Calibri"/>
          <w:b/>
          <w:kern w:val="2"/>
          <w:szCs w:val="24"/>
          <w14:ligatures w14:val="standardContextual"/>
        </w:rPr>
      </w:pPr>
      <w:r w:rsidRPr="00D72626">
        <w:rPr>
          <w:rFonts w:eastAsia="Calibri"/>
          <w:b/>
          <w:kern w:val="2"/>
          <w:szCs w:val="24"/>
          <w14:ligatures w14:val="standardContextual"/>
        </w:rPr>
        <w:t>TYPE OF WORK</w:t>
      </w:r>
      <w:r w:rsidRPr="00D72626">
        <w:rPr>
          <w:rFonts w:eastAsia="Calibri"/>
          <w:b/>
          <w:kern w:val="2"/>
          <w:szCs w:val="24"/>
          <w14:ligatures w14:val="standardContextual"/>
        </w:rPr>
        <w:tab/>
      </w:r>
      <w:r w:rsidRPr="00D72626">
        <w:rPr>
          <w:rFonts w:eastAsia="Calibri"/>
          <w:b/>
          <w:kern w:val="2"/>
          <w:szCs w:val="24"/>
          <w14:ligatures w14:val="standardContextual"/>
        </w:rPr>
        <w:tab/>
        <w:t>:</w:t>
      </w:r>
      <w:r w:rsidRPr="00D72626">
        <w:rPr>
          <w:rFonts w:eastAsia="Calibri"/>
          <w:b/>
          <w:kern w:val="2"/>
          <w:szCs w:val="24"/>
          <w14:ligatures w14:val="standardContextual"/>
        </w:rPr>
        <w:tab/>
      </w:r>
      <w:r>
        <w:rPr>
          <w:rFonts w:eastAsia="Calibri"/>
          <w:b/>
          <w:kern w:val="2"/>
          <w:szCs w:val="24"/>
          <w14:ligatures w14:val="standardContextual"/>
        </w:rPr>
        <w:t>INDIVIDUAL ASSIGNMENT</w:t>
      </w:r>
    </w:p>
    <w:p w14:paraId="76FBDAEA" w14:textId="77777777" w:rsidR="007C32F3" w:rsidRDefault="007C32F3" w:rsidP="007C32F3">
      <w:pPr>
        <w:spacing w:after="0" w:line="480" w:lineRule="auto"/>
        <w:jc w:val="both"/>
        <w:rPr>
          <w:rFonts w:eastAsia="Calibri"/>
          <w:b/>
          <w:kern w:val="2"/>
          <w:szCs w:val="24"/>
          <w14:ligatures w14:val="standardContextual"/>
        </w:rPr>
      </w:pPr>
      <w:r w:rsidRPr="00D72626">
        <w:rPr>
          <w:rFonts w:eastAsia="Calibri"/>
          <w:b/>
          <w:kern w:val="2"/>
          <w:szCs w:val="24"/>
          <w14:ligatures w14:val="standardContextual"/>
        </w:rPr>
        <w:t>YEAR OF STUDY</w:t>
      </w:r>
      <w:r w:rsidRPr="00D72626">
        <w:rPr>
          <w:rFonts w:eastAsia="Calibri"/>
          <w:b/>
          <w:kern w:val="2"/>
          <w:szCs w:val="24"/>
          <w14:ligatures w14:val="standardContextual"/>
        </w:rPr>
        <w:tab/>
      </w:r>
      <w:r w:rsidRPr="00D72626">
        <w:rPr>
          <w:rFonts w:eastAsia="Calibri"/>
          <w:b/>
          <w:kern w:val="2"/>
          <w:szCs w:val="24"/>
          <w14:ligatures w14:val="standardContextual"/>
        </w:rPr>
        <w:tab/>
        <w:t>:</w:t>
      </w:r>
      <w:r w:rsidRPr="00D72626">
        <w:rPr>
          <w:rFonts w:eastAsia="Calibri"/>
          <w:b/>
          <w:kern w:val="2"/>
          <w:szCs w:val="24"/>
          <w14:ligatures w14:val="standardContextual"/>
        </w:rPr>
        <w:tab/>
        <w:t xml:space="preserve"> 2025/2026</w:t>
      </w:r>
    </w:p>
    <w:p w14:paraId="370A47B5" w14:textId="77777777" w:rsidR="007C32F3" w:rsidRPr="00D72626" w:rsidRDefault="007C32F3" w:rsidP="007C32F3">
      <w:pPr>
        <w:spacing w:after="0" w:line="480" w:lineRule="auto"/>
        <w:jc w:val="both"/>
        <w:rPr>
          <w:rFonts w:eastAsia="Calibri"/>
          <w:b/>
          <w:kern w:val="2"/>
          <w:szCs w:val="24"/>
          <w14:ligatures w14:val="standardContextual"/>
        </w:rPr>
      </w:pPr>
    </w:p>
    <w:tbl>
      <w:tblPr>
        <w:tblStyle w:val="TableGrid1"/>
        <w:tblW w:w="9360" w:type="dxa"/>
        <w:tblInd w:w="-5" w:type="dxa"/>
        <w:tblLayout w:type="fixed"/>
        <w:tblLook w:val="04A0" w:firstRow="1" w:lastRow="0" w:firstColumn="1" w:lastColumn="0" w:noHBand="0" w:noVBand="1"/>
      </w:tblPr>
      <w:tblGrid>
        <w:gridCol w:w="720"/>
        <w:gridCol w:w="3960"/>
        <w:gridCol w:w="2790"/>
        <w:gridCol w:w="1890"/>
      </w:tblGrid>
      <w:tr w:rsidR="007C32F3" w:rsidRPr="00D72626" w14:paraId="3E845BC1" w14:textId="77777777" w:rsidTr="00290337">
        <w:trPr>
          <w:trHeight w:val="393"/>
        </w:trPr>
        <w:tc>
          <w:tcPr>
            <w:tcW w:w="720" w:type="dxa"/>
          </w:tcPr>
          <w:p w14:paraId="206DB89B" w14:textId="77777777" w:rsidR="007C32F3" w:rsidRPr="00D72626" w:rsidRDefault="007C32F3" w:rsidP="00290337">
            <w:pPr>
              <w:spacing w:after="160" w:line="480" w:lineRule="auto"/>
              <w:jc w:val="both"/>
              <w:rPr>
                <w:rFonts w:ascii="Times New Roman" w:eastAsia="Calibri" w:hAnsi="Times New Roman"/>
                <w:b/>
                <w:kern w:val="2"/>
                <w:szCs w:val="22"/>
                <w14:ligatures w14:val="standardContextual"/>
              </w:rPr>
            </w:pPr>
            <w:r w:rsidRPr="00D72626">
              <w:rPr>
                <w:rFonts w:ascii="Times New Roman" w:eastAsia="Calibri" w:hAnsi="Times New Roman"/>
                <w:b/>
                <w:kern w:val="2"/>
                <w:szCs w:val="22"/>
                <w14:ligatures w14:val="standardContextual"/>
              </w:rPr>
              <w:t>NO.</w:t>
            </w:r>
          </w:p>
        </w:tc>
        <w:tc>
          <w:tcPr>
            <w:tcW w:w="3960" w:type="dxa"/>
          </w:tcPr>
          <w:p w14:paraId="2C4FE196" w14:textId="77777777" w:rsidR="007C32F3" w:rsidRPr="00D72626" w:rsidRDefault="007C32F3" w:rsidP="00290337">
            <w:pPr>
              <w:spacing w:after="160" w:line="480" w:lineRule="auto"/>
              <w:jc w:val="both"/>
              <w:rPr>
                <w:rFonts w:ascii="Times New Roman" w:eastAsia="Calibri" w:hAnsi="Times New Roman"/>
                <w:b/>
                <w:kern w:val="2"/>
                <w:szCs w:val="22"/>
                <w14:ligatures w14:val="standardContextual"/>
              </w:rPr>
            </w:pPr>
            <w:r w:rsidRPr="00D72626">
              <w:rPr>
                <w:rFonts w:ascii="Times New Roman" w:eastAsia="Calibri" w:hAnsi="Times New Roman"/>
                <w:b/>
                <w:kern w:val="2"/>
                <w:szCs w:val="22"/>
                <w14:ligatures w14:val="standardContextual"/>
              </w:rPr>
              <w:t>NAMES</w:t>
            </w:r>
          </w:p>
        </w:tc>
        <w:tc>
          <w:tcPr>
            <w:tcW w:w="2790" w:type="dxa"/>
          </w:tcPr>
          <w:p w14:paraId="0F8DF1B7" w14:textId="77777777" w:rsidR="007C32F3" w:rsidRPr="00D72626" w:rsidRDefault="007C32F3" w:rsidP="00290337">
            <w:pPr>
              <w:spacing w:after="160" w:line="480" w:lineRule="auto"/>
              <w:jc w:val="both"/>
              <w:rPr>
                <w:rFonts w:ascii="Times New Roman" w:eastAsia="Calibri" w:hAnsi="Times New Roman"/>
                <w:b/>
                <w:kern w:val="2"/>
                <w:szCs w:val="22"/>
                <w14:ligatures w14:val="standardContextual"/>
              </w:rPr>
            </w:pPr>
            <w:r w:rsidRPr="00D72626">
              <w:rPr>
                <w:rFonts w:ascii="Times New Roman" w:eastAsia="Calibri" w:hAnsi="Times New Roman"/>
                <w:b/>
                <w:kern w:val="2"/>
                <w:szCs w:val="22"/>
                <w14:ligatures w14:val="standardContextual"/>
              </w:rPr>
              <w:t>REG. NUMBERS</w:t>
            </w:r>
          </w:p>
        </w:tc>
        <w:tc>
          <w:tcPr>
            <w:tcW w:w="1890" w:type="dxa"/>
          </w:tcPr>
          <w:p w14:paraId="537EB220" w14:textId="77777777" w:rsidR="007C32F3" w:rsidRPr="00D72626" w:rsidRDefault="007C32F3" w:rsidP="00290337">
            <w:pPr>
              <w:spacing w:after="160" w:line="480" w:lineRule="auto"/>
              <w:jc w:val="both"/>
              <w:rPr>
                <w:rFonts w:ascii="Times New Roman" w:eastAsia="Calibri" w:hAnsi="Times New Roman"/>
                <w:b/>
                <w:kern w:val="2"/>
                <w:szCs w:val="22"/>
                <w14:ligatures w14:val="standardContextual"/>
              </w:rPr>
            </w:pPr>
            <w:r w:rsidRPr="00D72626">
              <w:rPr>
                <w:rFonts w:ascii="Times New Roman" w:eastAsia="Calibri" w:hAnsi="Times New Roman"/>
                <w:b/>
                <w:kern w:val="2"/>
                <w:szCs w:val="22"/>
                <w14:ligatures w14:val="standardContextual"/>
              </w:rPr>
              <w:t>SIGNATURE</w:t>
            </w:r>
          </w:p>
        </w:tc>
      </w:tr>
      <w:tr w:rsidR="007C32F3" w:rsidRPr="00D72626" w14:paraId="71E030B8" w14:textId="77777777" w:rsidTr="00290337">
        <w:trPr>
          <w:trHeight w:val="455"/>
        </w:trPr>
        <w:tc>
          <w:tcPr>
            <w:tcW w:w="720" w:type="dxa"/>
          </w:tcPr>
          <w:p w14:paraId="76C0C4B1" w14:textId="77777777" w:rsidR="007C32F3" w:rsidRPr="00D72626" w:rsidRDefault="007C32F3" w:rsidP="007C32F3">
            <w:pPr>
              <w:numPr>
                <w:ilvl w:val="0"/>
                <w:numId w:val="10"/>
              </w:numPr>
              <w:spacing w:line="480" w:lineRule="auto"/>
              <w:jc w:val="both"/>
              <w:rPr>
                <w:rFonts w:ascii="Times New Roman" w:eastAsia="Calibri" w:hAnsi="Times New Roman"/>
                <w:b/>
                <w:kern w:val="2"/>
                <w:szCs w:val="22"/>
                <w14:ligatures w14:val="standardContextual"/>
              </w:rPr>
            </w:pPr>
          </w:p>
        </w:tc>
        <w:tc>
          <w:tcPr>
            <w:tcW w:w="3960" w:type="dxa"/>
            <w:vAlign w:val="bottom"/>
          </w:tcPr>
          <w:p w14:paraId="5C46A260" w14:textId="77777777" w:rsidR="007C32F3" w:rsidRPr="00D72626" w:rsidRDefault="007C32F3" w:rsidP="00290337">
            <w:pPr>
              <w:spacing w:after="160" w:line="480" w:lineRule="auto"/>
              <w:ind w:firstLine="720"/>
              <w:jc w:val="both"/>
              <w:rPr>
                <w:rFonts w:ascii="Times New Roman" w:eastAsia="Calibri" w:hAnsi="Times New Roman"/>
                <w:b/>
                <w:bCs/>
                <w:kern w:val="2"/>
                <w:szCs w:val="22"/>
                <w14:ligatures w14:val="standardContextual"/>
              </w:rPr>
            </w:pPr>
            <w:r w:rsidRPr="00D72626">
              <w:rPr>
                <w:rFonts w:ascii="Times New Roman" w:eastAsia="Calibri" w:hAnsi="Times New Roman"/>
                <w:color w:val="000000"/>
                <w:kern w:val="2"/>
                <w:szCs w:val="22"/>
                <w14:ligatures w14:val="standardContextual"/>
              </w:rPr>
              <w:t>ELISHA PATRICK FRANCIS</w:t>
            </w:r>
          </w:p>
        </w:tc>
        <w:tc>
          <w:tcPr>
            <w:tcW w:w="2790" w:type="dxa"/>
            <w:vAlign w:val="bottom"/>
          </w:tcPr>
          <w:p w14:paraId="1CD02241" w14:textId="77777777" w:rsidR="007C32F3" w:rsidRPr="00D72626" w:rsidRDefault="007C32F3" w:rsidP="00290337">
            <w:pPr>
              <w:spacing w:after="160" w:line="480" w:lineRule="auto"/>
              <w:jc w:val="both"/>
              <w:rPr>
                <w:rFonts w:ascii="Times New Roman" w:eastAsia="Calibri" w:hAnsi="Times New Roman"/>
                <w:b/>
                <w:kern w:val="2"/>
                <w:szCs w:val="22"/>
                <w14:ligatures w14:val="standardContextual"/>
              </w:rPr>
            </w:pPr>
            <w:r w:rsidRPr="00D72626">
              <w:rPr>
                <w:rFonts w:ascii="Times New Roman" w:eastAsia="Calibri" w:hAnsi="Times New Roman"/>
                <w:color w:val="000000"/>
                <w:kern w:val="2"/>
                <w:szCs w:val="22"/>
                <w14:ligatures w14:val="standardContextual"/>
              </w:rPr>
              <w:t>TUMA/LLB/24/031732</w:t>
            </w:r>
          </w:p>
        </w:tc>
        <w:tc>
          <w:tcPr>
            <w:tcW w:w="1890" w:type="dxa"/>
          </w:tcPr>
          <w:p w14:paraId="77BEE83C" w14:textId="77777777" w:rsidR="007C32F3" w:rsidRPr="00D72626" w:rsidRDefault="007C32F3" w:rsidP="00290337">
            <w:pPr>
              <w:spacing w:after="160" w:line="480" w:lineRule="auto"/>
              <w:ind w:firstLine="720"/>
              <w:jc w:val="both"/>
              <w:rPr>
                <w:rFonts w:ascii="Times New Roman" w:eastAsia="Calibri" w:hAnsi="Times New Roman"/>
                <w:b/>
                <w:kern w:val="2"/>
                <w:szCs w:val="22"/>
                <w14:ligatures w14:val="standardContextual"/>
              </w:rPr>
            </w:pPr>
          </w:p>
        </w:tc>
      </w:tr>
    </w:tbl>
    <w:p w14:paraId="40B9E47A" w14:textId="77777777" w:rsidR="007C32F3" w:rsidRPr="00D72626" w:rsidRDefault="007C32F3" w:rsidP="007C32F3">
      <w:pPr>
        <w:spacing w:after="0" w:line="480" w:lineRule="auto"/>
        <w:rPr>
          <w:rFonts w:eastAsia="Calibri"/>
          <w:kern w:val="2"/>
          <w:szCs w:val="24"/>
          <w14:ligatures w14:val="standardContextual"/>
        </w:rPr>
      </w:pPr>
    </w:p>
    <w:p w14:paraId="49DFB126" w14:textId="77777777" w:rsidR="007C32F3" w:rsidRDefault="007C32F3" w:rsidP="007C32F3">
      <w:pPr>
        <w:spacing w:line="480" w:lineRule="auto"/>
        <w:rPr>
          <w:b/>
        </w:rPr>
      </w:pPr>
    </w:p>
    <w:p w14:paraId="1F92B7EA" w14:textId="77777777" w:rsidR="007C32F3" w:rsidRDefault="007C32F3" w:rsidP="007C32F3">
      <w:pPr>
        <w:spacing w:line="480" w:lineRule="auto"/>
        <w:ind w:firstLine="0"/>
        <w:jc w:val="center"/>
        <w:rPr>
          <w:rFonts w:eastAsia="Calibri"/>
          <w:b/>
          <w:kern w:val="2"/>
          <w:szCs w:val="24"/>
          <w14:ligatures w14:val="standardContextual"/>
        </w:rPr>
      </w:pPr>
    </w:p>
    <w:p w14:paraId="7945CE7E" w14:textId="77777777" w:rsidR="007C32F3" w:rsidRDefault="007C32F3" w:rsidP="007C32F3">
      <w:pPr>
        <w:spacing w:line="480" w:lineRule="auto"/>
        <w:ind w:firstLine="0"/>
        <w:jc w:val="center"/>
        <w:rPr>
          <w:rFonts w:eastAsia="Calibri"/>
          <w:b/>
          <w:kern w:val="2"/>
          <w:szCs w:val="24"/>
          <w14:ligatures w14:val="standardContextual"/>
        </w:rPr>
      </w:pPr>
    </w:p>
    <w:p w14:paraId="26FAE715" w14:textId="4C22B66F" w:rsidR="007C32F3" w:rsidRPr="007C32F3" w:rsidRDefault="007C32F3" w:rsidP="007C32F3">
      <w:pPr>
        <w:spacing w:line="480" w:lineRule="auto"/>
        <w:ind w:firstLine="0"/>
        <w:jc w:val="center"/>
        <w:rPr>
          <w:b/>
        </w:rPr>
      </w:pPr>
      <w:r w:rsidRPr="00D72626">
        <w:rPr>
          <w:rFonts w:eastAsia="Calibri"/>
          <w:b/>
          <w:kern w:val="2"/>
          <w:szCs w:val="24"/>
          <w14:ligatures w14:val="standardContextual"/>
        </w:rPr>
        <w:t>SUBMISSION DATE</w:t>
      </w:r>
      <w:r>
        <w:rPr>
          <w:rFonts w:eastAsia="Calibri"/>
          <w:b/>
          <w:kern w:val="2"/>
          <w:szCs w:val="24"/>
          <w14:ligatures w14:val="standardContextual"/>
        </w:rPr>
        <w:t xml:space="preserve"> </w:t>
      </w:r>
      <w:r>
        <w:rPr>
          <w:rFonts w:eastAsia="Calibri"/>
          <w:b/>
          <w:kern w:val="2"/>
          <w:szCs w:val="24"/>
          <w14:ligatures w14:val="standardContextual"/>
        </w:rPr>
        <w:t>24</w:t>
      </w:r>
      <w:r w:rsidRPr="00D72626">
        <w:rPr>
          <w:rFonts w:eastAsia="Calibri"/>
          <w:b/>
          <w:kern w:val="2"/>
          <w:szCs w:val="24"/>
          <w:vertAlign w:val="superscript"/>
          <w14:ligatures w14:val="standardContextual"/>
        </w:rPr>
        <w:t>TH</w:t>
      </w:r>
      <w:r w:rsidRPr="00D72626">
        <w:rPr>
          <w:rFonts w:eastAsia="Calibri"/>
          <w:b/>
          <w:kern w:val="2"/>
          <w:szCs w:val="24"/>
          <w14:ligatures w14:val="standardContextual"/>
        </w:rPr>
        <w:t xml:space="preserve"> </w:t>
      </w:r>
      <w:r>
        <w:rPr>
          <w:rFonts w:eastAsia="Calibri"/>
          <w:b/>
          <w:kern w:val="2"/>
          <w:szCs w:val="24"/>
          <w14:ligatures w14:val="standardContextual"/>
        </w:rPr>
        <w:t>April</w:t>
      </w:r>
      <w:r w:rsidRPr="00D72626">
        <w:rPr>
          <w:rFonts w:eastAsia="Calibri"/>
          <w:b/>
          <w:kern w:val="2"/>
          <w:szCs w:val="24"/>
          <w14:ligatures w14:val="standardContextual"/>
        </w:rPr>
        <w:t xml:space="preserve"> 202</w:t>
      </w:r>
      <w:r>
        <w:rPr>
          <w:rFonts w:eastAsia="Calibri"/>
          <w:b/>
          <w:kern w:val="2"/>
          <w:szCs w:val="24"/>
          <w14:ligatures w14:val="standardContextual"/>
        </w:rPr>
        <w:t>6</w:t>
      </w:r>
      <w:r>
        <w:br w:type="page"/>
      </w:r>
    </w:p>
    <w:p w14:paraId="3162D428" w14:textId="5F71ACB1" w:rsidR="00F07AE6" w:rsidRDefault="00F07AE6" w:rsidP="00F07AE6">
      <w:pPr>
        <w:spacing w:before="0" w:beforeAutospacing="0" w:after="0" w:afterAutospacing="0" w:line="360" w:lineRule="auto"/>
        <w:ind w:firstLine="0"/>
      </w:pPr>
      <w:r>
        <w:lastRenderedPageBreak/>
        <w:t>MANGUNGU ADVOCATES COMPANY</w:t>
      </w:r>
    </w:p>
    <w:p w14:paraId="236B395A" w14:textId="77777777" w:rsidR="00F07AE6" w:rsidRDefault="00F07AE6" w:rsidP="00F07AE6">
      <w:pPr>
        <w:spacing w:before="0" w:beforeAutospacing="0" w:after="0" w:afterAutospacing="0" w:line="360" w:lineRule="auto"/>
        <w:ind w:firstLine="0"/>
      </w:pPr>
      <w:r>
        <w:t xml:space="preserve">P.O. Box 55, </w:t>
      </w:r>
    </w:p>
    <w:p w14:paraId="23C2AA93" w14:textId="2E17E0F5" w:rsidR="00F07AE6" w:rsidRDefault="00F07AE6" w:rsidP="00F07AE6">
      <w:pPr>
        <w:spacing w:before="0" w:beforeAutospacing="0" w:after="0" w:afterAutospacing="0" w:line="360" w:lineRule="auto"/>
        <w:ind w:firstLine="0"/>
      </w:pPr>
      <w:r>
        <w:t>Nyaza, Zambara</w:t>
      </w:r>
    </w:p>
    <w:p w14:paraId="7E1686FD" w14:textId="1DFB4901" w:rsidR="00F07AE6" w:rsidRDefault="00F07AE6" w:rsidP="00F07AE6">
      <w:pPr>
        <w:spacing w:before="0" w:beforeAutospacing="0" w:after="0" w:afterAutospacing="0" w:line="360" w:lineRule="auto"/>
        <w:ind w:firstLine="0"/>
      </w:pPr>
      <w:r>
        <w:t>DATE: 22</w:t>
      </w:r>
      <w:r w:rsidRPr="00F07AE6">
        <w:rPr>
          <w:vertAlign w:val="superscript"/>
        </w:rPr>
        <w:t>nd</w:t>
      </w:r>
      <w:r>
        <w:t xml:space="preserve"> April 2026</w:t>
      </w:r>
    </w:p>
    <w:p w14:paraId="4145A3F4" w14:textId="73D48B4F" w:rsidR="00F07AE6" w:rsidRDefault="00F07AE6" w:rsidP="00F07AE6">
      <w:pPr>
        <w:spacing w:before="0" w:beforeAutospacing="0" w:after="0" w:afterAutospacing="0" w:line="360" w:lineRule="auto"/>
        <w:ind w:firstLine="0"/>
      </w:pPr>
      <w:r>
        <w:t>TO: The Executive Director, Public Interest Organization</w:t>
      </w:r>
    </w:p>
    <w:p w14:paraId="27AF8DDA" w14:textId="77777777" w:rsidR="00F07AE6" w:rsidRDefault="00F07AE6" w:rsidP="00F07AE6">
      <w:pPr>
        <w:spacing w:before="0" w:beforeAutospacing="0" w:after="0" w:afterAutospacing="0" w:line="360" w:lineRule="auto"/>
        <w:ind w:firstLine="0"/>
      </w:pPr>
      <w:r>
        <w:t>FROM: Mangimeza Masinde, Senior Advocate.</w:t>
      </w:r>
    </w:p>
    <w:p w14:paraId="2EA6C618" w14:textId="60D70664" w:rsidR="00F07AE6" w:rsidRPr="00F07AE6" w:rsidRDefault="00F07AE6" w:rsidP="00F07AE6">
      <w:pPr>
        <w:spacing w:line="360" w:lineRule="auto"/>
        <w:rPr>
          <w:b/>
          <w:bCs/>
          <w:u w:val="single"/>
        </w:rPr>
      </w:pPr>
      <w:r w:rsidRPr="00F07AE6">
        <w:rPr>
          <w:b/>
          <w:bCs/>
          <w:u w:val="single"/>
        </w:rPr>
        <w:t>RE: LEGAL OPINION ON THE CONSTITUTIONALITY OF PRESIDENTIAL APPOINTMENTS OF MEMBERS OF PARLIAMENT IN THE REPUBLIC OF ZAMBARA</w:t>
      </w:r>
    </w:p>
    <w:p w14:paraId="4F0A65E1" w14:textId="77777777" w:rsidR="00F07AE6" w:rsidRDefault="00F07AE6" w:rsidP="00F07AE6">
      <w:pPr>
        <w:spacing w:line="360" w:lineRule="auto"/>
        <w:ind w:firstLine="0"/>
      </w:pPr>
      <w:r>
        <w:t>1.0 INTRODUCTION</w:t>
      </w:r>
    </w:p>
    <w:p w14:paraId="21B11364" w14:textId="47C69D2D" w:rsidR="00F07AE6" w:rsidRDefault="00F07AE6" w:rsidP="006C207B">
      <w:pPr>
        <w:spacing w:line="360" w:lineRule="auto"/>
      </w:pPr>
      <w:r>
        <w:t>I have been requested by your organization to provide a reasoned legal opinion regarding the recent appointment of eleven (11) individuals to the Parliament by the President of the Republic of Zambara. The primary concern is whether these appointments align with the Constitutional standards of adequate qualifications, integrity, and the ability to contribute effectively to parliamentary functions.</w:t>
      </w:r>
    </w:p>
    <w:p w14:paraId="57772FB2" w14:textId="1C943507" w:rsidR="00F07AE6" w:rsidRDefault="00D67840" w:rsidP="00F07AE6">
      <w:pPr>
        <w:spacing w:line="360" w:lineRule="auto"/>
        <w:ind w:firstLine="0"/>
      </w:pPr>
      <w:r>
        <w:t>2</w:t>
      </w:r>
      <w:r w:rsidR="00F07AE6">
        <w:t>.0 LEGAL ISSUES FOR DETERMINATION</w:t>
      </w:r>
    </w:p>
    <w:p w14:paraId="126D9277" w14:textId="77777777" w:rsidR="00F07AE6" w:rsidRDefault="00F07AE6" w:rsidP="00F07AE6">
      <w:pPr>
        <w:spacing w:line="360" w:lineRule="auto"/>
        <w:ind w:firstLine="0"/>
      </w:pPr>
      <w:r>
        <w:t>The following issues are central to this inquiry:</w:t>
      </w:r>
    </w:p>
    <w:p w14:paraId="2FBDB455" w14:textId="6596E18F" w:rsidR="00F07AE6" w:rsidRDefault="00F07AE6" w:rsidP="00CA2CB0">
      <w:pPr>
        <w:pStyle w:val="ListParagraph"/>
        <w:numPr>
          <w:ilvl w:val="0"/>
          <w:numId w:val="4"/>
        </w:numPr>
        <w:spacing w:line="360" w:lineRule="auto"/>
        <w:ind w:left="1418"/>
      </w:pPr>
      <w:r>
        <w:t>Whether the President has exceeded the limits of his discretionary powers.</w:t>
      </w:r>
    </w:p>
    <w:p w14:paraId="5BEA6DA8" w14:textId="77777777" w:rsidR="00F07AE6" w:rsidRDefault="00F07AE6" w:rsidP="00CA2CB0">
      <w:pPr>
        <w:pStyle w:val="ListParagraph"/>
        <w:numPr>
          <w:ilvl w:val="0"/>
          <w:numId w:val="4"/>
        </w:numPr>
        <w:spacing w:line="360" w:lineRule="auto"/>
        <w:ind w:left="1418"/>
      </w:pPr>
      <w:bookmarkStart w:id="0" w:name="_Hlk227780574"/>
      <w:r>
        <w:t>What constitutes adequate qualifications and integrity within the meaning of the Constitution.</w:t>
      </w:r>
    </w:p>
    <w:p w14:paraId="20488B04" w14:textId="031340B4" w:rsidR="00F07AE6" w:rsidRDefault="00F07AE6" w:rsidP="00CA2CB0">
      <w:pPr>
        <w:pStyle w:val="ListParagraph"/>
        <w:numPr>
          <w:ilvl w:val="0"/>
          <w:numId w:val="4"/>
        </w:numPr>
        <w:spacing w:line="360" w:lineRule="auto"/>
        <w:ind w:left="1418"/>
      </w:pPr>
      <w:bookmarkStart w:id="1" w:name="_Hlk227782307"/>
      <w:bookmarkEnd w:id="0"/>
      <w:r>
        <w:t xml:space="preserve">Whether the appointments </w:t>
      </w:r>
      <w:r w:rsidR="007230E2">
        <w:t>amount to an abuse of discretion or violation of constitutional principles.</w:t>
      </w:r>
    </w:p>
    <w:p w14:paraId="5FA64753" w14:textId="22C2A534" w:rsidR="00F07AE6" w:rsidRDefault="00F07AE6" w:rsidP="00CA2CB0">
      <w:pPr>
        <w:pStyle w:val="ListParagraph"/>
        <w:numPr>
          <w:ilvl w:val="0"/>
          <w:numId w:val="4"/>
        </w:numPr>
        <w:spacing w:line="360" w:lineRule="auto"/>
        <w:ind w:left="1418"/>
      </w:pPr>
      <w:bookmarkStart w:id="2" w:name="_Hlk227783755"/>
      <w:bookmarkEnd w:id="1"/>
      <w:r>
        <w:t>Whether the matter is justiciable and subject to judicial review</w:t>
      </w:r>
      <w:bookmarkEnd w:id="2"/>
      <w:r>
        <w:t>.</w:t>
      </w:r>
    </w:p>
    <w:p w14:paraId="090B1538" w14:textId="646BFC0D" w:rsidR="00F07AE6" w:rsidRDefault="00D67840" w:rsidP="00F07AE6">
      <w:pPr>
        <w:spacing w:line="360" w:lineRule="auto"/>
        <w:ind w:firstLine="0"/>
      </w:pPr>
      <w:r>
        <w:t>3</w:t>
      </w:r>
      <w:r w:rsidR="00F07AE6">
        <w:t>.0 ANALYSIS OF THE ISSUES</w:t>
      </w:r>
    </w:p>
    <w:p w14:paraId="451D37CF" w14:textId="1D4E72CD" w:rsidR="00F07AE6" w:rsidRDefault="00D67840" w:rsidP="00F07AE6">
      <w:pPr>
        <w:spacing w:line="360" w:lineRule="auto"/>
        <w:rPr>
          <w:b/>
          <w:bCs/>
        </w:rPr>
      </w:pPr>
      <w:r>
        <w:rPr>
          <w:b/>
          <w:bCs/>
        </w:rPr>
        <w:t>3</w:t>
      </w:r>
      <w:r w:rsidR="00F07AE6" w:rsidRPr="00F07AE6">
        <w:rPr>
          <w:b/>
          <w:bCs/>
        </w:rPr>
        <w:t xml:space="preserve">.1 </w:t>
      </w:r>
      <w:r w:rsidR="00DE3D4B" w:rsidRPr="00DE3D4B">
        <w:rPr>
          <w:b/>
          <w:bCs/>
        </w:rPr>
        <w:t>Whether the President has exceeded the limits of his discretionary powers.</w:t>
      </w:r>
    </w:p>
    <w:p w14:paraId="6E1202BC" w14:textId="19260CB9" w:rsidR="00F07AE6" w:rsidRPr="007D2903" w:rsidRDefault="00F07AE6" w:rsidP="007D2903">
      <w:pPr>
        <w:spacing w:line="360" w:lineRule="auto"/>
        <w:rPr>
          <w:b/>
          <w:bCs/>
        </w:rPr>
      </w:pPr>
      <w:r>
        <w:t>Under Article 66(1)(e) of the Constitution, the President is granted the power to appoint Members of Parliament. However, this power is not absolute.</w:t>
      </w:r>
      <w:r w:rsidR="007D2903">
        <w:rPr>
          <w:b/>
          <w:bCs/>
        </w:rPr>
        <w:t xml:space="preserve"> </w:t>
      </w:r>
      <w:r>
        <w:t xml:space="preserve">Firstly, Article 66(1)(e) explicitly limits the President to appointing not more than ten (10) members. </w:t>
      </w:r>
      <w:r w:rsidR="004963A7">
        <w:t>From the material fact</w:t>
      </w:r>
      <w:r>
        <w:t xml:space="preserve">, the President appointed 11 individuals. This is a </w:t>
      </w:r>
      <w:r w:rsidRPr="004963A7">
        <w:rPr>
          <w:i/>
          <w:iCs/>
        </w:rPr>
        <w:t xml:space="preserve">prima facie </w:t>
      </w:r>
      <w:r>
        <w:t xml:space="preserve">violation of the Constitution. Any appointment exceeding the constitutional threshold is </w:t>
      </w:r>
      <w:r w:rsidRPr="004963A7">
        <w:rPr>
          <w:i/>
          <w:iCs/>
        </w:rPr>
        <w:t>ultra vires</w:t>
      </w:r>
      <w:r>
        <w:t xml:space="preserve"> and </w:t>
      </w:r>
      <w:r w:rsidRPr="004963A7">
        <w:rPr>
          <w:i/>
          <w:iCs/>
        </w:rPr>
        <w:t>void ab initio</w:t>
      </w:r>
      <w:r>
        <w:t>.</w:t>
      </w:r>
    </w:p>
    <w:p w14:paraId="1E76E742" w14:textId="12536A6C" w:rsidR="00F07AE6" w:rsidRDefault="00F07AE6" w:rsidP="007D2903">
      <w:pPr>
        <w:spacing w:line="360" w:lineRule="auto"/>
      </w:pPr>
      <w:r>
        <w:t>Secondly, the discretion mentioned by the government is a legal discretion subject to the Rule</w:t>
      </w:r>
      <w:r w:rsidR="004963A7">
        <w:t xml:space="preserve"> </w:t>
      </w:r>
      <w:r>
        <w:t xml:space="preserve">of Law. As established in the landmark case of </w:t>
      </w:r>
      <w:r w:rsidRPr="004963A7">
        <w:rPr>
          <w:b/>
          <w:bCs/>
        </w:rPr>
        <w:t>James Funke Gwagilo v. Attorney General</w:t>
      </w:r>
      <w:r w:rsidR="004963A7">
        <w:rPr>
          <w:b/>
          <w:bCs/>
        </w:rPr>
        <w:t xml:space="preserve"> </w:t>
      </w:r>
      <w:r w:rsidR="004963A7">
        <w:rPr>
          <w:rStyle w:val="FootnoteReference"/>
          <w:b/>
          <w:bCs/>
        </w:rPr>
        <w:footnoteReference w:id="1"/>
      </w:r>
      <w:r>
        <w:t>, the notion of subjective or unfettered discretion is contrary to the Rule of</w:t>
      </w:r>
      <w:r w:rsidR="004963A7">
        <w:t xml:space="preserve"> </w:t>
      </w:r>
      <w:r>
        <w:t>Law. Even where a statute or the Constitution says the President may act if he considers it</w:t>
      </w:r>
      <w:r w:rsidR="004963A7">
        <w:t xml:space="preserve"> </w:t>
      </w:r>
      <w:r>
        <w:t>necessary, that discretion must be exercised objectively and reasonably.</w:t>
      </w:r>
      <w:r w:rsidR="007D2903">
        <w:t xml:space="preserve"> </w:t>
      </w:r>
      <w:r>
        <w:t>Here, the purpose is to represent special interests and enhance legislative debate. When the</w:t>
      </w:r>
      <w:r w:rsidR="004963A7">
        <w:t xml:space="preserve"> </w:t>
      </w:r>
      <w:r>
        <w:t>President appoints individuals based on political loyalty rather than these objectives, he</w:t>
      </w:r>
      <w:r w:rsidR="004963A7">
        <w:t xml:space="preserve"> </w:t>
      </w:r>
      <w:r>
        <w:t>commits a</w:t>
      </w:r>
      <w:r w:rsidR="007D2903">
        <w:t xml:space="preserve"> </w:t>
      </w:r>
      <w:r>
        <w:t>misdirection, which is a ground for judicial intervention.</w:t>
      </w:r>
    </w:p>
    <w:p w14:paraId="529296D5" w14:textId="54D38025" w:rsidR="00F07AE6" w:rsidRPr="00DE3D4B" w:rsidRDefault="00D67840" w:rsidP="00F07AE6">
      <w:pPr>
        <w:spacing w:line="360" w:lineRule="auto"/>
        <w:rPr>
          <w:b/>
          <w:bCs/>
        </w:rPr>
      </w:pPr>
      <w:r>
        <w:rPr>
          <w:b/>
          <w:bCs/>
        </w:rPr>
        <w:t>3</w:t>
      </w:r>
      <w:r w:rsidR="00F07AE6" w:rsidRPr="00DE3D4B">
        <w:rPr>
          <w:b/>
          <w:bCs/>
        </w:rPr>
        <w:t xml:space="preserve">.2 </w:t>
      </w:r>
      <w:r w:rsidR="00DE3D4B" w:rsidRPr="00DE3D4B">
        <w:rPr>
          <w:b/>
          <w:bCs/>
        </w:rPr>
        <w:t>What constitutes adequate qualifications and integrity within the meaning of the Constitution.</w:t>
      </w:r>
    </w:p>
    <w:p w14:paraId="64E427D2" w14:textId="56A4FB14" w:rsidR="00F07AE6" w:rsidRDefault="00F07AE6" w:rsidP="00EF281B">
      <w:pPr>
        <w:spacing w:line="360" w:lineRule="auto"/>
      </w:pPr>
      <w:r>
        <w:t>While the term adequate allows for</w:t>
      </w:r>
      <w:r w:rsidR="00ED0407">
        <w:t xml:space="preserve"> </w:t>
      </w:r>
      <w:r>
        <w:t>some subjectivity, it must be read alongside the duties of an MP under Article 63</w:t>
      </w:r>
      <w:r w:rsidR="004B44CE">
        <w:t xml:space="preserve"> of our Constitution which emphasize the parliament</w:t>
      </w:r>
      <w:r>
        <w:t xml:space="preserve"> </w:t>
      </w:r>
      <w:r w:rsidR="004B44CE">
        <w:t>a</w:t>
      </w:r>
      <w:r>
        <w:t>s</w:t>
      </w:r>
      <w:r w:rsidR="00ED0407">
        <w:t xml:space="preserve"> </w:t>
      </w:r>
      <w:r>
        <w:t xml:space="preserve">a specialized organ for legislation and oversight. In </w:t>
      </w:r>
      <w:r w:rsidRPr="00ED0407">
        <w:rPr>
          <w:b/>
          <w:bCs/>
        </w:rPr>
        <w:t>Rev. Christopher Mtikila v. Attorney</w:t>
      </w:r>
      <w:r w:rsidR="00ED0407" w:rsidRPr="00ED0407">
        <w:rPr>
          <w:b/>
          <w:bCs/>
        </w:rPr>
        <w:t xml:space="preserve"> </w:t>
      </w:r>
      <w:r w:rsidRPr="00ED0407">
        <w:rPr>
          <w:b/>
          <w:bCs/>
        </w:rPr>
        <w:t>General</w:t>
      </w:r>
      <w:r>
        <w:t xml:space="preserve"> </w:t>
      </w:r>
      <w:r w:rsidR="00EF281B">
        <w:rPr>
          <w:rStyle w:val="FootnoteReference"/>
        </w:rPr>
        <w:footnoteReference w:id="2"/>
      </w:r>
      <w:r>
        <w:t>, the court held that constitutional provisions must be interpreted to promote</w:t>
      </w:r>
      <w:r w:rsidR="00EF281B">
        <w:t xml:space="preserve"> </w:t>
      </w:r>
      <w:r>
        <w:t>democratic governance. Appointing individuals without education or governance</w:t>
      </w:r>
      <w:r w:rsidR="00EF281B">
        <w:t xml:space="preserve"> </w:t>
      </w:r>
      <w:r>
        <w:t>experience ignores the functional necessity of the office, rendering the</w:t>
      </w:r>
      <w:r w:rsidR="00EF281B">
        <w:t xml:space="preserve"> </w:t>
      </w:r>
      <w:r>
        <w:t>appointment irrational and arbitrary.</w:t>
      </w:r>
    </w:p>
    <w:p w14:paraId="77FF0BCF" w14:textId="7C0D410A" w:rsidR="00F07AE6" w:rsidRDefault="00F07AE6" w:rsidP="006C207B">
      <w:pPr>
        <w:spacing w:line="360" w:lineRule="auto"/>
      </w:pPr>
      <w:r>
        <w:t>Under the Leadership</w:t>
      </w:r>
      <w:r w:rsidR="00EF281B">
        <w:t xml:space="preserve"> </w:t>
      </w:r>
      <w:r>
        <w:t>Code of Ethics Act</w:t>
      </w:r>
      <w:r w:rsidR="00230269">
        <w:rPr>
          <w:rStyle w:val="FootnoteReference"/>
        </w:rPr>
        <w:footnoteReference w:id="3"/>
      </w:r>
      <w:r>
        <w:t xml:space="preserve"> (stemming from Article 132), a leader must be beyond reproach. In</w:t>
      </w:r>
      <w:r w:rsidR="00EF281B">
        <w:t xml:space="preserve"> </w:t>
      </w:r>
      <w:r w:rsidRPr="00EF281B">
        <w:rPr>
          <w:b/>
          <w:bCs/>
        </w:rPr>
        <w:t>Attorney General v. Aman Walid Kaborou</w:t>
      </w:r>
      <w:r w:rsidR="006C207B">
        <w:rPr>
          <w:rStyle w:val="FootnoteReference"/>
          <w:b/>
          <w:bCs/>
        </w:rPr>
        <w:footnoteReference w:id="4"/>
      </w:r>
      <w:r>
        <w:t>, the courts underscored that public leadership</w:t>
      </w:r>
      <w:r w:rsidR="00EF281B">
        <w:t xml:space="preserve"> </w:t>
      </w:r>
      <w:r>
        <w:t>requires the maintenance of public confidence. Appointing a person under investigation for</w:t>
      </w:r>
      <w:r w:rsidR="00EF281B">
        <w:t xml:space="preserve"> </w:t>
      </w:r>
      <w:r>
        <w:t>financial misconduct violates the integrity threshold. The President has a</w:t>
      </w:r>
      <w:r w:rsidR="00EF281B">
        <w:t xml:space="preserve"> </w:t>
      </w:r>
      <w:r>
        <w:t>fiduciary duty to ensure that appointees do not bring the House into disrepute.</w:t>
      </w:r>
    </w:p>
    <w:p w14:paraId="0E74EFF3" w14:textId="57B552AC" w:rsidR="00F07AE6" w:rsidRPr="007230E2" w:rsidRDefault="007230E2" w:rsidP="00F07AE6">
      <w:pPr>
        <w:spacing w:line="360" w:lineRule="auto"/>
        <w:rPr>
          <w:b/>
          <w:bCs/>
        </w:rPr>
      </w:pPr>
      <w:r w:rsidRPr="007230E2">
        <w:rPr>
          <w:b/>
          <w:bCs/>
        </w:rPr>
        <w:t>3</w:t>
      </w:r>
      <w:r w:rsidR="00F07AE6" w:rsidRPr="007230E2">
        <w:rPr>
          <w:b/>
          <w:bCs/>
        </w:rPr>
        <w:t xml:space="preserve">.3 </w:t>
      </w:r>
      <w:r w:rsidRPr="007230E2">
        <w:rPr>
          <w:b/>
          <w:bCs/>
        </w:rPr>
        <w:t>Whether the appointments amount to an abuse of discretion or violation of constitutional principles.</w:t>
      </w:r>
    </w:p>
    <w:p w14:paraId="3B36D044" w14:textId="0571B085" w:rsidR="007230E2" w:rsidRDefault="007230E2" w:rsidP="00F07AE6">
      <w:pPr>
        <w:spacing w:line="360" w:lineRule="auto"/>
      </w:pPr>
      <w:r w:rsidRPr="007230E2">
        <w:rPr>
          <w:b/>
          <w:bCs/>
        </w:rPr>
        <w:t>First</w:t>
      </w:r>
      <w:r>
        <w:t xml:space="preserve">, the appointment of an individual holding a seat in another representative assembly is a direct breach of the mandatory disqualification found under Article 67(2)(g) of the Constitution. This is not a matter of choice; it is a legal barrier that renders the appointment void from the start. </w:t>
      </w:r>
      <w:r w:rsidRPr="007230E2">
        <w:rPr>
          <w:b/>
          <w:bCs/>
        </w:rPr>
        <w:t>Second</w:t>
      </w:r>
      <w:r>
        <w:t xml:space="preserve">, by appointing six males based solely on their party campaign activities, this ignores the gender balance principle intended by Article 66(1)(e). As the court emphasized in the case of </w:t>
      </w:r>
      <w:r w:rsidRPr="007230E2">
        <w:rPr>
          <w:b/>
          <w:bCs/>
        </w:rPr>
        <w:t>Festo Balegele and 794 Others v. Dar es Salaam City Council</w:t>
      </w:r>
      <w:r>
        <w:rPr>
          <w:rStyle w:val="FootnoteReference"/>
          <w:b/>
          <w:bCs/>
        </w:rPr>
        <w:footnoteReference w:id="5"/>
      </w:r>
      <w:r>
        <w:t>, public power is a trust that must be used for the benefit of the citizens, not for hidden political agendas. Using a public office for political favors is against constitutional requirements as per Article 66(1)(e), makes the entire exercise an abuse of discretion.</w:t>
      </w:r>
    </w:p>
    <w:p w14:paraId="42D76B28" w14:textId="5E8A96EA" w:rsidR="00F07AE6" w:rsidRPr="002B64DC" w:rsidRDefault="002B64DC" w:rsidP="00F07AE6">
      <w:pPr>
        <w:spacing w:line="360" w:lineRule="auto"/>
        <w:rPr>
          <w:b/>
          <w:bCs/>
        </w:rPr>
      </w:pPr>
      <w:r w:rsidRPr="002B64DC">
        <w:rPr>
          <w:b/>
          <w:bCs/>
        </w:rPr>
        <w:t>3</w:t>
      </w:r>
      <w:r w:rsidR="00F07AE6" w:rsidRPr="002B64DC">
        <w:rPr>
          <w:b/>
          <w:bCs/>
        </w:rPr>
        <w:t xml:space="preserve">.4 </w:t>
      </w:r>
      <w:r w:rsidRPr="002B64DC">
        <w:rPr>
          <w:b/>
          <w:bCs/>
        </w:rPr>
        <w:t>Whether the matter is justiciable and subject to judicial review</w:t>
      </w:r>
    </w:p>
    <w:p w14:paraId="2A55C9BC" w14:textId="65A0BF08" w:rsidR="00D67840" w:rsidRDefault="00F07AE6" w:rsidP="00D67840">
      <w:pPr>
        <w:spacing w:line="360" w:lineRule="auto"/>
      </w:pPr>
      <w:r>
        <w:t>Presidential appointments are matters of state policy beyond judicial reach. However, Tanzania</w:t>
      </w:r>
      <w:r w:rsidR="00685E9A">
        <w:t xml:space="preserve"> </w:t>
      </w:r>
      <w:r w:rsidR="00D67840">
        <w:t>laws</w:t>
      </w:r>
      <w:r>
        <w:t xml:space="preserve"> firmly </w:t>
      </w:r>
      <w:r w:rsidR="00D67840">
        <w:t>gives power to</w:t>
      </w:r>
      <w:r>
        <w:t xml:space="preserve"> the Judiciary when </w:t>
      </w:r>
      <w:r w:rsidR="00D67840">
        <w:t xml:space="preserve">there is any </w:t>
      </w:r>
      <w:r>
        <w:t>constitutional</w:t>
      </w:r>
      <w:r w:rsidR="00D67840">
        <w:t xml:space="preserve"> violation</w:t>
      </w:r>
      <w:r w:rsidR="00D67840">
        <w:rPr>
          <w:rStyle w:val="FootnoteReference"/>
        </w:rPr>
        <w:footnoteReference w:id="6"/>
      </w:r>
      <w:r>
        <w:t>.</w:t>
      </w:r>
      <w:r w:rsidR="00685E9A">
        <w:t xml:space="preserve"> </w:t>
      </w:r>
      <w:r>
        <w:t xml:space="preserve">In </w:t>
      </w:r>
      <w:r w:rsidR="003575B1">
        <w:t xml:space="preserve">the case of </w:t>
      </w:r>
      <w:r w:rsidR="00D67840" w:rsidRPr="003575B1">
        <w:rPr>
          <w:b/>
          <w:bCs/>
        </w:rPr>
        <w:t>Ishengoma Ndyanabo v. Attorney General</w:t>
      </w:r>
      <w:r w:rsidR="00D67840">
        <w:rPr>
          <w:rStyle w:val="FootnoteReference"/>
        </w:rPr>
        <w:footnoteReference w:id="7"/>
      </w:r>
      <w:r w:rsidR="00D67840">
        <w:t xml:space="preserve"> </w:t>
      </w:r>
      <w:r>
        <w:t>the Court of Appeal held that the Constitution is the</w:t>
      </w:r>
      <w:r w:rsidR="00685E9A">
        <w:t xml:space="preserve"> </w:t>
      </w:r>
      <w:r>
        <w:t>supreme law, and any exercise of power</w:t>
      </w:r>
      <w:r w:rsidR="00685E9A">
        <w:t xml:space="preserve"> </w:t>
      </w:r>
      <w:r>
        <w:t>including that of the President</w:t>
      </w:r>
      <w:r w:rsidR="00685E9A">
        <w:t xml:space="preserve"> </w:t>
      </w:r>
      <w:r>
        <w:t>is subject to</w:t>
      </w:r>
      <w:r w:rsidR="003575B1">
        <w:t xml:space="preserve"> review</w:t>
      </w:r>
      <w:r w:rsidR="00685E9A">
        <w:t xml:space="preserve"> </w:t>
      </w:r>
      <w:r>
        <w:t xml:space="preserve">if it violates constitutional boundaries. </w:t>
      </w:r>
    </w:p>
    <w:p w14:paraId="67C5E17D" w14:textId="0788F78E" w:rsidR="00F07AE6" w:rsidRDefault="00F07AE6" w:rsidP="00D67840">
      <w:pPr>
        <w:spacing w:line="360" w:lineRule="auto"/>
      </w:pPr>
      <w:r>
        <w:t xml:space="preserve">The appointment of an 11th member is, by definition, arbitrary as it ignores a clear </w:t>
      </w:r>
      <w:r w:rsidR="003575B1">
        <w:t>pass the limit of 10</w:t>
      </w:r>
      <w:r>
        <w:t>. Likewise, appointing an individual under financial investigation fails the</w:t>
      </w:r>
      <w:r w:rsidR="00685E9A">
        <w:t xml:space="preserve"> </w:t>
      </w:r>
      <w:r>
        <w:t>reasonableness test. If the President's actions cannot be objectively</w:t>
      </w:r>
      <w:r w:rsidR="00685E9A">
        <w:t xml:space="preserve"> </w:t>
      </w:r>
      <w:r>
        <w:t>justified against the criteria of integrity and qualifications, they are subject to being quashed by</w:t>
      </w:r>
      <w:r w:rsidR="00685E9A">
        <w:t xml:space="preserve"> </w:t>
      </w:r>
      <w:r>
        <w:t>the High Court under its inherent supervisory jurisdiction</w:t>
      </w:r>
      <w:r w:rsidR="004B44CE">
        <w:rPr>
          <w:rStyle w:val="FootnoteReference"/>
        </w:rPr>
        <w:footnoteReference w:id="8"/>
      </w:r>
      <w:r>
        <w:t>.</w:t>
      </w:r>
    </w:p>
    <w:p w14:paraId="5FF606A0" w14:textId="77777777" w:rsidR="005D50B3" w:rsidRDefault="00F07AE6" w:rsidP="005D50B3">
      <w:pPr>
        <w:pStyle w:val="ListParagraph"/>
        <w:numPr>
          <w:ilvl w:val="0"/>
          <w:numId w:val="6"/>
        </w:numPr>
        <w:spacing w:line="360" w:lineRule="auto"/>
      </w:pPr>
      <w:r>
        <w:t>CONCLUSION AND RECOMMENDATIONS</w:t>
      </w:r>
    </w:p>
    <w:p w14:paraId="7AB4329A" w14:textId="129FCF1A" w:rsidR="00D67840" w:rsidRDefault="005D50B3" w:rsidP="005D50B3">
      <w:pPr>
        <w:spacing w:line="360" w:lineRule="auto"/>
        <w:ind w:firstLine="360"/>
      </w:pPr>
      <w:r>
        <w:t>The President’s actions appear inconsistent with constitutional requirements and principles established in Tanzanian case law. It is advised that a constitutional petition be filed seeking judicial review and declarations that the appointments are unconstitutional.</w:t>
      </w:r>
    </w:p>
    <w:p w14:paraId="056B9EF8" w14:textId="77777777" w:rsidR="007C32F3" w:rsidRDefault="007C32F3" w:rsidP="00D67840">
      <w:pPr>
        <w:spacing w:line="360" w:lineRule="auto"/>
        <w:ind w:firstLine="0"/>
      </w:pPr>
    </w:p>
    <w:p w14:paraId="7BF93546" w14:textId="77777777" w:rsidR="007C32F3" w:rsidRDefault="007C32F3" w:rsidP="00D67840">
      <w:pPr>
        <w:spacing w:line="360" w:lineRule="auto"/>
        <w:ind w:firstLine="0"/>
      </w:pPr>
    </w:p>
    <w:p w14:paraId="3BFD2525" w14:textId="0CBE4F69" w:rsidR="00D67840" w:rsidRDefault="00D67840" w:rsidP="00D67840">
      <w:pPr>
        <w:spacing w:line="360" w:lineRule="auto"/>
        <w:ind w:firstLine="0"/>
      </w:pPr>
      <w:r>
        <w:t>__________________</w:t>
      </w:r>
    </w:p>
    <w:p w14:paraId="6EC14D9A" w14:textId="60FBEE98" w:rsidR="00D67840" w:rsidRDefault="00F07AE6" w:rsidP="00D67840">
      <w:pPr>
        <w:spacing w:line="360" w:lineRule="auto"/>
        <w:ind w:firstLine="0"/>
      </w:pPr>
      <w:r>
        <w:t xml:space="preserve">Mangimeza Masinde </w:t>
      </w:r>
    </w:p>
    <w:p w14:paraId="6F02FEF5" w14:textId="77777777" w:rsidR="00D67840" w:rsidRDefault="00F07AE6" w:rsidP="00D67840">
      <w:pPr>
        <w:spacing w:line="360" w:lineRule="auto"/>
        <w:ind w:firstLine="0"/>
      </w:pPr>
      <w:r>
        <w:t>Senior Advocate,</w:t>
      </w:r>
    </w:p>
    <w:p w14:paraId="4C95BB97" w14:textId="55FC43B9" w:rsidR="006A37CC" w:rsidRDefault="00F07AE6" w:rsidP="00D67840">
      <w:pPr>
        <w:spacing w:line="360" w:lineRule="auto"/>
        <w:ind w:firstLine="0"/>
      </w:pPr>
      <w:r>
        <w:t>Mangungu Advocates</w:t>
      </w:r>
    </w:p>
    <w:p w14:paraId="2C9024A2" w14:textId="75BD9D06" w:rsidR="006819D9" w:rsidRPr="006819D9" w:rsidRDefault="006819D9" w:rsidP="006819D9">
      <w:pPr>
        <w:spacing w:line="360" w:lineRule="auto"/>
        <w:ind w:firstLine="0"/>
        <w:jc w:val="center"/>
        <w:rPr>
          <w:b/>
          <w:bCs/>
          <w:u w:val="single"/>
          <w:lang w:val="en-TZ"/>
        </w:rPr>
      </w:pPr>
      <w:r w:rsidRPr="006819D9">
        <w:rPr>
          <w:b/>
          <w:bCs/>
          <w:u w:val="single"/>
          <w:lang w:val="en-TZ"/>
        </w:rPr>
        <w:t>References</w:t>
      </w:r>
    </w:p>
    <w:p w14:paraId="30DA1705" w14:textId="77777777" w:rsidR="006819D9" w:rsidRPr="006819D9" w:rsidRDefault="006819D9" w:rsidP="006819D9">
      <w:pPr>
        <w:spacing w:line="360" w:lineRule="auto"/>
        <w:ind w:firstLine="0"/>
        <w:rPr>
          <w:b/>
          <w:bCs/>
          <w:lang w:val="en-TZ"/>
        </w:rPr>
      </w:pPr>
      <w:r w:rsidRPr="006819D9">
        <w:rPr>
          <w:b/>
          <w:bCs/>
          <w:lang w:val="en-TZ"/>
        </w:rPr>
        <w:t>1. Statutes and Constitutional Instruments</w:t>
      </w:r>
    </w:p>
    <w:p w14:paraId="39B1EF30" w14:textId="0D960F47" w:rsidR="006819D9" w:rsidRPr="006819D9" w:rsidRDefault="006819D9" w:rsidP="006819D9">
      <w:pPr>
        <w:numPr>
          <w:ilvl w:val="0"/>
          <w:numId w:val="7"/>
        </w:numPr>
        <w:spacing w:line="360" w:lineRule="auto"/>
        <w:rPr>
          <w:lang w:val="en-TZ"/>
        </w:rPr>
      </w:pPr>
      <w:r w:rsidRPr="006819D9">
        <w:rPr>
          <w:lang w:val="en-TZ"/>
        </w:rPr>
        <w:t>The Constitution of the United Republic of Tanzania, 1977 [Cap. 2].</w:t>
      </w:r>
    </w:p>
    <w:p w14:paraId="7A31CC24" w14:textId="0CF93AE8" w:rsidR="006819D9" w:rsidRPr="006819D9" w:rsidRDefault="006819D9" w:rsidP="006819D9">
      <w:pPr>
        <w:numPr>
          <w:ilvl w:val="0"/>
          <w:numId w:val="7"/>
        </w:numPr>
        <w:spacing w:line="360" w:lineRule="auto"/>
        <w:rPr>
          <w:lang w:val="en-TZ"/>
        </w:rPr>
      </w:pPr>
      <w:r w:rsidRPr="006819D9">
        <w:rPr>
          <w:lang w:val="en-TZ"/>
        </w:rPr>
        <w:t>The Public Leadership Code of Ethics Act [Cap. 398, R.E. 202</w:t>
      </w:r>
      <w:r>
        <w:t>3</w:t>
      </w:r>
      <w:r w:rsidRPr="006819D9">
        <w:rPr>
          <w:lang w:val="en-TZ"/>
        </w:rPr>
        <w:t>].</w:t>
      </w:r>
    </w:p>
    <w:p w14:paraId="63717AC3" w14:textId="77777777" w:rsidR="006819D9" w:rsidRPr="006819D9" w:rsidRDefault="006819D9" w:rsidP="006819D9">
      <w:pPr>
        <w:spacing w:line="360" w:lineRule="auto"/>
        <w:ind w:firstLine="0"/>
        <w:rPr>
          <w:b/>
          <w:bCs/>
          <w:lang w:val="en-TZ"/>
        </w:rPr>
      </w:pPr>
      <w:r w:rsidRPr="006819D9">
        <w:rPr>
          <w:b/>
          <w:bCs/>
          <w:lang w:val="en-TZ"/>
        </w:rPr>
        <w:t>2. Case Law</w:t>
      </w:r>
    </w:p>
    <w:p w14:paraId="137F6415" w14:textId="77777777" w:rsidR="006819D9" w:rsidRPr="006819D9" w:rsidRDefault="006819D9" w:rsidP="006819D9">
      <w:pPr>
        <w:numPr>
          <w:ilvl w:val="0"/>
          <w:numId w:val="8"/>
        </w:numPr>
        <w:spacing w:line="360" w:lineRule="auto"/>
        <w:rPr>
          <w:lang w:val="en-TZ"/>
        </w:rPr>
      </w:pPr>
      <w:r w:rsidRPr="006819D9">
        <w:rPr>
          <w:i/>
          <w:iCs/>
          <w:lang w:val="en-TZ"/>
        </w:rPr>
        <w:t>Attorney General v. Aman Walid Kaborou</w:t>
      </w:r>
      <w:r w:rsidRPr="006819D9">
        <w:rPr>
          <w:lang w:val="en-TZ"/>
        </w:rPr>
        <w:t xml:space="preserve"> [2006] TZCA 1.</w:t>
      </w:r>
    </w:p>
    <w:p w14:paraId="192F39EC" w14:textId="77777777" w:rsidR="006819D9" w:rsidRPr="006819D9" w:rsidRDefault="006819D9" w:rsidP="006819D9">
      <w:pPr>
        <w:numPr>
          <w:ilvl w:val="0"/>
          <w:numId w:val="8"/>
        </w:numPr>
        <w:spacing w:line="360" w:lineRule="auto"/>
        <w:rPr>
          <w:lang w:val="en-TZ"/>
        </w:rPr>
      </w:pPr>
      <w:r w:rsidRPr="006819D9">
        <w:rPr>
          <w:i/>
          <w:iCs/>
          <w:lang w:val="en-TZ"/>
        </w:rPr>
        <w:t>Attorney General v. Rev. Christopher Mtikila</w:t>
      </w:r>
      <w:r w:rsidRPr="006819D9">
        <w:rPr>
          <w:lang w:val="en-TZ"/>
        </w:rPr>
        <w:t>, Civil Appeal No. 45 of 2009 [2010] TZCA 63.</w:t>
      </w:r>
    </w:p>
    <w:p w14:paraId="43CDC05E" w14:textId="77777777" w:rsidR="006819D9" w:rsidRPr="006819D9" w:rsidRDefault="006819D9" w:rsidP="006819D9">
      <w:pPr>
        <w:numPr>
          <w:ilvl w:val="0"/>
          <w:numId w:val="8"/>
        </w:numPr>
        <w:spacing w:line="360" w:lineRule="auto"/>
        <w:rPr>
          <w:lang w:val="en-TZ"/>
        </w:rPr>
      </w:pPr>
      <w:r w:rsidRPr="006819D9">
        <w:rPr>
          <w:i/>
          <w:iCs/>
          <w:lang w:val="en-TZ"/>
        </w:rPr>
        <w:t>Festo Balegele and 794 Others v. Dar es Salaam City Council</w:t>
      </w:r>
      <w:r w:rsidRPr="006819D9">
        <w:rPr>
          <w:lang w:val="en-TZ"/>
        </w:rPr>
        <w:t>, Miscellaneous Civil Cause No. 90 of 1991 (Unreported).</w:t>
      </w:r>
    </w:p>
    <w:p w14:paraId="4759A160" w14:textId="77777777" w:rsidR="006819D9" w:rsidRPr="006819D9" w:rsidRDefault="006819D9" w:rsidP="006819D9">
      <w:pPr>
        <w:numPr>
          <w:ilvl w:val="0"/>
          <w:numId w:val="8"/>
        </w:numPr>
        <w:spacing w:line="360" w:lineRule="auto"/>
        <w:rPr>
          <w:lang w:val="en-TZ"/>
        </w:rPr>
      </w:pPr>
      <w:r w:rsidRPr="006819D9">
        <w:rPr>
          <w:i/>
          <w:iCs/>
          <w:lang w:val="en-TZ"/>
        </w:rPr>
        <w:t>Ishengoma Ndyanabo v. Attorney General</w:t>
      </w:r>
      <w:r w:rsidRPr="006819D9">
        <w:rPr>
          <w:lang w:val="en-TZ"/>
        </w:rPr>
        <w:t xml:space="preserve"> [2004] TLR 14 (CA).</w:t>
      </w:r>
    </w:p>
    <w:p w14:paraId="5490C7CD" w14:textId="77777777" w:rsidR="006819D9" w:rsidRPr="006819D9" w:rsidRDefault="006819D9" w:rsidP="006819D9">
      <w:pPr>
        <w:numPr>
          <w:ilvl w:val="0"/>
          <w:numId w:val="8"/>
        </w:numPr>
        <w:spacing w:line="360" w:lineRule="auto"/>
        <w:rPr>
          <w:lang w:val="en-TZ"/>
        </w:rPr>
      </w:pPr>
      <w:r w:rsidRPr="006819D9">
        <w:rPr>
          <w:i/>
          <w:iCs/>
          <w:lang w:val="en-TZ"/>
        </w:rPr>
        <w:t>James Funke Gwagilo v. Attorney General</w:t>
      </w:r>
      <w:r w:rsidRPr="006819D9">
        <w:rPr>
          <w:lang w:val="en-TZ"/>
        </w:rPr>
        <w:t xml:space="preserve"> [1994] TLR 73 (HC).</w:t>
      </w:r>
    </w:p>
    <w:p w14:paraId="514DDAD7" w14:textId="77777777" w:rsidR="006819D9" w:rsidRPr="006819D9" w:rsidRDefault="006819D9" w:rsidP="006819D9">
      <w:pPr>
        <w:numPr>
          <w:ilvl w:val="0"/>
          <w:numId w:val="8"/>
        </w:numPr>
        <w:spacing w:line="360" w:lineRule="auto"/>
        <w:rPr>
          <w:lang w:val="en-TZ"/>
        </w:rPr>
      </w:pPr>
      <w:r w:rsidRPr="006819D9">
        <w:rPr>
          <w:i/>
          <w:iCs/>
          <w:lang w:val="en-TZ"/>
        </w:rPr>
        <w:t>Rev. Christopher Mtikila v. Attorney General</w:t>
      </w:r>
      <w:r w:rsidRPr="006819D9">
        <w:rPr>
          <w:lang w:val="en-TZ"/>
        </w:rPr>
        <w:t xml:space="preserve"> [1995] TLR 31 (HC).</w:t>
      </w:r>
    </w:p>
    <w:p w14:paraId="32D13C01" w14:textId="77777777" w:rsidR="006819D9" w:rsidRPr="006819D9" w:rsidRDefault="006819D9" w:rsidP="006819D9">
      <w:pPr>
        <w:spacing w:line="360" w:lineRule="auto"/>
        <w:ind w:firstLine="0"/>
        <w:rPr>
          <w:b/>
          <w:bCs/>
          <w:lang w:val="en-TZ"/>
        </w:rPr>
      </w:pPr>
      <w:r w:rsidRPr="006819D9">
        <w:rPr>
          <w:b/>
          <w:bCs/>
          <w:lang w:val="en-TZ"/>
        </w:rPr>
        <w:t>3. International Jurisprudence</w:t>
      </w:r>
    </w:p>
    <w:p w14:paraId="62965AE3" w14:textId="648FA519" w:rsidR="006819D9" w:rsidRPr="006819D9" w:rsidRDefault="006819D9" w:rsidP="006819D9">
      <w:pPr>
        <w:numPr>
          <w:ilvl w:val="0"/>
          <w:numId w:val="9"/>
        </w:numPr>
        <w:spacing w:line="360" w:lineRule="auto"/>
        <w:rPr>
          <w:lang w:val="en-TZ"/>
        </w:rPr>
      </w:pPr>
      <w:r w:rsidRPr="006819D9">
        <w:rPr>
          <w:i/>
          <w:iCs/>
          <w:lang w:val="en-TZ"/>
        </w:rPr>
        <w:t>Tanganyika Law Society &amp; The Legal and Human Rights Centre, and Rev. Christopher R. Mtikila v. The United Republic of Tanzania</w:t>
      </w:r>
      <w:r w:rsidRPr="006819D9">
        <w:rPr>
          <w:lang w:val="en-TZ"/>
        </w:rPr>
        <w:t>, App. Nos. 009 &amp; 011 of 2011 (AfCHPR, 2013).</w:t>
      </w:r>
    </w:p>
    <w:sectPr w:rsidR="006819D9" w:rsidRPr="006819D9" w:rsidSect="007C32F3">
      <w:pgSz w:w="11906" w:h="16838" w:code="9"/>
      <w:pgMar w:top="567" w:right="900" w:bottom="709" w:left="993"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55D2C" w14:textId="77777777" w:rsidR="00EF0EF4" w:rsidRDefault="00EF0EF4" w:rsidP="004963A7">
      <w:pPr>
        <w:spacing w:before="0" w:after="0"/>
      </w:pPr>
      <w:r>
        <w:separator/>
      </w:r>
    </w:p>
  </w:endnote>
  <w:endnote w:type="continuationSeparator" w:id="0">
    <w:p w14:paraId="6189F22C" w14:textId="77777777" w:rsidR="00EF0EF4" w:rsidRDefault="00EF0EF4" w:rsidP="004963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55B53" w14:textId="77777777" w:rsidR="00EF0EF4" w:rsidRDefault="00EF0EF4" w:rsidP="004963A7">
      <w:pPr>
        <w:spacing w:before="0" w:after="0"/>
      </w:pPr>
      <w:r>
        <w:separator/>
      </w:r>
    </w:p>
  </w:footnote>
  <w:footnote w:type="continuationSeparator" w:id="0">
    <w:p w14:paraId="1D04B5A0" w14:textId="77777777" w:rsidR="00EF0EF4" w:rsidRDefault="00EF0EF4" w:rsidP="004963A7">
      <w:pPr>
        <w:spacing w:before="0" w:after="0"/>
      </w:pPr>
      <w:r>
        <w:continuationSeparator/>
      </w:r>
    </w:p>
  </w:footnote>
  <w:footnote w:id="1">
    <w:p w14:paraId="1038B2A7" w14:textId="13CD3ABA" w:rsidR="004963A7" w:rsidRPr="006C207B" w:rsidRDefault="004963A7">
      <w:pPr>
        <w:pStyle w:val="FootnoteText"/>
        <w:rPr>
          <w:rFonts w:asciiTheme="minorHAnsi" w:hAnsiTheme="minorHAnsi" w:cstheme="minorHAnsi"/>
        </w:rPr>
      </w:pPr>
      <w:r w:rsidRPr="006C207B">
        <w:rPr>
          <w:rStyle w:val="FootnoteReference"/>
          <w:rFonts w:asciiTheme="minorHAnsi" w:hAnsiTheme="minorHAnsi" w:cstheme="minorHAnsi"/>
        </w:rPr>
        <w:footnoteRef/>
      </w:r>
      <w:r w:rsidRPr="006C207B">
        <w:rPr>
          <w:rFonts w:asciiTheme="minorHAnsi" w:hAnsiTheme="minorHAnsi" w:cstheme="minorHAnsi"/>
        </w:rPr>
        <w:t xml:space="preserve"> [2004] TLR 161 (CA)</w:t>
      </w:r>
    </w:p>
  </w:footnote>
  <w:footnote w:id="2">
    <w:p w14:paraId="38603E8D" w14:textId="5BA108D9" w:rsidR="00EF281B" w:rsidRPr="006C207B" w:rsidRDefault="00EF281B">
      <w:pPr>
        <w:pStyle w:val="FootnoteText"/>
        <w:rPr>
          <w:rFonts w:asciiTheme="minorHAnsi" w:hAnsiTheme="minorHAnsi" w:cstheme="minorHAnsi"/>
        </w:rPr>
      </w:pPr>
      <w:r w:rsidRPr="006C207B">
        <w:rPr>
          <w:rStyle w:val="FootnoteReference"/>
          <w:rFonts w:asciiTheme="minorHAnsi" w:hAnsiTheme="minorHAnsi" w:cstheme="minorHAnsi"/>
        </w:rPr>
        <w:footnoteRef/>
      </w:r>
      <w:r w:rsidRPr="006C207B">
        <w:rPr>
          <w:rFonts w:asciiTheme="minorHAnsi" w:hAnsiTheme="minorHAnsi" w:cstheme="minorHAnsi"/>
        </w:rPr>
        <w:t xml:space="preserve"> Misc. Civil Cause No. 5 of 1993 [1995] TLR 31 (HC)</w:t>
      </w:r>
    </w:p>
  </w:footnote>
  <w:footnote w:id="3">
    <w:p w14:paraId="17469A86" w14:textId="248D9172" w:rsidR="00230269" w:rsidRPr="006C207B" w:rsidRDefault="00230269">
      <w:pPr>
        <w:pStyle w:val="FootnoteText"/>
        <w:rPr>
          <w:rFonts w:asciiTheme="minorHAnsi" w:hAnsiTheme="minorHAnsi" w:cstheme="minorHAnsi"/>
        </w:rPr>
      </w:pPr>
      <w:r w:rsidRPr="006C207B">
        <w:rPr>
          <w:rStyle w:val="FootnoteReference"/>
          <w:rFonts w:asciiTheme="minorHAnsi" w:hAnsiTheme="minorHAnsi" w:cstheme="minorHAnsi"/>
        </w:rPr>
        <w:footnoteRef/>
      </w:r>
      <w:r w:rsidRPr="006C207B">
        <w:rPr>
          <w:rFonts w:asciiTheme="minorHAnsi" w:hAnsiTheme="minorHAnsi" w:cstheme="minorHAnsi"/>
        </w:rPr>
        <w:t xml:space="preserve"> Cap 398 R.E 2023</w:t>
      </w:r>
    </w:p>
  </w:footnote>
  <w:footnote w:id="4">
    <w:p w14:paraId="23851412" w14:textId="39F25648" w:rsidR="006C207B" w:rsidRDefault="006C207B">
      <w:pPr>
        <w:pStyle w:val="FootnoteText"/>
      </w:pPr>
      <w:r w:rsidRPr="006C207B">
        <w:rPr>
          <w:rStyle w:val="FootnoteReference"/>
          <w:rFonts w:asciiTheme="minorHAnsi" w:hAnsiTheme="minorHAnsi" w:cstheme="minorHAnsi"/>
        </w:rPr>
        <w:footnoteRef/>
      </w:r>
      <w:r w:rsidRPr="006C207B">
        <w:rPr>
          <w:rFonts w:asciiTheme="minorHAnsi" w:hAnsiTheme="minorHAnsi" w:cstheme="minorHAnsi"/>
        </w:rPr>
        <w:t xml:space="preserve"> [1996] TLR 156 (CAT)</w:t>
      </w:r>
    </w:p>
  </w:footnote>
  <w:footnote w:id="5">
    <w:p w14:paraId="1E36334B" w14:textId="3EFA2CD2" w:rsidR="007230E2" w:rsidRPr="006C207B" w:rsidRDefault="007230E2">
      <w:pPr>
        <w:pStyle w:val="FootnoteText"/>
        <w:rPr>
          <w:rFonts w:asciiTheme="minorHAnsi" w:hAnsiTheme="minorHAnsi" w:cstheme="minorHAnsi"/>
          <w:lang w:val="en-GB"/>
        </w:rPr>
      </w:pPr>
      <w:r w:rsidRPr="006C207B">
        <w:rPr>
          <w:rStyle w:val="FootnoteReference"/>
          <w:rFonts w:asciiTheme="minorHAnsi" w:hAnsiTheme="minorHAnsi" w:cstheme="minorHAnsi"/>
        </w:rPr>
        <w:footnoteRef/>
      </w:r>
      <w:r w:rsidRPr="006C207B">
        <w:rPr>
          <w:rFonts w:asciiTheme="minorHAnsi" w:hAnsiTheme="minorHAnsi" w:cstheme="minorHAnsi"/>
        </w:rPr>
        <w:t xml:space="preserve"> Misc. Civil Cause No. 90 of 1991 (unreported)</w:t>
      </w:r>
    </w:p>
  </w:footnote>
  <w:footnote w:id="6">
    <w:p w14:paraId="6873A57D" w14:textId="45D3CC6F" w:rsidR="00D67840" w:rsidRPr="006C207B" w:rsidRDefault="00D67840">
      <w:pPr>
        <w:pStyle w:val="FootnoteText"/>
        <w:rPr>
          <w:rFonts w:asciiTheme="minorHAnsi" w:hAnsiTheme="minorHAnsi" w:cstheme="minorHAnsi"/>
          <w:lang w:val="en-GB"/>
        </w:rPr>
      </w:pPr>
      <w:r w:rsidRPr="006C207B">
        <w:rPr>
          <w:rStyle w:val="FootnoteReference"/>
          <w:rFonts w:asciiTheme="minorHAnsi" w:hAnsiTheme="minorHAnsi" w:cstheme="minorHAnsi"/>
        </w:rPr>
        <w:footnoteRef/>
      </w:r>
      <w:r w:rsidRPr="006C207B">
        <w:rPr>
          <w:rFonts w:asciiTheme="minorHAnsi" w:hAnsiTheme="minorHAnsi" w:cstheme="minorHAnsi"/>
        </w:rPr>
        <w:t xml:space="preserve"> </w:t>
      </w:r>
      <w:r w:rsidRPr="006C207B">
        <w:rPr>
          <w:rFonts w:asciiTheme="minorHAnsi" w:hAnsiTheme="minorHAnsi" w:cstheme="minorHAnsi"/>
          <w:lang w:val="en-GB"/>
        </w:rPr>
        <w:t>Article 30</w:t>
      </w:r>
      <w:r w:rsidR="003575B1" w:rsidRPr="006C207B">
        <w:rPr>
          <w:rFonts w:asciiTheme="minorHAnsi" w:hAnsiTheme="minorHAnsi" w:cstheme="minorHAnsi"/>
          <w:lang w:val="en-GB"/>
        </w:rPr>
        <w:t xml:space="preserve"> (3)</w:t>
      </w:r>
      <w:r w:rsidRPr="006C207B">
        <w:rPr>
          <w:rFonts w:asciiTheme="minorHAnsi" w:hAnsiTheme="minorHAnsi" w:cstheme="minorHAnsi"/>
          <w:lang w:val="en-GB"/>
        </w:rPr>
        <w:t xml:space="preserve"> of Cap 2</w:t>
      </w:r>
    </w:p>
  </w:footnote>
  <w:footnote w:id="7">
    <w:p w14:paraId="65F41049" w14:textId="6C3DD9E5" w:rsidR="00D67840" w:rsidRPr="006C207B" w:rsidRDefault="00D67840">
      <w:pPr>
        <w:pStyle w:val="FootnoteText"/>
        <w:rPr>
          <w:rFonts w:asciiTheme="minorHAnsi" w:hAnsiTheme="minorHAnsi" w:cstheme="minorHAnsi"/>
          <w:lang w:val="en-GB"/>
        </w:rPr>
      </w:pPr>
      <w:r w:rsidRPr="006C207B">
        <w:rPr>
          <w:rStyle w:val="FootnoteReference"/>
          <w:rFonts w:asciiTheme="minorHAnsi" w:hAnsiTheme="minorHAnsi" w:cstheme="minorHAnsi"/>
        </w:rPr>
        <w:footnoteRef/>
      </w:r>
      <w:r w:rsidRPr="006C207B">
        <w:rPr>
          <w:rFonts w:asciiTheme="minorHAnsi" w:hAnsiTheme="minorHAnsi" w:cstheme="minorHAnsi"/>
        </w:rPr>
        <w:t xml:space="preserve"> </w:t>
      </w:r>
      <w:r w:rsidRPr="006C207B">
        <w:rPr>
          <w:rFonts w:asciiTheme="minorHAnsi" w:hAnsiTheme="minorHAnsi" w:cstheme="minorHAnsi"/>
          <w:lang w:val="en-GB"/>
        </w:rPr>
        <w:t>Civil Appeal No. 64 of 2001</w:t>
      </w:r>
    </w:p>
  </w:footnote>
  <w:footnote w:id="8">
    <w:p w14:paraId="2C8DC426" w14:textId="69B2DFBD" w:rsidR="004B44CE" w:rsidRPr="004B44CE" w:rsidRDefault="004B44CE">
      <w:pPr>
        <w:pStyle w:val="FootnoteText"/>
        <w:rPr>
          <w:lang w:val="en-GB"/>
        </w:rPr>
      </w:pPr>
      <w:r w:rsidRPr="006C207B">
        <w:rPr>
          <w:rStyle w:val="FootnoteReference"/>
          <w:rFonts w:asciiTheme="minorHAnsi" w:hAnsiTheme="minorHAnsi" w:cstheme="minorHAnsi"/>
        </w:rPr>
        <w:footnoteRef/>
      </w:r>
      <w:r w:rsidRPr="006C207B">
        <w:rPr>
          <w:rFonts w:asciiTheme="minorHAnsi" w:hAnsiTheme="minorHAnsi" w:cstheme="minorHAnsi"/>
        </w:rPr>
        <w:t xml:space="preserve"> </w:t>
      </w:r>
      <w:r w:rsidRPr="006C207B">
        <w:rPr>
          <w:rFonts w:asciiTheme="minorHAnsi" w:hAnsiTheme="minorHAnsi" w:cstheme="minorHAnsi"/>
          <w:lang w:val="en-GB"/>
        </w:rPr>
        <w:t>Funke Ngwagilo v. Attorney General Misc. Civil appeal No. 67 of 2001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F19CA"/>
    <w:multiLevelType w:val="hybridMultilevel"/>
    <w:tmpl w:val="60144E2A"/>
    <w:lvl w:ilvl="0" w:tplc="3314FED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7456CFF"/>
    <w:multiLevelType w:val="hybridMultilevel"/>
    <w:tmpl w:val="6CA0975C"/>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8627FE9"/>
    <w:multiLevelType w:val="hybridMultilevel"/>
    <w:tmpl w:val="C2003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37927"/>
    <w:multiLevelType w:val="hybridMultilevel"/>
    <w:tmpl w:val="642E9DEE"/>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C6E6E1D"/>
    <w:multiLevelType w:val="multilevel"/>
    <w:tmpl w:val="283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9728A"/>
    <w:multiLevelType w:val="multilevel"/>
    <w:tmpl w:val="CBE0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970B7"/>
    <w:multiLevelType w:val="multilevel"/>
    <w:tmpl w:val="B45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466FA"/>
    <w:multiLevelType w:val="hybridMultilevel"/>
    <w:tmpl w:val="54B41542"/>
    <w:lvl w:ilvl="0" w:tplc="1632F36E">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60ED36DA"/>
    <w:multiLevelType w:val="hybridMultilevel"/>
    <w:tmpl w:val="18D02BE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61F672F4"/>
    <w:multiLevelType w:val="multilevel"/>
    <w:tmpl w:val="860AD470"/>
    <w:lvl w:ilvl="0">
      <w:start w:val="4"/>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10" w15:restartNumberingAfterBreak="0">
    <w:nsid w:val="7F9F45DC"/>
    <w:multiLevelType w:val="multilevel"/>
    <w:tmpl w:val="B168886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7"/>
  </w:num>
  <w:num w:numId="2">
    <w:abstractNumId w:val="0"/>
  </w:num>
  <w:num w:numId="3">
    <w:abstractNumId w:val="1"/>
  </w:num>
  <w:num w:numId="4">
    <w:abstractNumId w:val="3"/>
  </w:num>
  <w:num w:numId="5">
    <w:abstractNumId w:val="9"/>
  </w:num>
  <w:num w:numId="6">
    <w:abstractNumId w:val="10"/>
  </w:num>
  <w:num w:numId="7">
    <w:abstractNumId w:val="6"/>
  </w:num>
  <w:num w:numId="8">
    <w:abstractNumId w:val="4"/>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AE6"/>
    <w:rsid w:val="00104EAA"/>
    <w:rsid w:val="00133570"/>
    <w:rsid w:val="00230269"/>
    <w:rsid w:val="002B64DC"/>
    <w:rsid w:val="003575B1"/>
    <w:rsid w:val="0045299F"/>
    <w:rsid w:val="00492066"/>
    <w:rsid w:val="004963A7"/>
    <w:rsid w:val="004B44CE"/>
    <w:rsid w:val="00500251"/>
    <w:rsid w:val="005D50B3"/>
    <w:rsid w:val="006819D9"/>
    <w:rsid w:val="00685E9A"/>
    <w:rsid w:val="006A37CC"/>
    <w:rsid w:val="006C207B"/>
    <w:rsid w:val="007230E2"/>
    <w:rsid w:val="00756E13"/>
    <w:rsid w:val="007C32F3"/>
    <w:rsid w:val="007D2903"/>
    <w:rsid w:val="007F497D"/>
    <w:rsid w:val="00842C16"/>
    <w:rsid w:val="00852DF5"/>
    <w:rsid w:val="00A45CF6"/>
    <w:rsid w:val="00B94326"/>
    <w:rsid w:val="00CA2CB0"/>
    <w:rsid w:val="00D67840"/>
    <w:rsid w:val="00DA5A57"/>
    <w:rsid w:val="00DE3D4B"/>
    <w:rsid w:val="00E90623"/>
    <w:rsid w:val="00E90AF6"/>
    <w:rsid w:val="00ED0407"/>
    <w:rsid w:val="00EF0EF4"/>
    <w:rsid w:val="00EF281B"/>
    <w:rsid w:val="00F07AE6"/>
    <w:rsid w:val="00F8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4B39"/>
  <w15:chartTrackingRefBased/>
  <w15:docId w15:val="{8F541B1C-3F6C-40ED-A53E-434E41B3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AE6"/>
    <w:pPr>
      <w:ind w:left="720"/>
      <w:contextualSpacing/>
    </w:pPr>
  </w:style>
  <w:style w:type="paragraph" w:styleId="FootnoteText">
    <w:name w:val="footnote text"/>
    <w:basedOn w:val="Normal"/>
    <w:link w:val="FootnoteTextChar"/>
    <w:uiPriority w:val="99"/>
    <w:semiHidden/>
    <w:unhideWhenUsed/>
    <w:rsid w:val="004963A7"/>
    <w:pPr>
      <w:spacing w:before="0" w:after="0"/>
    </w:pPr>
    <w:rPr>
      <w:sz w:val="20"/>
      <w:szCs w:val="20"/>
    </w:rPr>
  </w:style>
  <w:style w:type="character" w:customStyle="1" w:styleId="FootnoteTextChar">
    <w:name w:val="Footnote Text Char"/>
    <w:basedOn w:val="DefaultParagraphFont"/>
    <w:link w:val="FootnoteText"/>
    <w:uiPriority w:val="99"/>
    <w:semiHidden/>
    <w:rsid w:val="004963A7"/>
    <w:rPr>
      <w:sz w:val="20"/>
      <w:szCs w:val="20"/>
    </w:rPr>
  </w:style>
  <w:style w:type="character" w:styleId="FootnoteReference">
    <w:name w:val="footnote reference"/>
    <w:basedOn w:val="DefaultParagraphFont"/>
    <w:uiPriority w:val="99"/>
    <w:semiHidden/>
    <w:unhideWhenUsed/>
    <w:rsid w:val="004963A7"/>
    <w:rPr>
      <w:vertAlign w:val="superscript"/>
    </w:rPr>
  </w:style>
  <w:style w:type="table" w:customStyle="1" w:styleId="TableGrid1">
    <w:name w:val="Table Grid1"/>
    <w:basedOn w:val="TableNormal"/>
    <w:next w:val="TableGrid"/>
    <w:uiPriority w:val="59"/>
    <w:rsid w:val="007C32F3"/>
    <w:pPr>
      <w:spacing w:before="0" w:beforeAutospacing="0" w:after="0" w:afterAutospacing="0"/>
      <w:ind w:firstLine="0"/>
    </w:pPr>
    <w:rPr>
      <w:rFonts w:ascii="Calibri" w:eastAsia="Times New Roman" w:hAnsi="Calibri" w:cs="Times New Roman"/>
      <w:sz w:val="22"/>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7C32F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8745">
      <w:bodyDiv w:val="1"/>
      <w:marLeft w:val="0"/>
      <w:marRight w:val="0"/>
      <w:marTop w:val="0"/>
      <w:marBottom w:val="0"/>
      <w:divBdr>
        <w:top w:val="none" w:sz="0" w:space="0" w:color="auto"/>
        <w:left w:val="none" w:sz="0" w:space="0" w:color="auto"/>
        <w:bottom w:val="none" w:sz="0" w:space="0" w:color="auto"/>
        <w:right w:val="none" w:sz="0" w:space="0" w:color="auto"/>
      </w:divBdr>
    </w:div>
    <w:div w:id="112454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patrick</dc:creator>
  <cp:keywords/>
  <dc:description/>
  <cp:lastModifiedBy>elisha patrick</cp:lastModifiedBy>
  <cp:revision>5</cp:revision>
  <dcterms:created xsi:type="dcterms:W3CDTF">2026-04-22T18:04:00Z</dcterms:created>
  <dcterms:modified xsi:type="dcterms:W3CDTF">2026-04-22T18:19:00Z</dcterms:modified>
</cp:coreProperties>
</file>