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32.5"/>
        <w:gridCol w:w="10732.5"/>
        <w:tblGridChange w:id="0">
          <w:tblGrid>
            <w:gridCol w:w="10732.5"/>
            <w:gridCol w:w="10732.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ea9999"/>
                <w:sz w:val="24"/>
                <w:szCs w:val="24"/>
                <w:rtl w:val="0"/>
              </w:rPr>
              <w:t xml:space="preserve">What Are Our ‘Red Water’ Competition Fronts?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9cc2e5"/>
                <w:sz w:val="24"/>
                <w:szCs w:val="24"/>
                <w:rtl w:val="0"/>
              </w:rPr>
              <w:t xml:space="preserve">What Are The Key Frustrations Of Our ‘Non-Customer’?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1, Enter your thoughts here...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1,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2,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2,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3,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3,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4,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4,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ea9999"/>
                <w:sz w:val="24"/>
                <w:szCs w:val="24"/>
                <w:rtl w:val="0"/>
              </w:rPr>
              <w:t xml:space="preserve">What Are The ‘Red Water’ Competition Fronts That Are ‘Least Valued’ By Our Customers?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9cc2e5"/>
                <w:sz w:val="24"/>
                <w:szCs w:val="24"/>
                <w:rtl w:val="0"/>
              </w:rPr>
              <w:t xml:space="preserve">What Can We Provide That Might Entice A Non-Customer To Become A Customer Of Ours In Future?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5,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5,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6,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6,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7,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7,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8,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8,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