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Productive Habits: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18510"/>
        <w:tblGridChange w:id="0">
          <w:tblGrid>
            <w:gridCol w:w="3045"/>
            <w:gridCol w:w="1851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28ytykvzpb0" w:id="0"/>
            <w:bookmarkEnd w:id="0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Reason:</w:t>
            </w:r>
          </w:p>
        </w:tc>
        <w:tc>
          <w:tcPr>
            <w:tcBorders>
              <w:top w:color="666666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We're becoming more competitive. We have to improve our overall service standards.....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77jromgf7c6s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2co4yeyzsym5" w:id="2"/>
            <w:bookmarkEnd w:id="2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Trigger: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We lose one of our key clients to a competitor because we failed to be proactive in our dealings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mg0v7yrlohtf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h5dlr3ir0dqq" w:id="4"/>
            <w:bookmarkEnd w:id="4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Micro Habit: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We plan to have a 'how's things going?' meeting with each of our top 25 clients within the next 60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wn13dg2eitw5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fxrkqz60dx40" w:id="6"/>
            <w:bookmarkEnd w:id="6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Effective Practice: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We complete a de-brief of the first 5 meetings to share client feedback and to maintain vigilance with those responsible for getting their allocated meetings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fhkxo5ljx01i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3v3v70uyqoza" w:id="8"/>
            <w:bookmarkEnd w:id="8"/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Plan: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6"/>
                <w:szCs w:val="26"/>
                <w:rtl w:val="0"/>
              </w:rPr>
              <w:t xml:space="preserve">In 4 months time we will do a strategic review of our products, product bundling / packaging and pricing to ensure they are competitive going forward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