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16" w:lineRule="auto"/>
        <w:rPr>
          <w:sz w:val="16"/>
          <w:szCs w:val="16"/>
        </w:rPr>
      </w:pPr>
      <w:r w:rsidDel="00000000" w:rsidR="00000000" w:rsidRPr="00000000">
        <w:rPr>
          <w:rFonts w:ascii="Open Sans" w:cs="Open Sans" w:eastAsia="Open Sans" w:hAnsi="Open Sans"/>
          <w:color w:val="002b64"/>
          <w:sz w:val="60"/>
          <w:szCs w:val="60"/>
          <w:highlight w:val="green"/>
          <w:rtl w:val="0"/>
        </w:rPr>
        <w:t xml:space="preserve">Progression of Economic Value</w:t>
      </w:r>
      <w:r w:rsidDel="00000000" w:rsidR="00000000" w:rsidRPr="00000000">
        <w:rPr>
          <w:rFonts w:ascii="Open Sans" w:cs="Open Sans" w:eastAsia="Open Sans" w:hAnsi="Open Sans"/>
          <w:color w:val="002b64"/>
          <w:sz w:val="64"/>
          <w:szCs w:val="64"/>
          <w:highlight w:val="green"/>
          <w:rtl w:val="0"/>
        </w:rPr>
        <w:br w:type="textWrapping"/>
      </w:r>
      <w:r w:rsidDel="00000000" w:rsidR="00000000" w:rsidRPr="00000000">
        <w:rPr>
          <w:rFonts w:ascii="Open Sans" w:cs="Open Sans" w:eastAsia="Open Sans" w:hAnsi="Open Sans"/>
          <w:color w:val="002b64"/>
          <w:sz w:val="40"/>
          <w:szCs w:val="40"/>
          <w:highlight w:val="green"/>
          <w:rtl w:val="0"/>
        </w:rPr>
        <w:t xml:space="preserve">(How we cope with the cycles of ‘Customisation vs. Commoditisation)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21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0"/>
        <w:gridCol w:w="7200"/>
        <w:gridCol w:w="7200"/>
        <w:tblGridChange w:id="0">
          <w:tblGrid>
            <w:gridCol w:w="7200"/>
            <w:gridCol w:w="7200"/>
            <w:gridCol w:w="7200"/>
          </w:tblGrid>
        </w:tblGridChange>
      </w:tblGrid>
      <w:tr>
        <w:trPr>
          <w:cantSplit w:val="0"/>
          <w:trHeight w:val="86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002b6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rFonts w:ascii="Open Sans Light" w:cs="Open Sans Light" w:eastAsia="Open Sans Light" w:hAnsi="Open Sans Light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ffffff"/>
                <w:sz w:val="28"/>
                <w:szCs w:val="28"/>
                <w:rtl w:val="0"/>
              </w:rPr>
              <w:t xml:space="preserve">Our Business Output (Delivery Promise)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002b6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rFonts w:ascii="Open Sans Light" w:cs="Open Sans Light" w:eastAsia="Open Sans Light" w:hAnsi="Open Sans Light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ffffff"/>
                <w:sz w:val="28"/>
                <w:szCs w:val="28"/>
                <w:rtl w:val="0"/>
              </w:rPr>
              <w:t xml:space="preserve">Our Business Imperative Tasks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002b6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rFonts w:ascii="Open Sans Light" w:cs="Open Sans Light" w:eastAsia="Open Sans Light" w:hAnsi="Open Sans Light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ffffff"/>
                <w:sz w:val="28"/>
                <w:szCs w:val="28"/>
                <w:rtl w:val="0"/>
              </w:rPr>
              <w:t xml:space="preserve">Our Consumer Sensitivity Tasks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Open Sans" w:cs="Open Sans" w:eastAsia="Open Sans" w:hAnsi="Open Sans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sz w:val="26"/>
                <w:szCs w:val="26"/>
                <w:rtl w:val="0"/>
              </w:rPr>
              <w:t xml:space="preserve">Our quality means cheaper in the long run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rFonts w:ascii="Open Sans" w:cs="Open Sans" w:eastAsia="Open Sans" w:hAnsi="Open Sans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sz w:val="26"/>
                <w:szCs w:val="26"/>
                <w:rtl w:val="0"/>
              </w:rPr>
              <w:t xml:space="preserve">Quality Control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rFonts w:ascii="Open Sans" w:cs="Open Sans" w:eastAsia="Open Sans" w:hAnsi="Open Sans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sz w:val="26"/>
                <w:szCs w:val="26"/>
                <w:rtl w:val="0"/>
              </w:rPr>
              <w:t xml:space="preserve">Monitor &amp; Record Failures / ‘Comebacks’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rPr>
                <w:rFonts w:ascii="Open Sans" w:cs="Open Sans" w:eastAsia="Open Sans" w:hAnsi="Open Sans"/>
                <w:color w:val="434343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1 Enter your thoughts here...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434343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434343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rPr>
                <w:rFonts w:ascii="Open Sans" w:cs="Open Sans" w:eastAsia="Open Sans" w:hAnsi="Open Sans"/>
                <w:color w:val="434343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434343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434343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rPr>
                <w:rFonts w:ascii="Open Sans" w:cs="Open Sans" w:eastAsia="Open Sans" w:hAnsi="Open Sans"/>
                <w:color w:val="434343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434343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434343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Open Sans" w:cs="Open Sans" w:eastAsia="Open Sans" w:hAnsi="Open Sans"/>
                <w:color w:val="434343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434343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434343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Open Sans" w:cs="Open Sans" w:eastAsia="Open Sans" w:hAnsi="Open Sans"/>
                <w:color w:val="434343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434343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434343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Open Sans" w:cs="Open Sans" w:eastAsia="Open Sans" w:hAnsi="Open Sans"/>
                <w:color w:val="434343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434343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434343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Open Sans" w:cs="Open Sans" w:eastAsia="Open Sans" w:hAnsi="Open Sans"/>
                <w:color w:val="434343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7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434343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434343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2448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/>
    <w:rPr>
      <w:rFonts w:ascii="Arial" w:cs="Arial" w:eastAsia="Arial" w:hAnsi="Arial"/>
      <w:b w:val="0"/>
      <w:bCs w:val="0"/>
      <w:i w:val="0"/>
      <w:iCs w:val="0"/>
      <w:color w:val="000000"/>
    </w:rPr>
    <w:tblPr>
      <w:tblStyleRowBandSize w:val="1"/>
      <w:tblStyleColBandSize w:val="1"/>
      <w:tblCellMar/>
    </w:tblPr>
    <w:tblStylePr w:type="band1Horz">
      <w:pPr/>
      <w:rPr>
        <w:b w:val="0"/>
        <w:bCs w:val="0"/>
        <w:i w:val="0"/>
        <w:iCs w:val="0"/>
      </w:rPr>
      <w:tcPr/>
    </w:tblStylePr>
    <w:tblStylePr w:type="band1Vert">
      <w:pPr/>
      <w:rPr>
        <w:b w:val="0"/>
        <w:bCs w:val="0"/>
        <w:i w:val="0"/>
        <w:iCs w:val="0"/>
      </w:rPr>
      <w:tcPr/>
    </w:tblStylePr>
    <w:tblStylePr w:type="band2Horz">
      <w:pPr/>
      <w:rPr>
        <w:b w:val="0"/>
        <w:bCs w:val="0"/>
        <w:i w:val="0"/>
        <w:iCs w:val="0"/>
      </w:rPr>
      <w:tcPr/>
    </w:tblStylePr>
    <w:tblStylePr w:type="band2Vert">
      <w:pPr/>
      <w:rPr>
        <w:b w:val="0"/>
        <w:bCs w:val="0"/>
        <w:i w:val="0"/>
        <w:iCs w:val="0"/>
      </w:rPr>
      <w:tcPr/>
    </w:tblStylePr>
    <w:tblStylePr w:type="firstCol">
      <w:pPr/>
      <w:rPr>
        <w:b w:val="0"/>
        <w:bCs w:val="0"/>
        <w:i w:val="0"/>
        <w:iCs w:val="0"/>
      </w:rPr>
      <w:tcPr/>
    </w:tblStylePr>
    <w:tblStylePr w:type="firstRow">
      <w:pPr/>
      <w:rPr>
        <w:b w:val="0"/>
        <w:bCs w:val="0"/>
        <w:i w:val="0"/>
        <w:iCs w:val="0"/>
      </w:rPr>
      <w:tcPr/>
    </w:tblStylePr>
    <w:tblStylePr w:type="lastCol">
      <w:pPr/>
      <w:rPr>
        <w:b w:val="0"/>
        <w:bCs w:val="0"/>
        <w:i w:val="0"/>
        <w:iCs w:val="0"/>
      </w:rPr>
      <w:tcPr/>
    </w:tblStylePr>
    <w:tblStylePr w:type="lastRow">
      <w:pPr/>
      <w:rPr>
        <w:b w:val="0"/>
        <w:bCs w:val="0"/>
        <w:i w:val="0"/>
        <w:iCs w:val="0"/>
      </w:rPr>
      <w:tcPr/>
    </w:tblStylePr>
    <w:tblStylePr w:type="neCell">
      <w:pPr/>
      <w:rPr>
        <w:b w:val="0"/>
        <w:bCs w:val="0"/>
        <w:i w:val="0"/>
        <w:iCs w:val="0"/>
      </w:rPr>
      <w:tcPr/>
    </w:tblStylePr>
    <w:tblStylePr w:type="nwCell">
      <w:pPr/>
      <w:rPr>
        <w:b w:val="0"/>
        <w:bCs w:val="0"/>
        <w:i w:val="0"/>
        <w:iCs w:val="0"/>
      </w:rPr>
      <w:tcPr/>
    </w:tblStylePr>
    <w:tblStylePr w:type="seCell">
      <w:pPr/>
      <w:rPr>
        <w:b w:val="0"/>
        <w:bCs w:val="0"/>
        <w:i w:val="0"/>
        <w:iCs w:val="0"/>
      </w:rPr>
      <w:tcPr/>
    </w:tblStylePr>
    <w:tblStylePr w:type="swCell">
      <w:pPr/>
      <w:rPr>
        <w:b w:val="0"/>
        <w:bCs w:val="0"/>
        <w:i w:val="0"/>
        <w:iCs w:val="0"/>
      </w:rPr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Light-regular.ttf"/><Relationship Id="rId2" Type="http://schemas.openxmlformats.org/officeDocument/2006/relationships/font" Target="fonts/OpenSansLight-bold.ttf"/><Relationship Id="rId3" Type="http://schemas.openxmlformats.org/officeDocument/2006/relationships/font" Target="fonts/OpenSansLight-italic.ttf"/><Relationship Id="rId4" Type="http://schemas.openxmlformats.org/officeDocument/2006/relationships/font" Target="fonts/OpenSansLight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