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rPr>
          <w:rFonts w:ascii="Open Sans" w:cs="Open Sans" w:eastAsia="Open Sans" w:hAnsi="Open Sans"/>
          <w:sz w:val="20"/>
          <w:szCs w:val="20"/>
        </w:rPr>
      </w:pPr>
      <w:bookmarkStart w:colFirst="0" w:colLast="0" w:name="_1zix8iqbjlpi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1385.0" w:type="dxa"/>
        <w:jc w:val="left"/>
        <w:tblInd w:w="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75"/>
        <w:gridCol w:w="4365"/>
        <w:gridCol w:w="2145"/>
        <w:tblGridChange w:id="0">
          <w:tblGrid>
            <w:gridCol w:w="4875"/>
            <w:gridCol w:w="4365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Transferable Components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Outputs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Model Title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5"/>
              </w:numPr>
              <w:spacing w:line="240" w:lineRule="auto"/>
              <w:ind w:left="270" w:hanging="18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Team productive days based on workshop shut down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5"/>
              </w:numPr>
              <w:spacing w:line="240" w:lineRule="auto"/>
              <w:ind w:left="270" w:hanging="18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Supply chain - Raw material to component to finished article calculations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Optimum production days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Maximum production units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Wages to production %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30-60-90 Day supply chain delays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Manufacturing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Work gang size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Job duration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Job sqr mtr mix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Balance between labour vs hire fees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Job capacity - existing resource vs hired resource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Scaffolding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Payments, Balance payments &amp; Upfront shipping charges on imports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Stock turn / pricing &amp; runout effects on cash flow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Currency risk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Deposit &amp; Balance 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ayments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Sales revenue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Import &amp; Retail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Customer type by purchases, per period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Peak customer periods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Max Customers by serve time and occupancy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Coffee &amp; Seating bottlenecks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Customer levels required to sustain staff levels / avg service time.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Cafe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Product mix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Batch production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Shop peak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Product sizes to profitability, per batch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Staff levels for production and serving compared to peak periods.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Cake Shop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Sales to installation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Commission variables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Job/Product mix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Capacity limits of salesperson &amp; installer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Travel logistics/ activity limits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Homeware Sales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Travel zones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After hrs vs work hrs revenue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Van / work gang 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Revenue per ‘van’ - work gang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Travel fees required to justify lost working hrs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Mobile Services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Equipment based services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Purchase mix with referral discounts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Showroom sales &amp; treatment based 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Max number of treatments based on equipment per treatment room.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Revenue per ‘room’ and practitioner.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Revenue from referral line clients.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Audio Opto’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Child to teacher (customer to staff) safety ratios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Subsidies for half day, full day, extended day sessions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Maximum number of children (customers) &amp; max revenue limits.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Economic ratio of staff to children (customers)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Term days (based) revenue.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Childcare Ctr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rFonts w:ascii="Open Sans" w:cs="Open Sans" w:eastAsia="Open Sans" w:hAnsi="Open Sans"/>
          <w:sz w:val="20"/>
          <w:szCs w:val="20"/>
        </w:rPr>
      </w:pPr>
      <w:bookmarkStart w:colFirst="0" w:colLast="0" w:name="_x55mogflxpx0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W w:w="11385.0" w:type="dxa"/>
        <w:jc w:val="left"/>
        <w:tblInd w:w="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75"/>
        <w:gridCol w:w="4365"/>
        <w:gridCol w:w="2145"/>
        <w:tblGridChange w:id="0">
          <w:tblGrid>
            <w:gridCol w:w="4875"/>
            <w:gridCol w:w="4365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Transferable Components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Outputs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Model Title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5"/>
              </w:numPr>
              <w:spacing w:line="240" w:lineRule="auto"/>
              <w:ind w:left="270" w:hanging="18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Utilisation of raw produce into varying product packages, with varying margins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5"/>
              </w:numPr>
              <w:spacing w:line="240" w:lineRule="auto"/>
              <w:ind w:left="270" w:hanging="18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Multiple sales perspectives from raw product (seasonal) availability to customer type and shop service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Average margin per animal across multiple ‘choice’ cuts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Discounts for near perishables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0" w:firstLine="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Butcher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Multiple source materials combining with labour to produce a product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W.I.P stages to show pre-work options &amp; required materials purchases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WIP Material purchases - to support just in time tactics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Pre-work options to define safe deposit levels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Dress Maker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Room / Specialist based revenue to include labour and ‘parts &amp; consumables’ margin.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Procedure based revenue, per room/ specialist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40"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Dentist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Batch to product ratios including packaging and batch returns % as well as consignment rebates.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Production shift hours required to produce final product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Food or Remedy Production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Logistics relating to travel and job size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Ability to cross reference job based logistics with a seasonal work environment vs ‘shutdown’ periods.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  <w:highlight w:val="yellow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Driven by multiple hourly rate options, depending on job and technician.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Calculating productivity loss through travel from site to site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Calculating profitability of adding work gangs or admin &amp; sales functions to the business.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Plumber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Logistics relating to travel and job size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Ability to cross reference job based logistics with a seasonal work environment vs ‘shutdown’ periods.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  <w:highlight w:val="cyan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cyan"/>
                <w:rtl w:val="0"/>
              </w:rPr>
              <w:t xml:space="preserve">Driven by (multiple) set job charges.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Calculating productivity loss through travel from site to site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Calculating profitability of adding work gangs or admin &amp; sales functions to the business.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Cleaners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Seasonal adjusted work hours vs Shutdown based work hrs.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Hiring up or down during peak periods and pay rises throughout the next 12 months.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Total wages after seasonal or shutdown variables.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Total production hrs available after seasonal or shutdown variables.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Wages Model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Uses seasonal and shutdown calcs (above) paired to 15 stages of hand production to determine task overlap and production bottlenecks.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Production outputs against available worker hrs and skills distribution.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Useful to support the search for efficiency gains.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Craft Production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Aligns customer purchase frequency to expected product line sales, per mth.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Provides for a 10x10 assessment of product/sub product lines.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Mthly stock sales aligned to market acceptance/ customer base requirements.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Introduces broad market penetration assumptions to help justify sales targets.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Pet Shop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Provides a range of pre-prepared graphs relating to product, margin and salesperson performance.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Makes it easier to render sales or product data from financial or inventory software.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Sales Dashboard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360" w:hanging="27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360" w:left="36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