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D79A" w14:textId="77777777" w:rsidR="00CC0047" w:rsidRDefault="00CC0047"/>
    <w:p w14:paraId="14A72EFC" w14:textId="4407D349" w:rsidR="00831B44" w:rsidRPr="00831B44" w:rsidRDefault="00831B44">
      <w:pPr>
        <w:rPr>
          <w:b/>
          <w:bCs/>
        </w:rPr>
      </w:pPr>
      <w:r w:rsidRPr="00831B44">
        <w:rPr>
          <w:b/>
          <w:bCs/>
        </w:rPr>
        <w:t>The 3 Engagement Types</w:t>
      </w:r>
    </w:p>
    <w:p w14:paraId="18DD45A4" w14:textId="77777777" w:rsidR="00831B44" w:rsidRDefault="00831B44"/>
    <w:p w14:paraId="5C85261E" w14:textId="103D1F87" w:rsidR="00831B44" w:rsidRDefault="00831B44">
      <w:r w:rsidRPr="00831B44">
        <w:t>The provided text details a framework designed to help accounting firms transition into </w:t>
      </w:r>
      <w:r w:rsidRPr="00831B44">
        <w:rPr>
          <w:b/>
          <w:bCs/>
        </w:rPr>
        <w:t>advisory roles</w:t>
      </w:r>
      <w:r w:rsidRPr="00831B44">
        <w:t> by categorizing client interactions into three distinct engagement types. </w:t>
      </w:r>
      <w:r w:rsidRPr="00831B44">
        <w:rPr>
          <w:b/>
          <w:bCs/>
        </w:rPr>
        <w:t>Advice</w:t>
      </w:r>
      <w:r w:rsidRPr="00831B44">
        <w:t> occurs when a client recognizes a specific problem and seeks a technical, accurate solution through a hierarchical relationship with their consultant. </w:t>
      </w:r>
      <w:r w:rsidRPr="00831B44">
        <w:rPr>
          <w:b/>
          <w:bCs/>
        </w:rPr>
        <w:t>Facilitation</w:t>
      </w:r>
      <w:r w:rsidRPr="00831B44">
        <w:t xml:space="preserve"> is necessary when a client requires emotional detachment and structured guidance to overcome </w:t>
      </w:r>
      <w:proofErr w:type="spellStart"/>
      <w:r w:rsidRPr="00831B44">
        <w:t>behavior</w:t>
      </w:r>
      <w:proofErr w:type="spellEnd"/>
      <w:r w:rsidRPr="00831B44">
        <w:t>-based hurdles or "trigger events" that prevent business progress. Finally, </w:t>
      </w:r>
      <w:r w:rsidRPr="00831B44">
        <w:rPr>
          <w:b/>
          <w:bCs/>
        </w:rPr>
        <w:t>education</w:t>
      </w:r>
      <w:r w:rsidRPr="00831B44">
        <w:t> addresses a specific </w:t>
      </w:r>
      <w:r w:rsidRPr="00831B44">
        <w:rPr>
          <w:b/>
          <w:bCs/>
        </w:rPr>
        <w:t>knowledge gap</w:t>
      </w:r>
      <w:r w:rsidRPr="00831B44">
        <w:t>, requiring advisors to use feedback loops and small information "chunks" to build a client's competency over time. By distinguishing between these drivers, firms can better align their team's strengths with the specific needs and </w:t>
      </w:r>
      <w:r w:rsidRPr="00831B44">
        <w:rPr>
          <w:b/>
          <w:bCs/>
        </w:rPr>
        <w:t>psychological readiness</w:t>
      </w:r>
      <w:r w:rsidRPr="00831B44">
        <w:t> of their clients.</w:t>
      </w:r>
    </w:p>
    <w:p w14:paraId="73DB2E2D" w14:textId="77777777" w:rsidR="00831B44" w:rsidRDefault="00831B44"/>
    <w:p w14:paraId="72C1E6D6" w14:textId="77777777" w:rsidR="00831B44" w:rsidRPr="00831B44" w:rsidRDefault="00831B44" w:rsidP="00831B44">
      <w:r w:rsidRPr="00831B44">
        <w:t>To help new advisors successfully navigate client relationships, it is crucial to understand that not all client engagements are the same. Many firms struggle because they attempt to treat every client interaction as "advice," which often leads to poor outcomes.</w:t>
      </w:r>
    </w:p>
    <w:p w14:paraId="13C19D06" w14:textId="77777777" w:rsidR="00831B44" w:rsidRPr="00831B44" w:rsidRDefault="00831B44" w:rsidP="00831B44">
      <w:r w:rsidRPr="00831B44">
        <w:t xml:space="preserve">The provided framework separates client engagements into three distinct categories: </w:t>
      </w:r>
      <w:r w:rsidRPr="00831B44">
        <w:rPr>
          <w:b/>
          <w:bCs/>
        </w:rPr>
        <w:t>Advice</w:t>
      </w:r>
      <w:r w:rsidRPr="00831B44">
        <w:t xml:space="preserve">, </w:t>
      </w:r>
      <w:r w:rsidRPr="00831B44">
        <w:rPr>
          <w:b/>
          <w:bCs/>
        </w:rPr>
        <w:t>Facilitation</w:t>
      </w:r>
      <w:r w:rsidRPr="00831B44">
        <w:t xml:space="preserve">, and </w:t>
      </w:r>
      <w:r w:rsidRPr="00831B44">
        <w:rPr>
          <w:b/>
          <w:bCs/>
        </w:rPr>
        <w:t>Education</w:t>
      </w:r>
      <w:r w:rsidRPr="00831B44">
        <w:t>. Understanding the differences, triggers, and delivery methods for each will help you correctly assess a client's readiness and apply the appropriate solution.</w:t>
      </w:r>
    </w:p>
    <w:p w14:paraId="05B1BDA2" w14:textId="77777777" w:rsidR="00831B44" w:rsidRPr="00831B44" w:rsidRDefault="00831B44" w:rsidP="00831B44">
      <w:r w:rsidRPr="00831B44">
        <w:t>1. Advice: For the Aware and Ready Client</w:t>
      </w:r>
    </w:p>
    <w:p w14:paraId="0EC4AA26" w14:textId="77777777" w:rsidR="00831B44" w:rsidRPr="00831B44" w:rsidRDefault="00831B44" w:rsidP="00831B44">
      <w:pPr>
        <w:numPr>
          <w:ilvl w:val="0"/>
          <w:numId w:val="1"/>
        </w:numPr>
      </w:pPr>
      <w:r w:rsidRPr="00831B44">
        <w:rPr>
          <w:b/>
          <w:bCs/>
        </w:rPr>
        <w:t>What it is:</w:t>
      </w:r>
      <w:r w:rsidRPr="00831B44">
        <w:t xml:space="preserve"> This is straightforward problem-solving. The client is already aware of their problem, comprehends the consequences of not fixing it, and desires a solution.</w:t>
      </w:r>
    </w:p>
    <w:p w14:paraId="29C0336C" w14:textId="77777777" w:rsidR="00831B44" w:rsidRPr="00831B44" w:rsidRDefault="00831B44" w:rsidP="00831B44">
      <w:pPr>
        <w:numPr>
          <w:ilvl w:val="0"/>
          <w:numId w:val="1"/>
        </w:numPr>
      </w:pPr>
      <w:r w:rsidRPr="00831B44">
        <w:rPr>
          <w:b/>
          <w:bCs/>
        </w:rPr>
        <w:t>The Trigger:</w:t>
      </w:r>
      <w:r w:rsidRPr="00831B44">
        <w:t xml:space="preserve"> The client actively seeks you out with a specific, known issue, effectively saying, "I've got a problem. I want you to solve it".</w:t>
      </w:r>
    </w:p>
    <w:p w14:paraId="4D8171E0" w14:textId="77777777" w:rsidR="00831B44" w:rsidRPr="00831B44" w:rsidRDefault="00831B44" w:rsidP="00831B44">
      <w:pPr>
        <w:numPr>
          <w:ilvl w:val="0"/>
          <w:numId w:val="1"/>
        </w:numPr>
      </w:pPr>
      <w:r w:rsidRPr="00831B44">
        <w:rPr>
          <w:b/>
          <w:bCs/>
        </w:rPr>
        <w:t>Delivery Imperative (Accuracy):</w:t>
      </w:r>
      <w:r w:rsidRPr="00831B44">
        <w:t xml:space="preserve"> Because the client is already "90% of the way through the buying process," there is essentially no selling involved. Your sole focus must be on </w:t>
      </w:r>
      <w:r w:rsidRPr="00831B44">
        <w:rPr>
          <w:b/>
          <w:bCs/>
        </w:rPr>
        <w:t>accuracy</w:t>
      </w:r>
      <w:r w:rsidRPr="00831B44">
        <w:t xml:space="preserve"> and delivering a "clean and effective outcome" without mistakes.</w:t>
      </w:r>
    </w:p>
    <w:p w14:paraId="79FA8EB0" w14:textId="77777777" w:rsidR="00831B44" w:rsidRPr="00831B44" w:rsidRDefault="00831B44" w:rsidP="00831B44">
      <w:r w:rsidRPr="00831B44">
        <w:t xml:space="preserve">2. Facilitation: For Complex </w:t>
      </w:r>
      <w:proofErr w:type="spellStart"/>
      <w:r w:rsidRPr="00831B44">
        <w:t>Behavioral</w:t>
      </w:r>
      <w:proofErr w:type="spellEnd"/>
      <w:r w:rsidRPr="00831B44">
        <w:t xml:space="preserve"> Change</w:t>
      </w:r>
    </w:p>
    <w:p w14:paraId="1C4100DB" w14:textId="77777777" w:rsidR="00831B44" w:rsidRPr="00831B44" w:rsidRDefault="00831B44" w:rsidP="00831B44">
      <w:pPr>
        <w:numPr>
          <w:ilvl w:val="0"/>
          <w:numId w:val="2"/>
        </w:numPr>
      </w:pPr>
      <w:r w:rsidRPr="00831B44">
        <w:rPr>
          <w:b/>
          <w:bCs/>
        </w:rPr>
        <w:t>What it is:</w:t>
      </w:r>
      <w:r w:rsidRPr="00831B44">
        <w:t xml:space="preserve"> Facilitation is required when a client needs to make significant changes but is emotionally attached to their current </w:t>
      </w:r>
      <w:proofErr w:type="spellStart"/>
      <w:r w:rsidRPr="00831B44">
        <w:t>behaviors</w:t>
      </w:r>
      <w:proofErr w:type="spellEnd"/>
      <w:r w:rsidRPr="00831B44">
        <w:t>. These clients often "don't know what they don't know" initially.</w:t>
      </w:r>
    </w:p>
    <w:p w14:paraId="04CAA269" w14:textId="77777777" w:rsidR="00831B44" w:rsidRPr="00831B44" w:rsidRDefault="00831B44" w:rsidP="00831B44">
      <w:pPr>
        <w:numPr>
          <w:ilvl w:val="0"/>
          <w:numId w:val="2"/>
        </w:numPr>
      </w:pPr>
      <w:r w:rsidRPr="00831B44">
        <w:rPr>
          <w:b/>
          <w:bCs/>
        </w:rPr>
        <w:lastRenderedPageBreak/>
        <w:t>The Trigger:</w:t>
      </w:r>
      <w:r w:rsidRPr="00831B44">
        <w:t xml:space="preserve"> A </w:t>
      </w:r>
      <w:r w:rsidRPr="00831B44">
        <w:rPr>
          <w:b/>
          <w:bCs/>
        </w:rPr>
        <w:t>"trigger event"</w:t>
      </w:r>
      <w:r w:rsidRPr="00831B44">
        <w:t xml:space="preserve"> that combines a global reference (broad, universal reasons to change) with a local reference (a highly personal, immediate impact). For example, a client might know globally that their business is struggling, but the local trigger is being unable to pay for a personal expense.</w:t>
      </w:r>
    </w:p>
    <w:p w14:paraId="6CC5493E" w14:textId="77777777" w:rsidR="00831B44" w:rsidRPr="00831B44" w:rsidRDefault="00831B44" w:rsidP="00831B44">
      <w:pPr>
        <w:numPr>
          <w:ilvl w:val="0"/>
          <w:numId w:val="2"/>
        </w:numPr>
      </w:pPr>
      <w:r w:rsidRPr="00831B44">
        <w:rPr>
          <w:b/>
          <w:bCs/>
        </w:rPr>
        <w:t>Delivery Imperative (The Reveal):</w:t>
      </w:r>
      <w:r w:rsidRPr="00831B44">
        <w:t xml:space="preserve"> When facilitating, advisors must remain professionally detached and carefully manage how information is presented. The delivery method is </w:t>
      </w:r>
      <w:r w:rsidRPr="00831B44">
        <w:rPr>
          <w:b/>
          <w:bCs/>
        </w:rPr>
        <w:t>"the reveal"</w:t>
      </w:r>
      <w:r w:rsidRPr="00831B44">
        <w:t>—pacing the information like "feeding a baby steak" to give the client time to chew it over. If you overwhelm a client, they feel threatened and will either go into avoidance (ignoring the issue) or become overly assertive (stubbornly working harder at the wrong things).</w:t>
      </w:r>
    </w:p>
    <w:p w14:paraId="6797CB14" w14:textId="77777777" w:rsidR="00831B44" w:rsidRPr="00831B44" w:rsidRDefault="00831B44" w:rsidP="00831B44">
      <w:pPr>
        <w:numPr>
          <w:ilvl w:val="0"/>
          <w:numId w:val="2"/>
        </w:numPr>
      </w:pPr>
      <w:r w:rsidRPr="00831B44">
        <w:rPr>
          <w:b/>
          <w:bCs/>
        </w:rPr>
        <w:t>Structure Needed:</w:t>
      </w:r>
      <w:r w:rsidRPr="00831B44">
        <w:t xml:space="preserve"> Facilitation requires a visible, long-term plan (e.g., 6 to 12 months). Without a clear structure that the client fully buys into from the start, they are likely to bail out halfway through when the process gets difficult.</w:t>
      </w:r>
    </w:p>
    <w:p w14:paraId="4556AC56" w14:textId="77777777" w:rsidR="00831B44" w:rsidRPr="00831B44" w:rsidRDefault="00831B44" w:rsidP="00831B44">
      <w:r w:rsidRPr="00831B44">
        <w:t>3. Education: For Closing Knowledge Gaps</w:t>
      </w:r>
    </w:p>
    <w:p w14:paraId="291E3290" w14:textId="77777777" w:rsidR="00831B44" w:rsidRPr="00831B44" w:rsidRDefault="00831B44" w:rsidP="00831B44">
      <w:pPr>
        <w:numPr>
          <w:ilvl w:val="0"/>
          <w:numId w:val="3"/>
        </w:numPr>
      </w:pPr>
      <w:r w:rsidRPr="00831B44">
        <w:rPr>
          <w:b/>
          <w:bCs/>
        </w:rPr>
        <w:t>What it is:</w:t>
      </w:r>
      <w:r w:rsidRPr="00831B44">
        <w:t xml:space="preserve"> Education is about "growing your client into a position" where they can eventually make informed decisions.</w:t>
      </w:r>
    </w:p>
    <w:p w14:paraId="0686978E" w14:textId="77777777" w:rsidR="00831B44" w:rsidRPr="00831B44" w:rsidRDefault="00831B44" w:rsidP="00831B44">
      <w:pPr>
        <w:numPr>
          <w:ilvl w:val="0"/>
          <w:numId w:val="3"/>
        </w:numPr>
      </w:pPr>
      <w:r w:rsidRPr="00831B44">
        <w:rPr>
          <w:b/>
          <w:bCs/>
        </w:rPr>
        <w:t>The Trigger:</w:t>
      </w:r>
      <w:r w:rsidRPr="00831B44">
        <w:t xml:space="preserve"> A </w:t>
      </w:r>
      <w:r w:rsidRPr="00831B44">
        <w:rPr>
          <w:b/>
          <w:bCs/>
        </w:rPr>
        <w:t>"knowledge gap"</w:t>
      </w:r>
      <w:r w:rsidRPr="00831B44">
        <w:t xml:space="preserve">. Importantly, a client must have </w:t>
      </w:r>
      <w:r w:rsidRPr="00831B44">
        <w:rPr>
          <w:i/>
          <w:iCs/>
        </w:rPr>
        <w:t>some</w:t>
      </w:r>
      <w:r w:rsidRPr="00831B44">
        <w:t xml:space="preserve"> baseline knowledge of a topic to even realize they have a gap; otherwise, they are entirely ignorant of the issue.</w:t>
      </w:r>
    </w:p>
    <w:p w14:paraId="7470E2DF" w14:textId="77777777" w:rsidR="00831B44" w:rsidRPr="00831B44" w:rsidRDefault="00831B44" w:rsidP="00831B44">
      <w:pPr>
        <w:numPr>
          <w:ilvl w:val="0"/>
          <w:numId w:val="3"/>
        </w:numPr>
      </w:pPr>
      <w:r w:rsidRPr="00831B44">
        <w:rPr>
          <w:b/>
          <w:bCs/>
        </w:rPr>
        <w:t>Delivery Imperative (Chunking):</w:t>
      </w:r>
      <w:r w:rsidRPr="00831B44">
        <w:t xml:space="preserve"> The goal here is </w:t>
      </w:r>
      <w:r w:rsidRPr="00831B44">
        <w:rPr>
          <w:b/>
          <w:bCs/>
        </w:rPr>
        <w:t>"sequential comprehension,"</w:t>
      </w:r>
      <w:r w:rsidRPr="00831B44">
        <w:t xml:space="preserve"> meaning the client needs to see how all the little pieces come together in a logical sequence to understand the broader effect. You achieve this through </w:t>
      </w:r>
      <w:r w:rsidRPr="00831B44">
        <w:rPr>
          <w:b/>
          <w:bCs/>
        </w:rPr>
        <w:t>"chunking"</w:t>
      </w:r>
      <w:r w:rsidRPr="00831B44">
        <w:t>—identifying logical pieces of information and showing how they interrelate.</w:t>
      </w:r>
    </w:p>
    <w:p w14:paraId="29BC7F5F" w14:textId="77777777" w:rsidR="00831B44" w:rsidRPr="00831B44" w:rsidRDefault="00831B44" w:rsidP="00831B44">
      <w:pPr>
        <w:numPr>
          <w:ilvl w:val="0"/>
          <w:numId w:val="3"/>
        </w:numPr>
      </w:pPr>
      <w:r w:rsidRPr="00831B44">
        <w:rPr>
          <w:b/>
          <w:bCs/>
        </w:rPr>
        <w:t>Structure Needed:</w:t>
      </w:r>
      <w:r w:rsidRPr="00831B44">
        <w:t xml:space="preserve"> Education relies on a </w:t>
      </w:r>
      <w:r w:rsidRPr="00831B44">
        <w:rPr>
          <w:b/>
          <w:bCs/>
        </w:rPr>
        <w:t>"feedback loop"</w:t>
      </w:r>
      <w:r w:rsidRPr="00831B44">
        <w:t>. As an advisor, you must consistently identify what the client doesn't know, provide the missing piece, and assess their understanding without making them feel negatively judged.</w:t>
      </w:r>
    </w:p>
    <w:p w14:paraId="3F6F2AD1" w14:textId="77777777" w:rsidR="00831B44" w:rsidRPr="00831B44" w:rsidRDefault="00831B44" w:rsidP="00831B44">
      <w:r w:rsidRPr="00831B44">
        <w:t>The Hierarchy: How to Approach Client Suggestions</w:t>
      </w:r>
    </w:p>
    <w:p w14:paraId="26CA5C75" w14:textId="77777777" w:rsidR="00831B44" w:rsidRPr="00831B44" w:rsidRDefault="00831B44" w:rsidP="00831B44">
      <w:r w:rsidRPr="00831B44">
        <w:t>When evaluating a new client, you should use this hierarchy to diagnose their state and suggest the right pathway:</w:t>
      </w:r>
    </w:p>
    <w:p w14:paraId="3C49C7C0" w14:textId="77777777" w:rsidR="00831B44" w:rsidRPr="00831B44" w:rsidRDefault="00831B44" w:rsidP="00831B44">
      <w:pPr>
        <w:numPr>
          <w:ilvl w:val="0"/>
          <w:numId w:val="4"/>
        </w:numPr>
      </w:pPr>
      <w:r w:rsidRPr="00831B44">
        <w:rPr>
          <w:b/>
          <w:bCs/>
        </w:rPr>
        <w:t>Assess Baseline Knowledge (Start with Education):</w:t>
      </w:r>
      <w:r w:rsidRPr="00831B44">
        <w:t xml:space="preserve"> Does the client lack basic understanding of their financial or business position? If so, start with Education. Use workshops, videos, or one-on-one sessions to sequentially build their knowledge until they recognize their gaps.</w:t>
      </w:r>
    </w:p>
    <w:p w14:paraId="7580E305" w14:textId="77777777" w:rsidR="00831B44" w:rsidRPr="00831B44" w:rsidRDefault="00831B44" w:rsidP="00831B44">
      <w:pPr>
        <w:numPr>
          <w:ilvl w:val="0"/>
          <w:numId w:val="4"/>
        </w:numPr>
      </w:pPr>
      <w:r w:rsidRPr="00831B44">
        <w:rPr>
          <w:b/>
          <w:bCs/>
        </w:rPr>
        <w:t>Assess Emotional Attachment and Overwhelm (Move to Facilitation):</w:t>
      </w:r>
      <w:r w:rsidRPr="00831B44">
        <w:t xml:space="preserve"> Does the client understand they need to change, but they are stuck, overwhelmed, or holding onto old habits? Here, you use Facilitation. Put a 6-to-12-month structured plan in place, wait for or help identify a "trigger event," and slowly reveal the path forward so they can emotionally detach from their old ways.</w:t>
      </w:r>
    </w:p>
    <w:p w14:paraId="6C922196" w14:textId="77777777" w:rsidR="00831B44" w:rsidRPr="00831B44" w:rsidRDefault="00831B44" w:rsidP="00831B44">
      <w:pPr>
        <w:numPr>
          <w:ilvl w:val="0"/>
          <w:numId w:val="4"/>
        </w:numPr>
      </w:pPr>
      <w:r w:rsidRPr="00831B44">
        <w:rPr>
          <w:b/>
          <w:bCs/>
        </w:rPr>
        <w:lastRenderedPageBreak/>
        <w:t>Assess Readiness for Execution (Deliver Advice):</w:t>
      </w:r>
      <w:r w:rsidRPr="00831B44">
        <w:t xml:space="preserve"> Does the client have a specific, clearly defined issue they simply need executed perfectly? Bypass education and </w:t>
      </w:r>
      <w:proofErr w:type="gramStart"/>
      <w:r w:rsidRPr="00831B44">
        <w:t>facilitation, and</w:t>
      </w:r>
      <w:proofErr w:type="gramEnd"/>
      <w:r w:rsidRPr="00831B44">
        <w:t xml:space="preserve"> immediately deliver highly accurate Advice.</w:t>
      </w:r>
    </w:p>
    <w:p w14:paraId="7864246B" w14:textId="6BBF0136" w:rsidR="00831B44" w:rsidRDefault="00831B44">
      <w:r w:rsidRPr="00831B44">
        <w:rPr>
          <w:b/>
          <w:bCs/>
        </w:rPr>
        <w:t>Final tip for new advisors:</w:t>
      </w:r>
      <w:r w:rsidRPr="00831B44">
        <w:t xml:space="preserve"> You do not have to be an expert in all three. This framework can also be used internally to match your firm's team members to the right tasks—assigning natural teachers to Education, patient guides to Facilitation, and highly technical staff to specific Advice.</w:t>
      </w:r>
    </w:p>
    <w:p w14:paraId="1BE007D7" w14:textId="77777777" w:rsidR="00831B44" w:rsidRDefault="00831B44"/>
    <w:tbl>
      <w:tblPr>
        <w:tblW w:w="0" w:type="auto"/>
        <w:shd w:val="clear" w:color="auto" w:fill="E8EBF5"/>
        <w:tblCellMar>
          <w:top w:w="15" w:type="dxa"/>
          <w:left w:w="15" w:type="dxa"/>
          <w:bottom w:w="15" w:type="dxa"/>
          <w:right w:w="15" w:type="dxa"/>
        </w:tblCellMar>
        <w:tblLook w:val="04A0" w:firstRow="1" w:lastRow="0" w:firstColumn="1" w:lastColumn="0" w:noHBand="0" w:noVBand="1"/>
      </w:tblPr>
      <w:tblGrid>
        <w:gridCol w:w="2161"/>
        <w:gridCol w:w="2192"/>
        <w:gridCol w:w="2901"/>
        <w:gridCol w:w="2605"/>
        <w:gridCol w:w="2241"/>
      </w:tblGrid>
      <w:tr w:rsidR="00831B44" w:rsidRPr="00831B44" w14:paraId="46B10479" w14:textId="77777777" w:rsidTr="00831B44">
        <w:trPr>
          <w:trHeight w:val="775"/>
        </w:trPr>
        <w:tc>
          <w:tcPr>
            <w:tcW w:w="0" w:type="auto"/>
            <w:tcBorders>
              <w:top w:val="single" w:sz="8" w:space="0" w:color="FFFFFF"/>
              <w:left w:val="single" w:sz="8" w:space="0" w:color="FFFFFF"/>
              <w:bottom w:val="single" w:sz="24" w:space="0" w:color="FFFFFF"/>
              <w:right w:val="single" w:sz="8" w:space="0" w:color="FFFFFF"/>
            </w:tcBorders>
            <w:shd w:val="clear" w:color="auto" w:fill="3A3838"/>
            <w:tcMar>
              <w:top w:w="75" w:type="dxa"/>
              <w:left w:w="150" w:type="dxa"/>
              <w:bottom w:w="75" w:type="dxa"/>
              <w:right w:w="150" w:type="dxa"/>
            </w:tcMar>
            <w:vAlign w:val="center"/>
            <w:hideMark/>
          </w:tcPr>
          <w:p w14:paraId="3B408824" w14:textId="4D2A5300" w:rsidR="00831B44" w:rsidRPr="00831B44" w:rsidRDefault="00831B44" w:rsidP="00831B44">
            <w:pPr>
              <w:jc w:val="center"/>
            </w:pPr>
          </w:p>
          <w:p w14:paraId="35B3B3CE" w14:textId="77777777" w:rsidR="00831B44" w:rsidRPr="00831B44" w:rsidRDefault="00831B44" w:rsidP="00831B44">
            <w:r w:rsidRPr="00831B44">
              <w:rPr>
                <w:b/>
                <w:bCs/>
              </w:rPr>
              <w:t>Engagement Types</w:t>
            </w:r>
          </w:p>
        </w:tc>
        <w:tc>
          <w:tcPr>
            <w:tcW w:w="0" w:type="auto"/>
            <w:tcBorders>
              <w:top w:val="single" w:sz="8" w:space="0" w:color="FFFFFF"/>
              <w:left w:val="single" w:sz="8" w:space="0" w:color="FFFFFF"/>
              <w:bottom w:val="single" w:sz="24" w:space="0" w:color="FFFFFF"/>
              <w:right w:val="single" w:sz="8" w:space="0" w:color="FFFFFF"/>
            </w:tcBorders>
            <w:shd w:val="clear" w:color="auto" w:fill="3A3838"/>
            <w:tcMar>
              <w:top w:w="75" w:type="dxa"/>
              <w:left w:w="150" w:type="dxa"/>
              <w:bottom w:w="75" w:type="dxa"/>
              <w:right w:w="150" w:type="dxa"/>
            </w:tcMar>
            <w:vAlign w:val="center"/>
            <w:hideMark/>
          </w:tcPr>
          <w:p w14:paraId="4A05C0CC" w14:textId="77777777" w:rsidR="00831B44" w:rsidRPr="00831B44" w:rsidRDefault="00831B44" w:rsidP="00831B44">
            <w:pPr>
              <w:jc w:val="center"/>
            </w:pPr>
            <w:r w:rsidRPr="00831B44">
              <w:rPr>
                <w:b/>
                <w:bCs/>
              </w:rPr>
              <w:t>Engagement Driver</w:t>
            </w:r>
          </w:p>
        </w:tc>
        <w:tc>
          <w:tcPr>
            <w:tcW w:w="0" w:type="auto"/>
            <w:tcBorders>
              <w:top w:val="single" w:sz="8" w:space="0" w:color="FFFFFF"/>
              <w:left w:val="single" w:sz="8" w:space="0" w:color="FFFFFF"/>
              <w:bottom w:val="single" w:sz="24" w:space="0" w:color="FFFFFF"/>
              <w:right w:val="single" w:sz="8" w:space="0" w:color="FFFFFF"/>
            </w:tcBorders>
            <w:shd w:val="clear" w:color="auto" w:fill="3A3838"/>
            <w:tcMar>
              <w:top w:w="75" w:type="dxa"/>
              <w:left w:w="150" w:type="dxa"/>
              <w:bottom w:w="75" w:type="dxa"/>
              <w:right w:w="150" w:type="dxa"/>
            </w:tcMar>
            <w:vAlign w:val="center"/>
            <w:hideMark/>
          </w:tcPr>
          <w:p w14:paraId="59C23F94" w14:textId="77777777" w:rsidR="00831B44" w:rsidRPr="00831B44" w:rsidRDefault="00831B44" w:rsidP="00831B44">
            <w:pPr>
              <w:jc w:val="center"/>
            </w:pPr>
            <w:r w:rsidRPr="00831B44">
              <w:rPr>
                <w:b/>
                <w:bCs/>
              </w:rPr>
              <w:t>Client Requirement</w:t>
            </w:r>
          </w:p>
        </w:tc>
        <w:tc>
          <w:tcPr>
            <w:tcW w:w="0" w:type="auto"/>
            <w:tcBorders>
              <w:top w:val="single" w:sz="8" w:space="0" w:color="FFFFFF"/>
              <w:left w:val="single" w:sz="8" w:space="0" w:color="FFFFFF"/>
              <w:bottom w:val="single" w:sz="24" w:space="0" w:color="FFFFFF"/>
              <w:right w:val="single" w:sz="8" w:space="0" w:color="FFFFFF"/>
            </w:tcBorders>
            <w:shd w:val="clear" w:color="auto" w:fill="3A3838"/>
            <w:tcMar>
              <w:top w:w="75" w:type="dxa"/>
              <w:left w:w="150" w:type="dxa"/>
              <w:bottom w:w="75" w:type="dxa"/>
              <w:right w:w="150" w:type="dxa"/>
            </w:tcMar>
            <w:vAlign w:val="center"/>
            <w:hideMark/>
          </w:tcPr>
          <w:p w14:paraId="0C0DF912" w14:textId="77777777" w:rsidR="00831B44" w:rsidRPr="00831B44" w:rsidRDefault="00831B44" w:rsidP="00831B44">
            <w:pPr>
              <w:jc w:val="center"/>
            </w:pPr>
            <w:r w:rsidRPr="00831B44">
              <w:rPr>
                <w:b/>
                <w:bCs/>
              </w:rPr>
              <w:t>Advisor Position</w:t>
            </w:r>
          </w:p>
        </w:tc>
        <w:tc>
          <w:tcPr>
            <w:tcW w:w="0" w:type="auto"/>
            <w:tcBorders>
              <w:top w:val="single" w:sz="8" w:space="0" w:color="FFFFFF"/>
              <w:left w:val="single" w:sz="8" w:space="0" w:color="FFFFFF"/>
              <w:bottom w:val="single" w:sz="24" w:space="0" w:color="FFFFFF"/>
              <w:right w:val="single" w:sz="8" w:space="0" w:color="FFFFFF"/>
            </w:tcBorders>
            <w:shd w:val="clear" w:color="auto" w:fill="3A3838"/>
            <w:tcMar>
              <w:top w:w="75" w:type="dxa"/>
              <w:left w:w="150" w:type="dxa"/>
              <w:bottom w:w="75" w:type="dxa"/>
              <w:right w:w="150" w:type="dxa"/>
            </w:tcMar>
            <w:vAlign w:val="center"/>
            <w:hideMark/>
          </w:tcPr>
          <w:p w14:paraId="0F18D506" w14:textId="77777777" w:rsidR="00831B44" w:rsidRPr="00831B44" w:rsidRDefault="00831B44" w:rsidP="00831B44">
            <w:pPr>
              <w:jc w:val="center"/>
            </w:pPr>
            <w:r w:rsidRPr="00831B44">
              <w:rPr>
                <w:b/>
                <w:bCs/>
              </w:rPr>
              <w:t>Delivery Imperative</w:t>
            </w:r>
          </w:p>
        </w:tc>
      </w:tr>
      <w:tr w:rsidR="00831B44" w:rsidRPr="00831B44" w14:paraId="73AA56E2" w14:textId="77777777" w:rsidTr="00831B44">
        <w:trPr>
          <w:trHeight w:val="757"/>
        </w:trPr>
        <w:tc>
          <w:tcPr>
            <w:tcW w:w="0" w:type="auto"/>
            <w:tcBorders>
              <w:top w:val="single" w:sz="24" w:space="0" w:color="FFFFFF"/>
              <w:left w:val="single" w:sz="8" w:space="0" w:color="FFFFFF"/>
              <w:bottom w:val="single" w:sz="8" w:space="0" w:color="FFFFFF"/>
              <w:right w:val="single" w:sz="8" w:space="0" w:color="FFFFFF"/>
            </w:tcBorders>
            <w:shd w:val="clear" w:color="auto" w:fill="CDD4EA"/>
            <w:tcMar>
              <w:top w:w="75" w:type="dxa"/>
              <w:left w:w="150" w:type="dxa"/>
              <w:bottom w:w="75" w:type="dxa"/>
              <w:right w:w="150" w:type="dxa"/>
            </w:tcMar>
            <w:vAlign w:val="center"/>
            <w:hideMark/>
          </w:tcPr>
          <w:p w14:paraId="10055FC4" w14:textId="77777777" w:rsidR="00831B44" w:rsidRPr="00831B44" w:rsidRDefault="00831B44" w:rsidP="00831B44">
            <w:r w:rsidRPr="00831B44">
              <w:t>Advice</w:t>
            </w:r>
          </w:p>
        </w:tc>
        <w:tc>
          <w:tcPr>
            <w:tcW w:w="0" w:type="auto"/>
            <w:tcBorders>
              <w:top w:val="single" w:sz="24" w:space="0" w:color="FFFFFF"/>
              <w:left w:val="single" w:sz="8" w:space="0" w:color="FFFFFF"/>
              <w:bottom w:val="single" w:sz="8" w:space="0" w:color="FFFFFF"/>
              <w:right w:val="single" w:sz="8" w:space="0" w:color="FFFFFF"/>
            </w:tcBorders>
            <w:shd w:val="clear" w:color="auto" w:fill="CDD4EA"/>
            <w:tcMar>
              <w:top w:w="75" w:type="dxa"/>
              <w:left w:w="150" w:type="dxa"/>
              <w:bottom w:w="75" w:type="dxa"/>
              <w:right w:w="150" w:type="dxa"/>
            </w:tcMar>
            <w:vAlign w:val="center"/>
            <w:hideMark/>
          </w:tcPr>
          <w:p w14:paraId="39379275" w14:textId="77777777" w:rsidR="00831B44" w:rsidRPr="00831B44" w:rsidRDefault="00831B44" w:rsidP="00831B44">
            <w:r w:rsidRPr="00831B44">
              <w:t>Clear Consequence</w:t>
            </w:r>
          </w:p>
        </w:tc>
        <w:tc>
          <w:tcPr>
            <w:tcW w:w="0" w:type="auto"/>
            <w:tcBorders>
              <w:top w:val="single" w:sz="24" w:space="0" w:color="FFFFFF"/>
              <w:left w:val="single" w:sz="8" w:space="0" w:color="FFFFFF"/>
              <w:bottom w:val="single" w:sz="8" w:space="0" w:color="FFFFFF"/>
              <w:right w:val="single" w:sz="8" w:space="0" w:color="FFFFFF"/>
            </w:tcBorders>
            <w:shd w:val="clear" w:color="auto" w:fill="CDD4EA"/>
            <w:tcMar>
              <w:top w:w="75" w:type="dxa"/>
              <w:left w:w="150" w:type="dxa"/>
              <w:bottom w:w="75" w:type="dxa"/>
              <w:right w:w="150" w:type="dxa"/>
            </w:tcMar>
            <w:vAlign w:val="center"/>
            <w:hideMark/>
          </w:tcPr>
          <w:p w14:paraId="23FA6B72" w14:textId="77777777" w:rsidR="00831B44" w:rsidRPr="00831B44" w:rsidRDefault="00831B44" w:rsidP="00831B44">
            <w:r w:rsidRPr="00831B44">
              <w:t>Acceptance</w:t>
            </w:r>
          </w:p>
        </w:tc>
        <w:tc>
          <w:tcPr>
            <w:tcW w:w="0" w:type="auto"/>
            <w:tcBorders>
              <w:top w:val="single" w:sz="24" w:space="0" w:color="FFFFFF"/>
              <w:left w:val="single" w:sz="8" w:space="0" w:color="FFFFFF"/>
              <w:bottom w:val="single" w:sz="8" w:space="0" w:color="FFFFFF"/>
              <w:right w:val="single" w:sz="8" w:space="0" w:color="FFFFFF"/>
            </w:tcBorders>
            <w:shd w:val="clear" w:color="auto" w:fill="CDD4EA"/>
            <w:tcMar>
              <w:top w:w="75" w:type="dxa"/>
              <w:left w:w="150" w:type="dxa"/>
              <w:bottom w:w="75" w:type="dxa"/>
              <w:right w:w="150" w:type="dxa"/>
            </w:tcMar>
            <w:vAlign w:val="center"/>
            <w:hideMark/>
          </w:tcPr>
          <w:p w14:paraId="58F8BF31" w14:textId="77777777" w:rsidR="00831B44" w:rsidRPr="00831B44" w:rsidRDefault="00831B44" w:rsidP="00831B44">
            <w:r w:rsidRPr="00831B44">
              <w:t>Hierarchical Position</w:t>
            </w:r>
          </w:p>
        </w:tc>
        <w:tc>
          <w:tcPr>
            <w:tcW w:w="0" w:type="auto"/>
            <w:tcBorders>
              <w:top w:val="single" w:sz="24" w:space="0" w:color="FFFFFF"/>
              <w:left w:val="single" w:sz="8" w:space="0" w:color="FFFFFF"/>
              <w:bottom w:val="single" w:sz="8" w:space="0" w:color="FFFFFF"/>
              <w:right w:val="single" w:sz="8" w:space="0" w:color="FFFFFF"/>
            </w:tcBorders>
            <w:shd w:val="clear" w:color="auto" w:fill="CDD4EA"/>
            <w:tcMar>
              <w:top w:w="75" w:type="dxa"/>
              <w:left w:w="150" w:type="dxa"/>
              <w:bottom w:w="75" w:type="dxa"/>
              <w:right w:w="150" w:type="dxa"/>
            </w:tcMar>
            <w:vAlign w:val="center"/>
            <w:hideMark/>
          </w:tcPr>
          <w:p w14:paraId="59CB9F47" w14:textId="77777777" w:rsidR="00831B44" w:rsidRPr="00831B44" w:rsidRDefault="00831B44" w:rsidP="00831B44">
            <w:r w:rsidRPr="00831B44">
              <w:t>Accuracy</w:t>
            </w:r>
          </w:p>
        </w:tc>
      </w:tr>
      <w:tr w:rsidR="00831B44" w:rsidRPr="00831B44" w14:paraId="49D4BD4F" w14:textId="77777777" w:rsidTr="00831B44">
        <w:trPr>
          <w:trHeight w:val="670"/>
        </w:trPr>
        <w:tc>
          <w:tcPr>
            <w:tcW w:w="0" w:type="auto"/>
            <w:tcBorders>
              <w:top w:val="single" w:sz="8" w:space="0" w:color="FFFFFF"/>
              <w:left w:val="single" w:sz="8" w:space="0" w:color="FFFFFF"/>
              <w:bottom w:val="single" w:sz="8" w:space="0" w:color="FFFFFF"/>
              <w:right w:val="single" w:sz="8" w:space="0" w:color="FFFFFF"/>
            </w:tcBorders>
            <w:shd w:val="clear" w:color="auto" w:fill="E8EBF5"/>
            <w:tcMar>
              <w:top w:w="75" w:type="dxa"/>
              <w:left w:w="150" w:type="dxa"/>
              <w:bottom w:w="75" w:type="dxa"/>
              <w:right w:w="150" w:type="dxa"/>
            </w:tcMar>
            <w:vAlign w:val="center"/>
            <w:hideMark/>
          </w:tcPr>
          <w:p w14:paraId="68D4121D" w14:textId="77777777" w:rsidR="00831B44" w:rsidRPr="00831B44" w:rsidRDefault="00831B44" w:rsidP="00831B44">
            <w:r w:rsidRPr="00831B44">
              <w:t>Facilitation</w:t>
            </w:r>
          </w:p>
        </w:tc>
        <w:tc>
          <w:tcPr>
            <w:tcW w:w="0" w:type="auto"/>
            <w:tcBorders>
              <w:top w:val="single" w:sz="8" w:space="0" w:color="FFFFFF"/>
              <w:left w:val="single" w:sz="8" w:space="0" w:color="FFFFFF"/>
              <w:bottom w:val="single" w:sz="8" w:space="0" w:color="FFFFFF"/>
              <w:right w:val="single" w:sz="8" w:space="0" w:color="FFFFFF"/>
            </w:tcBorders>
            <w:shd w:val="clear" w:color="auto" w:fill="E8EBF5"/>
            <w:tcMar>
              <w:top w:w="75" w:type="dxa"/>
              <w:left w:w="150" w:type="dxa"/>
              <w:bottom w:w="75" w:type="dxa"/>
              <w:right w:w="150" w:type="dxa"/>
            </w:tcMar>
            <w:vAlign w:val="center"/>
            <w:hideMark/>
          </w:tcPr>
          <w:p w14:paraId="2AC7BFAC" w14:textId="77777777" w:rsidR="00831B44" w:rsidRPr="00831B44" w:rsidRDefault="00831B44" w:rsidP="00831B44">
            <w:r w:rsidRPr="00831B44">
              <w:t>Trigger Event</w:t>
            </w:r>
          </w:p>
        </w:tc>
        <w:tc>
          <w:tcPr>
            <w:tcW w:w="0" w:type="auto"/>
            <w:tcBorders>
              <w:top w:val="single" w:sz="8" w:space="0" w:color="FFFFFF"/>
              <w:left w:val="single" w:sz="8" w:space="0" w:color="FFFFFF"/>
              <w:bottom w:val="single" w:sz="8" w:space="0" w:color="FFFFFF"/>
              <w:right w:val="single" w:sz="8" w:space="0" w:color="FFFFFF"/>
            </w:tcBorders>
            <w:shd w:val="clear" w:color="auto" w:fill="E8EBF5"/>
            <w:tcMar>
              <w:top w:w="75" w:type="dxa"/>
              <w:left w:w="150" w:type="dxa"/>
              <w:bottom w:w="75" w:type="dxa"/>
              <w:right w:w="150" w:type="dxa"/>
            </w:tcMar>
            <w:vAlign w:val="center"/>
            <w:hideMark/>
          </w:tcPr>
          <w:p w14:paraId="4C10FADB" w14:textId="77777777" w:rsidR="00831B44" w:rsidRPr="00831B44" w:rsidRDefault="00831B44" w:rsidP="00831B44">
            <w:r w:rsidRPr="00831B44">
              <w:t>Global &amp; Local Relevance</w:t>
            </w:r>
          </w:p>
        </w:tc>
        <w:tc>
          <w:tcPr>
            <w:tcW w:w="0" w:type="auto"/>
            <w:tcBorders>
              <w:top w:val="single" w:sz="8" w:space="0" w:color="FFFFFF"/>
              <w:left w:val="single" w:sz="8" w:space="0" w:color="FFFFFF"/>
              <w:bottom w:val="single" w:sz="8" w:space="0" w:color="FFFFFF"/>
              <w:right w:val="single" w:sz="8" w:space="0" w:color="FFFFFF"/>
            </w:tcBorders>
            <w:shd w:val="clear" w:color="auto" w:fill="E8EBF5"/>
            <w:tcMar>
              <w:top w:w="75" w:type="dxa"/>
              <w:left w:w="150" w:type="dxa"/>
              <w:bottom w:w="75" w:type="dxa"/>
              <w:right w:w="150" w:type="dxa"/>
            </w:tcMar>
            <w:vAlign w:val="center"/>
            <w:hideMark/>
          </w:tcPr>
          <w:p w14:paraId="42748770" w14:textId="77777777" w:rsidR="00831B44" w:rsidRPr="00831B44" w:rsidRDefault="00831B44" w:rsidP="00831B44">
            <w:r w:rsidRPr="00831B44">
              <w:t>Professionally Detached</w:t>
            </w:r>
          </w:p>
        </w:tc>
        <w:tc>
          <w:tcPr>
            <w:tcW w:w="0" w:type="auto"/>
            <w:tcBorders>
              <w:top w:val="single" w:sz="8" w:space="0" w:color="FFFFFF"/>
              <w:left w:val="single" w:sz="8" w:space="0" w:color="FFFFFF"/>
              <w:bottom w:val="single" w:sz="8" w:space="0" w:color="FFFFFF"/>
              <w:right w:val="single" w:sz="8" w:space="0" w:color="FFFFFF"/>
            </w:tcBorders>
            <w:shd w:val="clear" w:color="auto" w:fill="E8EBF5"/>
            <w:tcMar>
              <w:top w:w="75" w:type="dxa"/>
              <w:left w:w="150" w:type="dxa"/>
              <w:bottom w:w="75" w:type="dxa"/>
              <w:right w:w="150" w:type="dxa"/>
            </w:tcMar>
            <w:vAlign w:val="center"/>
            <w:hideMark/>
          </w:tcPr>
          <w:p w14:paraId="0B7CB267" w14:textId="77777777" w:rsidR="00831B44" w:rsidRPr="00831B44" w:rsidRDefault="00831B44" w:rsidP="00831B44">
            <w:r w:rsidRPr="00831B44">
              <w:t>The Reveal</w:t>
            </w:r>
          </w:p>
        </w:tc>
      </w:tr>
      <w:tr w:rsidR="00831B44" w:rsidRPr="00831B44" w14:paraId="556EC881" w14:textId="77777777" w:rsidTr="00831B44">
        <w:trPr>
          <w:trHeight w:val="539"/>
        </w:trPr>
        <w:tc>
          <w:tcPr>
            <w:tcW w:w="0" w:type="auto"/>
            <w:tcBorders>
              <w:top w:val="single" w:sz="8" w:space="0" w:color="FFFFFF"/>
              <w:left w:val="single" w:sz="8" w:space="0" w:color="FFFFFF"/>
              <w:bottom w:val="single" w:sz="8" w:space="0" w:color="FFFFFF"/>
              <w:right w:val="single" w:sz="8" w:space="0" w:color="FFFFFF"/>
            </w:tcBorders>
            <w:shd w:val="clear" w:color="auto" w:fill="CDD4EA"/>
            <w:tcMar>
              <w:top w:w="75" w:type="dxa"/>
              <w:left w:w="150" w:type="dxa"/>
              <w:bottom w:w="75" w:type="dxa"/>
              <w:right w:w="150" w:type="dxa"/>
            </w:tcMar>
            <w:vAlign w:val="center"/>
            <w:hideMark/>
          </w:tcPr>
          <w:p w14:paraId="016F59C4" w14:textId="77777777" w:rsidR="00831B44" w:rsidRPr="00831B44" w:rsidRDefault="00831B44" w:rsidP="00831B44">
            <w:r w:rsidRPr="00831B44">
              <w:t>Education</w:t>
            </w:r>
          </w:p>
        </w:tc>
        <w:tc>
          <w:tcPr>
            <w:tcW w:w="0" w:type="auto"/>
            <w:tcBorders>
              <w:top w:val="single" w:sz="8" w:space="0" w:color="FFFFFF"/>
              <w:left w:val="single" w:sz="8" w:space="0" w:color="FFFFFF"/>
              <w:bottom w:val="single" w:sz="8" w:space="0" w:color="FFFFFF"/>
              <w:right w:val="single" w:sz="8" w:space="0" w:color="FFFFFF"/>
            </w:tcBorders>
            <w:shd w:val="clear" w:color="auto" w:fill="CDD4EA"/>
            <w:tcMar>
              <w:top w:w="75" w:type="dxa"/>
              <w:left w:w="150" w:type="dxa"/>
              <w:bottom w:w="75" w:type="dxa"/>
              <w:right w:w="150" w:type="dxa"/>
            </w:tcMar>
            <w:vAlign w:val="center"/>
            <w:hideMark/>
          </w:tcPr>
          <w:p w14:paraId="27D3746B" w14:textId="77777777" w:rsidR="00831B44" w:rsidRPr="00831B44" w:rsidRDefault="00831B44" w:rsidP="00831B44">
            <w:r w:rsidRPr="00831B44">
              <w:t>Knowledge Gap</w:t>
            </w:r>
          </w:p>
        </w:tc>
        <w:tc>
          <w:tcPr>
            <w:tcW w:w="0" w:type="auto"/>
            <w:tcBorders>
              <w:top w:val="single" w:sz="8" w:space="0" w:color="FFFFFF"/>
              <w:left w:val="single" w:sz="8" w:space="0" w:color="FFFFFF"/>
              <w:bottom w:val="single" w:sz="8" w:space="0" w:color="FFFFFF"/>
              <w:right w:val="single" w:sz="8" w:space="0" w:color="FFFFFF"/>
            </w:tcBorders>
            <w:shd w:val="clear" w:color="auto" w:fill="CDD4EA"/>
            <w:tcMar>
              <w:top w:w="75" w:type="dxa"/>
              <w:left w:w="150" w:type="dxa"/>
              <w:bottom w:w="75" w:type="dxa"/>
              <w:right w:w="150" w:type="dxa"/>
            </w:tcMar>
            <w:vAlign w:val="center"/>
            <w:hideMark/>
          </w:tcPr>
          <w:p w14:paraId="7625F9E5" w14:textId="77777777" w:rsidR="00831B44" w:rsidRPr="00831B44" w:rsidRDefault="00831B44" w:rsidP="00831B44">
            <w:r w:rsidRPr="00831B44">
              <w:t>Sequential Comprehension</w:t>
            </w:r>
          </w:p>
        </w:tc>
        <w:tc>
          <w:tcPr>
            <w:tcW w:w="0" w:type="auto"/>
            <w:tcBorders>
              <w:top w:val="single" w:sz="8" w:space="0" w:color="FFFFFF"/>
              <w:left w:val="single" w:sz="8" w:space="0" w:color="FFFFFF"/>
              <w:bottom w:val="single" w:sz="8" w:space="0" w:color="FFFFFF"/>
              <w:right w:val="single" w:sz="8" w:space="0" w:color="FFFFFF"/>
            </w:tcBorders>
            <w:shd w:val="clear" w:color="auto" w:fill="CDD4EA"/>
            <w:tcMar>
              <w:top w:w="75" w:type="dxa"/>
              <w:left w:w="150" w:type="dxa"/>
              <w:bottom w:w="75" w:type="dxa"/>
              <w:right w:w="150" w:type="dxa"/>
            </w:tcMar>
            <w:vAlign w:val="center"/>
            <w:hideMark/>
          </w:tcPr>
          <w:p w14:paraId="29F0C768" w14:textId="77777777" w:rsidR="00831B44" w:rsidRPr="00831B44" w:rsidRDefault="00831B44" w:rsidP="00831B44">
            <w:r w:rsidRPr="00831B44">
              <w:t>Feedback Loop</w:t>
            </w:r>
          </w:p>
        </w:tc>
        <w:tc>
          <w:tcPr>
            <w:tcW w:w="0" w:type="auto"/>
            <w:tcBorders>
              <w:top w:val="single" w:sz="8" w:space="0" w:color="FFFFFF"/>
              <w:left w:val="single" w:sz="8" w:space="0" w:color="FFFFFF"/>
              <w:bottom w:val="single" w:sz="8" w:space="0" w:color="FFFFFF"/>
              <w:right w:val="single" w:sz="8" w:space="0" w:color="FFFFFF"/>
            </w:tcBorders>
            <w:shd w:val="clear" w:color="auto" w:fill="CDD4EA"/>
            <w:tcMar>
              <w:top w:w="75" w:type="dxa"/>
              <w:left w:w="150" w:type="dxa"/>
              <w:bottom w:w="75" w:type="dxa"/>
              <w:right w:w="150" w:type="dxa"/>
            </w:tcMar>
            <w:vAlign w:val="center"/>
            <w:hideMark/>
          </w:tcPr>
          <w:p w14:paraId="151EB0BC" w14:textId="77777777" w:rsidR="00831B44" w:rsidRPr="00831B44" w:rsidRDefault="00831B44" w:rsidP="00831B44">
            <w:r w:rsidRPr="00831B44">
              <w:t>Chunking</w:t>
            </w:r>
          </w:p>
        </w:tc>
      </w:tr>
    </w:tbl>
    <w:p w14:paraId="270AEAD1" w14:textId="77777777" w:rsidR="00831B44" w:rsidRDefault="00831B44"/>
    <w:sectPr w:rsidR="00831B44" w:rsidSect="00831B4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3235E"/>
    <w:multiLevelType w:val="multilevel"/>
    <w:tmpl w:val="FAC2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485448"/>
    <w:multiLevelType w:val="multilevel"/>
    <w:tmpl w:val="0EC6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A0C6F"/>
    <w:multiLevelType w:val="multilevel"/>
    <w:tmpl w:val="6C8C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587788"/>
    <w:multiLevelType w:val="multilevel"/>
    <w:tmpl w:val="F8B2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942874">
    <w:abstractNumId w:val="1"/>
  </w:num>
  <w:num w:numId="2" w16cid:durableId="1857233177">
    <w:abstractNumId w:val="0"/>
  </w:num>
  <w:num w:numId="3" w16cid:durableId="447744858">
    <w:abstractNumId w:val="3"/>
  </w:num>
  <w:num w:numId="4" w16cid:durableId="1512067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B44"/>
    <w:rsid w:val="00374805"/>
    <w:rsid w:val="00831B44"/>
    <w:rsid w:val="00CC0047"/>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B9E9B"/>
  <w15:chartTrackingRefBased/>
  <w15:docId w15:val="{A96995B4-CBEE-49E6-9F63-8A401A7E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B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B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B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B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B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B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B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B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B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B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B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B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B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B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B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B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B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B44"/>
    <w:rPr>
      <w:rFonts w:eastAsiaTheme="majorEastAsia" w:cstheme="majorBidi"/>
      <w:color w:val="272727" w:themeColor="text1" w:themeTint="D8"/>
    </w:rPr>
  </w:style>
  <w:style w:type="paragraph" w:styleId="Title">
    <w:name w:val="Title"/>
    <w:basedOn w:val="Normal"/>
    <w:next w:val="Normal"/>
    <w:link w:val="TitleChar"/>
    <w:uiPriority w:val="10"/>
    <w:qFormat/>
    <w:rsid w:val="00831B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B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B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B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B44"/>
    <w:pPr>
      <w:spacing w:before="160"/>
      <w:jc w:val="center"/>
    </w:pPr>
    <w:rPr>
      <w:i/>
      <w:iCs/>
      <w:color w:val="404040" w:themeColor="text1" w:themeTint="BF"/>
    </w:rPr>
  </w:style>
  <w:style w:type="character" w:customStyle="1" w:styleId="QuoteChar">
    <w:name w:val="Quote Char"/>
    <w:basedOn w:val="DefaultParagraphFont"/>
    <w:link w:val="Quote"/>
    <w:uiPriority w:val="29"/>
    <w:rsid w:val="00831B44"/>
    <w:rPr>
      <w:i/>
      <w:iCs/>
      <w:color w:val="404040" w:themeColor="text1" w:themeTint="BF"/>
    </w:rPr>
  </w:style>
  <w:style w:type="paragraph" w:styleId="ListParagraph">
    <w:name w:val="List Paragraph"/>
    <w:basedOn w:val="Normal"/>
    <w:uiPriority w:val="34"/>
    <w:qFormat/>
    <w:rsid w:val="00831B44"/>
    <w:pPr>
      <w:ind w:left="720"/>
      <w:contextualSpacing/>
    </w:pPr>
  </w:style>
  <w:style w:type="character" w:styleId="IntenseEmphasis">
    <w:name w:val="Intense Emphasis"/>
    <w:basedOn w:val="DefaultParagraphFont"/>
    <w:uiPriority w:val="21"/>
    <w:qFormat/>
    <w:rsid w:val="00831B44"/>
    <w:rPr>
      <w:i/>
      <w:iCs/>
      <w:color w:val="0F4761" w:themeColor="accent1" w:themeShade="BF"/>
    </w:rPr>
  </w:style>
  <w:style w:type="paragraph" w:styleId="IntenseQuote">
    <w:name w:val="Intense Quote"/>
    <w:basedOn w:val="Normal"/>
    <w:next w:val="Normal"/>
    <w:link w:val="IntenseQuoteChar"/>
    <w:uiPriority w:val="30"/>
    <w:qFormat/>
    <w:rsid w:val="00831B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B44"/>
    <w:rPr>
      <w:i/>
      <w:iCs/>
      <w:color w:val="0F4761" w:themeColor="accent1" w:themeShade="BF"/>
    </w:rPr>
  </w:style>
  <w:style w:type="character" w:styleId="IntenseReference">
    <w:name w:val="Intense Reference"/>
    <w:basedOn w:val="DefaultParagraphFont"/>
    <w:uiPriority w:val="32"/>
    <w:qFormat/>
    <w:rsid w:val="00831B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803</Words>
  <Characters>5031</Characters>
  <Application>Microsoft Office Word</Application>
  <DocSecurity>0</DocSecurity>
  <Lines>81</Lines>
  <Paragraphs>15</Paragraphs>
  <ScaleCrop>false</ScaleCrop>
  <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Barnes</dc:creator>
  <cp:keywords/>
  <dc:description/>
  <cp:lastModifiedBy>Mike Barnes</cp:lastModifiedBy>
  <cp:revision>1</cp:revision>
  <dcterms:created xsi:type="dcterms:W3CDTF">2026-04-01T19:31:00Z</dcterms:created>
  <dcterms:modified xsi:type="dcterms:W3CDTF">2026-04-01T19:35:00Z</dcterms:modified>
</cp:coreProperties>
</file>