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Three-Way Cash Flow Forecast</w:t>
      </w:r>
    </w:p>
    <w:p w:rsidR="00000000" w:rsidDel="00000000" w:rsidP="00000000" w:rsidRDefault="00000000" w:rsidRPr="00000000" w14:paraId="00000002">
      <w:pPr>
        <w:spacing w:after="80" w:lineRule="auto"/>
        <w:rPr/>
      </w:pPr>
      <w:r w:rsidDel="00000000" w:rsidR="00000000" w:rsidRPr="00000000">
        <w:rPr>
          <w:rFonts w:ascii="Arial" w:cs="Arial" w:eastAsia="Arial" w:hAnsi="Arial"/>
          <w:color w:val="595959"/>
          <w:sz w:val="26"/>
          <w:szCs w:val="26"/>
          <w:rtl w:val="0"/>
        </w:rPr>
        <w:t xml:space="preserve">AI Build Instructions — Excel Model Deliverable</w:t>
      </w: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rFonts w:ascii="Arial" w:cs="Arial" w:eastAsia="Arial" w:hAnsi="Arial"/>
          <w:i w:val="1"/>
          <w:iCs w:val="1"/>
          <w:color w:val="808080"/>
          <w:rtl w:val="0"/>
        </w:rPr>
        <w:t xml:space="preserve">Prompt specification for an AI agent tasked with building an auditable, editable cash flow model.</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9000" w:space="0" w:sz="12" w:val="single"/>
              <w:left w:color="bf9000" w:space="0" w:sz="24" w:val="single"/>
              <w:bottom w:color="bf9000" w:space="0" w:sz="12" w:val="single"/>
              <w:right w:color="bf9000" w:space="0" w:sz="12" w:val="single"/>
            </w:tcBorders>
            <w:shd w:fill="fff2cc" w:val="clear"/>
            <w:tcMar>
              <w:top w:w="120.0" w:type="dxa"/>
              <w:left w:w="180.0" w:type="dxa"/>
              <w:bottom w:w="120.0" w:type="dxa"/>
              <w:right w:w="180.0" w:type="dxa"/>
            </w:tcMar>
          </w:tcPr>
          <w:p w:rsidR="00000000" w:rsidDel="00000000" w:rsidP="00000000" w:rsidRDefault="00000000" w:rsidRPr="00000000" w14:paraId="00000004">
            <w:pPr>
              <w:spacing w:after="60" w:lineRule="auto"/>
              <w:rPr/>
            </w:pPr>
            <w:r w:rsidDel="00000000" w:rsidR="00000000" w:rsidRPr="00000000">
              <w:rPr>
                <w:rFonts w:ascii="Arial" w:cs="Arial" w:eastAsia="Arial" w:hAnsi="Arial"/>
                <w:b w:val="1"/>
                <w:bCs w:val="1"/>
                <w:rtl w:val="0"/>
              </w:rPr>
              <w:t xml:space="preserve">How to use this document</w:t>
            </w: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w:cs="Arial" w:eastAsia="Arial" w:hAnsi="Arial"/>
                <w:rtl w:val="0"/>
              </w:rPr>
              <w:t xml:space="preserve">The three highlighted boxes below mark the only decisions you must set before running these instructions: </w:t>
            </w:r>
            <w:r w:rsidDel="00000000" w:rsidR="00000000" w:rsidRPr="00000000">
              <w:rPr>
                <w:rFonts w:ascii="Arial" w:cs="Arial" w:eastAsia="Arial" w:hAnsi="Arial"/>
                <w:b w:val="1"/>
                <w:bCs w:val="1"/>
                <w:rtl w:val="0"/>
              </w:rPr>
              <w:t xml:space="preserve">(1) materiality threshold, (2) reporting granularity, and (3) currency &amp; units. </w:t>
            </w:r>
            <w:r w:rsidDel="00000000" w:rsidR="00000000" w:rsidRPr="00000000">
              <w:rPr>
                <w:rFonts w:ascii="Arial" w:cs="Arial" w:eastAsia="Arial" w:hAnsi="Arial"/>
                <w:rtl w:val="0"/>
              </w:rPr>
              <w:t xml:space="preserve">Each appears in its relevant section and is also listed together on the final page.</w:t>
            </w:r>
            <w:r w:rsidDel="00000000" w:rsidR="00000000" w:rsidRPr="00000000">
              <w:rPr>
                <w:rtl w:val="0"/>
              </w:rPr>
            </w:r>
          </w:p>
        </w:tc>
      </w:tr>
    </w:tbl>
    <w:p w:rsidR="00000000" w:rsidDel="00000000" w:rsidP="00000000" w:rsidRDefault="00000000" w:rsidRPr="00000000" w14:paraId="00000006">
      <w:pPr>
        <w:spacing w:after="160" w:lineRule="auto"/>
        <w:rPr/>
      </w:pPr>
      <w:r w:rsidDel="00000000" w:rsidR="00000000" w:rsidRPr="00000000">
        <w:rPr>
          <w:rtl w:val="0"/>
        </w:rPr>
      </w:r>
    </w:p>
    <w:p w:rsidR="00000000" w:rsidDel="00000000" w:rsidP="00000000" w:rsidRDefault="00000000" w:rsidRPr="00000000" w14:paraId="00000007">
      <w:pPr>
        <w:spacing w:after="80" w:lineRule="auto"/>
        <w:rPr/>
      </w:pPr>
      <w:r w:rsidDel="00000000" w:rsidR="00000000" w:rsidRPr="00000000">
        <w:rPr>
          <w:rFonts w:ascii="Arial" w:cs="Arial" w:eastAsia="Arial" w:hAnsi="Arial"/>
          <w:b w:val="1"/>
          <w:bCs w:val="1"/>
          <w:color w:val="2e75b6"/>
          <w:sz w:val="24"/>
          <w:szCs w:val="24"/>
          <w:rtl w:val="0"/>
        </w:rPr>
        <w:t xml:space="preserve">Contents</w:t>
      </w:r>
      <w:r w:rsidDel="00000000" w:rsidR="00000000" w:rsidRPr="00000000">
        <w:rPr>
          <w:rtl w:val="0"/>
        </w:rPr>
      </w:r>
    </w:p>
    <w:sdt>
      <w:sdtPr>
        <w:id w:val="-518078844"/>
        <w:docPartObj>
          <w:docPartGallery w:val="Table of Contents"/>
          <w:docPartUnique w:val="1"/>
        </w:docPartObj>
      </w:sdtPr>
      <w:sdtContent>
        <w:p w:rsidR="00000000" w:rsidDel="00000000" w:rsidP="00000000" w:rsidRDefault="00000000" w:rsidRPr="00000000" w14:paraId="00000008">
          <w:pPr>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spacing w:after="200" w:lineRule="auto"/>
        <w:rPr/>
      </w:pP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tl w:val="0"/>
        </w:rPr>
        <w:t xml:space="preserve">1. Role and Objective</w:t>
      </w:r>
    </w:p>
    <w:p w:rsidR="00000000" w:rsidDel="00000000" w:rsidP="00000000" w:rsidRDefault="00000000" w:rsidRPr="00000000" w14:paraId="0000000C">
      <w:pPr>
        <w:pBdr>
          <w:bottom w:color="2e75b6" w:space="1" w:sz="6" w:val="single"/>
        </w:pBdr>
        <w:spacing w:after="120" w:lineRule="auto"/>
        <w:rPr/>
      </w:pP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rtl w:val="0"/>
        </w:rPr>
        <w:t xml:space="preserve">You are a team of forensic accountants, tax specialists, and finance analysts. Your task is to build a three-way cash flow forecast — an integrated profit &amp; loss, balance sheet, and cash flow statement — as a working Microsoft Excel model with live formulas and charts. The model must be auditable, internally consistent, and editable by the acting accountant.</w:t>
      </w:r>
    </w:p>
    <w:p w:rsidR="00000000" w:rsidDel="00000000" w:rsidP="00000000" w:rsidRDefault="00000000" w:rsidRPr="00000000" w14:paraId="0000000E">
      <w:pPr>
        <w:spacing w:after="120" w:lineRule="auto"/>
        <w:rPr/>
      </w:pPr>
      <w:r w:rsidDel="00000000" w:rsidR="00000000" w:rsidRPr="00000000">
        <w:rPr>
          <w:rtl w:val="0"/>
        </w:rPr>
        <w:t xml:space="preserve">The accountant, the client, and potential financiers will all rely on it, so every figure must trace back to a source or a stated assumption.</w:t>
      </w:r>
    </w:p>
    <w:p w:rsidR="00000000" w:rsidDel="00000000" w:rsidP="00000000" w:rsidRDefault="00000000" w:rsidRPr="00000000" w14:paraId="0000000F">
      <w:pPr>
        <w:pStyle w:val="Heading1"/>
        <w:rPr/>
      </w:pPr>
      <w:r w:rsidDel="00000000" w:rsidR="00000000" w:rsidRPr="00000000">
        <w:rPr>
          <w:rtl w:val="0"/>
        </w:rPr>
        <w:t xml:space="preserve">2. Output Format</w:t>
      </w:r>
    </w:p>
    <w:p w:rsidR="00000000" w:rsidDel="00000000" w:rsidP="00000000" w:rsidRDefault="00000000" w:rsidRPr="00000000" w14:paraId="00000010">
      <w:pPr>
        <w:pBdr>
          <w:bottom w:color="2e75b6" w:space="1" w:sz="6" w:val="single"/>
        </w:pBdr>
        <w:spacing w:after="120" w:lineRule="auto"/>
        <w:rPr/>
      </w:pP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tl w:val="0"/>
        </w:rPr>
        <w:t xml:space="preserve">Deliver a single .xlsx workbook with the following sheets, in order:</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Cover &amp; Contents — title, client, preparation date, version (Draft/Published), and a sheet index.</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Assumptions &amp; Inputs — all editable drivers in one place (see Section 4).</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P&amp;L — at the chosen granularity, with annual roll-ups.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Balance Sheet — linked to P&amp;L and cash flow.</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Cash Flow — the three statements must tie (closing cash equals the balance sheet cash line).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Scenarios &amp; Sensitivity — base / upside / downside (see Section 6).</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Charts — visual summary (see Section 9).</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Flagged Issues Register — the running issues log (see Section 7).</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Plain-English Summary — the client / financier narrative (see Section 10).</w:t>
      </w:r>
    </w:p>
    <w:p w:rsidR="00000000" w:rsidDel="00000000" w:rsidP="00000000" w:rsidRDefault="00000000" w:rsidRPr="00000000" w14:paraId="0000001B">
      <w:pPr>
        <w:pStyle w:val="Heading2"/>
        <w:rPr/>
      </w:pPr>
      <w:r w:rsidDel="00000000" w:rsidR="00000000" w:rsidRPr="00000000">
        <w:rPr>
          <w:rtl w:val="0"/>
        </w:rPr>
        <w:t xml:space="preserve">Excel conventions to apply throughout</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calculations are live Excel formulas, never values computed elsewhere and pasted in, so the model recalculates when any input changes.</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assumptions live in dedicated input cells and are referenced by formula (e.g. =B5*(1+$B$6)), never hard-coded inside calculations.</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Colour coding: blue text for hard-coded inputs the user will change; black for formulas; green for cross-sheet links; yellow fill for key assumptions needing attention. State this legend on the Cover sheet.</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 formats: currency as $#,##0 with units named in every header; zeros shown as “-”; negatives in parentheses; percentages to one decimal; years as text (“2026” not “2,026”).</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 with zero formula errors (#REF!, #DIV/0!, #VALUE!, #N/A, #NAME?). Guard divisions against zero denominators.</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 every hard-coded input in an adjacent cell comment: “Source: [System/Document], [Date], [Reference], [URL if applicable]”.</w:t>
      </w:r>
    </w:p>
    <w:p w:rsidR="00000000" w:rsidDel="00000000" w:rsidP="00000000" w:rsidRDefault="00000000" w:rsidRPr="00000000" w14:paraId="00000022">
      <w:pPr>
        <w:pStyle w:val="Heading1"/>
        <w:rPr/>
      </w:pPr>
      <w:r w:rsidDel="00000000" w:rsidR="00000000" w:rsidRPr="00000000">
        <w:rPr>
          <w:rtl w:val="0"/>
        </w:rPr>
        <w:t xml:space="preserve">3. Source Discipline (Non-Negotiable)</w:t>
      </w:r>
    </w:p>
    <w:p w:rsidR="00000000" w:rsidDel="00000000" w:rsidP="00000000" w:rsidRDefault="00000000" w:rsidRPr="00000000" w14:paraId="00000023">
      <w:pPr>
        <w:pBdr>
          <w:bottom w:color="2e75b6" w:space="1" w:sz="6" w:val="single"/>
        </w:pBdr>
        <w:spacing w:after="120" w:lineRule="auto"/>
        <w:rPr/>
      </w:pP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tl w:val="0"/>
        </w:rPr>
        <w:t xml:space="preserve">Use only information and sources provided to you. Never invent, infer, or alter a figure to fill a gap. Where data is missing, incomplete, or contradictory, do not proceed silently — raise a flagged issue and either request the input or apply a clearly labelled placeholder (yellow-filled, commented) that the accountant must approve.</w:t>
      </w:r>
    </w:p>
    <w:p w:rsidR="00000000" w:rsidDel="00000000" w:rsidP="00000000" w:rsidRDefault="00000000" w:rsidRPr="00000000" w14:paraId="00000025">
      <w:pPr>
        <w:spacing w:after="120" w:lineRule="auto"/>
        <w:rPr/>
      </w:pPr>
      <w:r w:rsidDel="00000000" w:rsidR="00000000" w:rsidRPr="00000000">
        <w:rPr>
          <w:rtl w:val="0"/>
        </w:rPr>
        <w:t xml:space="preserve">Distinguish explicitly between (a) hard data provided, (b) figures derived by formula from that data, and (c) assumptions you have introduced.</w:t>
      </w:r>
    </w:p>
    <w:p w:rsidR="00000000" w:rsidDel="00000000" w:rsidP="00000000" w:rsidRDefault="00000000" w:rsidRPr="00000000" w14:paraId="00000026">
      <w:pPr>
        <w:pStyle w:val="Heading1"/>
        <w:rPr/>
      </w:pPr>
      <w:r w:rsidDel="00000000" w:rsidR="00000000" w:rsidRPr="00000000">
        <w:rPr>
          <w:rtl w:val="0"/>
        </w:rPr>
        <w:t xml:space="preserve">3A. Privacy and De-identification Protocol (Non-Negotiable)</w:t>
      </w:r>
    </w:p>
    <w:p w:rsidR="00000000" w:rsidDel="00000000" w:rsidP="00000000" w:rsidRDefault="00000000" w:rsidRPr="00000000" w14:paraId="00000027">
      <w:pPr>
        <w:spacing w:after="120" w:lineRule="auto"/>
        <w:rPr/>
      </w:pPr>
      <w:r w:rsidDel="00000000" w:rsidR="00000000" w:rsidRPr="00000000">
        <w:rPr>
          <w:b w:val="1"/>
          <w:bCs w:val="1"/>
          <w:rtl w:val="0"/>
        </w:rPr>
        <w:t xml:space="preserve">Step zero — privacy scan before any build work. </w:t>
      </w:r>
      <w:r w:rsidDel="00000000" w:rsidR="00000000" w:rsidRPr="00000000">
        <w:rPr>
          <w:rtl w:val="0"/>
        </w:rPr>
        <w:t xml:space="preserve">Before performing any analysis or construction, scan every provided input for personal identifiers, including but not limited to: names of natural persons (client principals, employees, customers, suppliers), IRD and GST numbers, bank account numbers, physical and email addresses, phone numbers, dates of birth, and any other detail that could identify an individual. If any are found, </w:t>
      </w:r>
      <w:r w:rsidDel="00000000" w:rsidR="00000000" w:rsidRPr="00000000">
        <w:rPr>
          <w:b w:val="1"/>
          <w:bCs w:val="1"/>
          <w:rtl w:val="0"/>
        </w:rPr>
        <w:t xml:space="preserve">stop immediately</w:t>
      </w:r>
      <w:r w:rsidDel="00000000" w:rsidR="00000000" w:rsidRPr="00000000">
        <w:rPr>
          <w:rtl w:val="0"/>
        </w:rPr>
        <w:t xml:space="preserve">. List each identifier found and its location, and take no further action until the accountant confirms how to proceed. Do not summarise, restate, or reproduce the identifier values in your report beyond what is needed to locate them.</w:t>
      </w:r>
    </w:p>
    <w:p w:rsidR="00000000" w:rsidDel="00000000" w:rsidP="00000000" w:rsidRDefault="00000000" w:rsidRPr="00000000" w14:paraId="00000028">
      <w:pPr>
        <w:spacing w:after="120" w:lineRule="auto"/>
        <w:rPr/>
      </w:pPr>
      <w:r w:rsidDel="00000000" w:rsidR="00000000" w:rsidRPr="00000000">
        <w:rPr>
          <w:b w:val="1"/>
          <w:bCs w:val="1"/>
          <w:rtl w:val="0"/>
        </w:rPr>
        <w:t xml:space="preserve">Pseudonymisation convention. </w:t>
      </w:r>
      <w:r w:rsidDel="00000000" w:rsidR="00000000" w:rsidRPr="00000000">
        <w:rPr>
          <w:rtl w:val="0"/>
        </w:rPr>
        <w:t xml:space="preserve">Refer to the client entity only as “the Client” or the code name provided. Where individual names are legitimately needed for model logic (e.g. a debtors ledger), replace them with generic labels (Customer A, Supplier 1, Employee 1) and maintain no mapping table within the model. This convention applies everywhere: statements, cell comments, source citations, charts, the Flagged Issues Register, and the Plain-English Summary.</w:t>
      </w:r>
    </w:p>
    <w:p w:rsidR="00000000" w:rsidDel="00000000" w:rsidP="00000000" w:rsidRDefault="00000000" w:rsidRPr="00000000" w14:paraId="00000029">
      <w:pPr>
        <w:spacing w:after="120" w:lineRule="auto"/>
        <w:rPr/>
      </w:pPr>
      <w:r w:rsidDel="00000000" w:rsidR="00000000" w:rsidRPr="00000000">
        <w:rPr>
          <w:b w:val="1"/>
          <w:bCs w:val="1"/>
          <w:rtl w:val="0"/>
        </w:rPr>
        <w:t xml:space="preserve">No propagation. </w:t>
      </w:r>
      <w:r w:rsidDel="00000000" w:rsidR="00000000" w:rsidRPr="00000000">
        <w:rPr>
          <w:rtl w:val="0"/>
        </w:rPr>
        <w:t xml:space="preserve">Never carry a personal identifier from an input into any output, comment, or citation. Source citations reference document type and date, not individuals.</w:t>
      </w:r>
    </w:p>
    <w:p w:rsidR="00000000" w:rsidDel="00000000" w:rsidP="00000000" w:rsidRDefault="00000000" w:rsidRPr="00000000" w14:paraId="0000002A">
      <w:pPr>
        <w:spacing w:after="120" w:lineRule="auto"/>
        <w:rPr/>
      </w:pPr>
      <w:r w:rsidDel="00000000" w:rsidR="00000000" w:rsidRPr="00000000">
        <w:rPr>
          <w:b w:val="1"/>
          <w:bCs w:val="1"/>
          <w:rtl w:val="0"/>
        </w:rPr>
        <w:t xml:space="preserve">Data minimisation. </w:t>
      </w:r>
      <w:r w:rsidDel="00000000" w:rsidR="00000000" w:rsidRPr="00000000">
        <w:rPr>
          <w:rtl w:val="0"/>
        </w:rPr>
        <w:t xml:space="preserve">Use only the fields necessary to build the forecast. If provided inputs contain personal information not required for the model, flag it in the Flagged Issues Register and recommend it be excluded from future uploads.</w:t>
      </w:r>
    </w:p>
    <w:p w:rsidR="00000000" w:rsidDel="00000000" w:rsidP="00000000" w:rsidRDefault="00000000" w:rsidRPr="00000000" w14:paraId="0000002B">
      <w:pPr>
        <w:spacing w:after="120" w:lineRule="auto"/>
        <w:rPr/>
      </w:pPr>
      <w:r w:rsidDel="00000000" w:rsidR="00000000" w:rsidRPr="00000000">
        <w:rPr>
          <w:b w:val="1"/>
          <w:bCs w:val="1"/>
          <w:rtl w:val="0"/>
        </w:rPr>
        <w:t xml:space="preserve">Register entry. </w:t>
      </w:r>
      <w:r w:rsidDel="00000000" w:rsidR="00000000" w:rsidRPr="00000000">
        <w:rPr>
          <w:rtl w:val="0"/>
        </w:rPr>
        <w:t xml:space="preserve">Record every privacy flag and its treatment in the Flagged Issues Register like any other issue.</w:t>
      </w:r>
    </w:p>
    <w:p w:rsidR="00000000" w:rsidDel="00000000" w:rsidP="00000000" w:rsidRDefault="00000000" w:rsidRPr="00000000" w14:paraId="0000002C">
      <w:pPr>
        <w:spacing w:after="120" w:lineRule="auto"/>
        <w:rPr/>
      </w:pPr>
      <w:r w:rsidDel="00000000" w:rsidR="00000000" w:rsidRPr="00000000">
        <w:rPr>
          <w:b w:val="1"/>
          <w:bCs w:val="1"/>
          <w:rtl w:val="0"/>
        </w:rPr>
        <w:t xml:space="preserve">Note to the accountant (not an instruction to the AI): </w:t>
      </w:r>
      <w:r w:rsidDel="00000000" w:rsidR="00000000" w:rsidRPr="00000000">
        <w:rPr>
          <w:rtl w:val="0"/>
        </w:rPr>
        <w:t xml:space="preserve">this scan is a backstop, not a substitute for redaction. Personal information should be removed or pseudonymised before upload; if the scan surfaces a material identifier, delete the session and restart with a cleaned file rather than editing mid-conversation.</w:t>
      </w:r>
    </w:p>
    <w:p w:rsidR="00000000" w:rsidDel="00000000" w:rsidP="00000000" w:rsidRDefault="00000000" w:rsidRPr="00000000" w14:paraId="0000002D">
      <w:pPr>
        <w:pStyle w:val="Heading1"/>
        <w:rPr/>
      </w:pPr>
      <w:r w:rsidDel="00000000" w:rsidR="00000000" w:rsidRPr="00000000">
        <w:rPr>
          <w:rtl w:val="0"/>
        </w:rPr>
        <w:t xml:space="preserve">4. Editable Variables</w:t>
      </w:r>
    </w:p>
    <w:p w:rsidR="00000000" w:rsidDel="00000000" w:rsidP="00000000" w:rsidRDefault="00000000" w:rsidRPr="00000000" w14:paraId="0000002E">
      <w:pPr>
        <w:pBdr>
          <w:bottom w:color="2e75b6" w:space="1" w:sz="6" w:val="single"/>
        </w:pBdr>
        <w:spacing w:after="120" w:lineRule="auto"/>
        <w:rPr/>
      </w:pP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rtl w:val="0"/>
        </w:rPr>
        <w:t xml:space="preserve">Isolate all of the following on the Assumptions sheet as blue input cells:</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Forecast horizon (number of years/periods) and granularity.</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Revenue drivers, growth rates, and seasonality.</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 assumptions (fixed vs. variable), margins, and headcount.</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Working capital terms (debtor days, creditor days, inventory days).</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Capex, financing, tax rates, and opening balances.</w:t>
      </w:r>
    </w:p>
    <w:p w:rsidR="00000000" w:rsidDel="00000000" w:rsidP="00000000" w:rsidRDefault="00000000" w:rsidRPr="00000000" w14:paraId="00000035">
      <w:pPr>
        <w:spacing w:after="120" w:lineRule="auto"/>
        <w:rPr/>
      </w:pPr>
      <w:r w:rsidDel="00000000" w:rsidR="00000000" w:rsidRPr="00000000">
        <w:rPr>
          <w:rtl w:val="0"/>
        </w:rPr>
        <w:t xml:space="preserve">Changing the horizon or any driver must flow through all three statements, the scenarios, and the charts without manual rework.</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9000" w:space="0" w:sz="12" w:val="single"/>
              <w:left w:color="bf9000" w:space="0" w:sz="24" w:val="single"/>
              <w:bottom w:color="bf9000" w:space="0" w:sz="12" w:val="single"/>
              <w:right w:color="bf9000" w:space="0" w:sz="12" w:val="single"/>
            </w:tcBorders>
            <w:shd w:fill="fff2cc" w:val="clear"/>
            <w:tcMar>
              <w:top w:w="120.0" w:type="dxa"/>
              <w:left w:w="180.0" w:type="dxa"/>
              <w:bottom w:w="120.0" w:type="dxa"/>
              <w:right w:w="180.0" w:type="dxa"/>
            </w:tcMar>
          </w:tcPr>
          <w:p w:rsidR="00000000" w:rsidDel="00000000" w:rsidP="00000000" w:rsidRDefault="00000000" w:rsidRPr="00000000" w14:paraId="00000036">
            <w:pPr>
              <w:spacing w:after="60" w:lineRule="auto"/>
              <w:rPr/>
            </w:pPr>
            <w:r w:rsidDel="00000000" w:rsidR="00000000" w:rsidRPr="00000000">
              <w:rPr>
                <w:rFonts w:ascii="Arial" w:cs="Arial" w:eastAsia="Arial" w:hAnsi="Arial"/>
                <w:b w:val="1"/>
                <w:bCs w:val="1"/>
                <w:color w:val="bf9000"/>
                <w:rtl w:val="0"/>
              </w:rPr>
              <w:t xml:space="preserve">▶ USER INPUT REQUIRED  —  </w:t>
            </w:r>
            <w:r w:rsidDel="00000000" w:rsidR="00000000" w:rsidRPr="00000000">
              <w:rPr>
                <w:rFonts w:ascii="Arial" w:cs="Arial" w:eastAsia="Arial" w:hAnsi="Arial"/>
                <w:b w:val="1"/>
                <w:bCs w:val="1"/>
                <w:rtl w:val="0"/>
              </w:rPr>
              <w:t xml:space="preserve">Variable 2 of 3 — Reporting granularity</w:t>
            </w:r>
            <w:r w:rsidDel="00000000" w:rsidR="00000000" w:rsidRPr="00000000">
              <w:rPr>
                <w:rtl w:val="0"/>
              </w:rPr>
            </w:r>
          </w:p>
          <w:p w:rsidR="00000000" w:rsidDel="00000000" w:rsidP="00000000" w:rsidRDefault="00000000" w:rsidRPr="00000000" w14:paraId="00000037">
            <w:pPr>
              <w:spacing w:after="60" w:lineRule="auto"/>
              <w:rPr/>
            </w:pPr>
            <w:r w:rsidDel="00000000" w:rsidR="00000000" w:rsidRPr="00000000">
              <w:rPr>
                <w:rFonts w:ascii="Arial" w:cs="Arial" w:eastAsia="Arial" w:hAnsi="Arial"/>
                <w:rtl w:val="0"/>
              </w:rPr>
              <w:t xml:space="preserve">Set the reporting period for the model before building: monthly, quarterly, or annual. This determines the column structure of all three statements and the time axis of every chart.</w:t>
            </w:r>
            <w:r w:rsidDel="00000000" w:rsidR="00000000" w:rsidRPr="00000000">
              <w:rPr>
                <w:rtl w:val="0"/>
              </w:rPr>
            </w:r>
          </w:p>
          <w:p w:rsidR="00000000" w:rsidDel="00000000" w:rsidP="00000000" w:rsidRDefault="00000000" w:rsidRPr="00000000" w14:paraId="00000038">
            <w:pPr>
              <w:rPr/>
            </w:pPr>
            <w:r w:rsidDel="00000000" w:rsidR="00000000" w:rsidRPr="00000000">
              <w:rPr>
                <w:rFonts w:ascii="Arial" w:cs="Arial" w:eastAsia="Arial" w:hAnsi="Arial"/>
                <w:i w:val="1"/>
                <w:iCs w:val="1"/>
                <w:sz w:val="20"/>
                <w:szCs w:val="20"/>
                <w:rtl w:val="0"/>
              </w:rPr>
              <w:t xml:space="preserve">If unset, default to monthly for the first two years then annual thereafter, and flag that this default was applied.</w:t>
            </w:r>
            <w:r w:rsidDel="00000000" w:rsidR="00000000" w:rsidRPr="00000000">
              <w:rPr>
                <w:rtl w:val="0"/>
              </w:rPr>
            </w:r>
          </w:p>
        </w:tc>
      </w:tr>
    </w:tbl>
    <w:p w:rsidR="00000000" w:rsidDel="00000000" w:rsidP="00000000" w:rsidRDefault="00000000" w:rsidRPr="00000000" w14:paraId="00000039">
      <w:pPr>
        <w:pStyle w:val="Heading1"/>
        <w:rPr/>
      </w:pPr>
      <w:r w:rsidDel="00000000" w:rsidR="00000000" w:rsidRPr="00000000">
        <w:rPr>
          <w:rtl w:val="0"/>
        </w:rPr>
        <w:t xml:space="preserve">5. Materiality — What “Key” Means</w:t>
      </w:r>
    </w:p>
    <w:p w:rsidR="00000000" w:rsidDel="00000000" w:rsidP="00000000" w:rsidRDefault="00000000" w:rsidRPr="00000000" w14:paraId="0000003A">
      <w:pPr>
        <w:pBdr>
          <w:bottom w:color="2e75b6" w:space="1" w:sz="6" w:val="single"/>
        </w:pBdr>
        <w:spacing w:after="120" w:lineRule="auto"/>
        <w:rPr/>
      </w:pP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rtl w:val="0"/>
        </w:rPr>
        <w:t xml:space="preserve">To remove ambiguity about what gets flagged or explained, treat an item as “key” / material if it meets any of the following:</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an assumption you introduced rather than data provided.</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moves closing cash or the funding requirement by more than the materiality threshold in any period.</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relies on a single source you could not corroborate.</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appears on the always-flag list: opening balances, tax treatment, financing terms, going-concern-sensitive items, and any negative cash position.</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9000" w:space="0" w:sz="12" w:val="single"/>
              <w:left w:color="bf9000" w:space="0" w:sz="24" w:val="single"/>
              <w:bottom w:color="bf9000" w:space="0" w:sz="12" w:val="single"/>
              <w:right w:color="bf9000" w:space="0" w:sz="12" w:val="single"/>
            </w:tcBorders>
            <w:shd w:fill="fff2cc" w:val="clear"/>
            <w:tcMar>
              <w:top w:w="120.0" w:type="dxa"/>
              <w:left w:w="180.0" w:type="dxa"/>
              <w:bottom w:w="120.0" w:type="dxa"/>
              <w:right w:w="180.0" w:type="dxa"/>
            </w:tcMar>
          </w:tcPr>
          <w:p w:rsidR="00000000" w:rsidDel="00000000" w:rsidP="00000000" w:rsidRDefault="00000000" w:rsidRPr="00000000" w14:paraId="00000040">
            <w:pPr>
              <w:spacing w:after="60" w:lineRule="auto"/>
              <w:rPr/>
            </w:pPr>
            <w:r w:rsidDel="00000000" w:rsidR="00000000" w:rsidRPr="00000000">
              <w:rPr>
                <w:rFonts w:ascii="Arial" w:cs="Arial" w:eastAsia="Arial" w:hAnsi="Arial"/>
                <w:b w:val="1"/>
                <w:bCs w:val="1"/>
                <w:color w:val="bf9000"/>
                <w:rtl w:val="0"/>
              </w:rPr>
              <w:t xml:space="preserve">▶ USER INPUT REQUIRED  —  </w:t>
            </w:r>
            <w:r w:rsidDel="00000000" w:rsidR="00000000" w:rsidRPr="00000000">
              <w:rPr>
                <w:rFonts w:ascii="Arial" w:cs="Arial" w:eastAsia="Arial" w:hAnsi="Arial"/>
                <w:b w:val="1"/>
                <w:bCs w:val="1"/>
                <w:rtl w:val="0"/>
              </w:rPr>
              <w:t xml:space="preserve">Variable 1 of 3 — Materiality threshold</w:t>
            </w:r>
            <w:r w:rsidDel="00000000" w:rsidR="00000000" w:rsidRPr="00000000">
              <w:rPr>
                <w:rtl w:val="0"/>
              </w:rPr>
            </w:r>
          </w:p>
          <w:p w:rsidR="00000000" w:rsidDel="00000000" w:rsidP="00000000" w:rsidRDefault="00000000" w:rsidRPr="00000000" w14:paraId="00000041">
            <w:pPr>
              <w:spacing w:after="60" w:lineRule="auto"/>
              <w:rPr/>
            </w:pPr>
            <w:r w:rsidDel="00000000" w:rsidR="00000000" w:rsidRPr="00000000">
              <w:rPr>
                <w:rFonts w:ascii="Arial" w:cs="Arial" w:eastAsia="Arial" w:hAnsi="Arial"/>
                <w:rtl w:val="0"/>
              </w:rPr>
              <w:t xml:space="preserve">Set the percentage at which a movement in closing cash or the funding requirement becomes “material” and must be flagged. The accountant should set this before the build begins.</w:t>
            </w:r>
            <w:r w:rsidDel="00000000" w:rsidR="00000000" w:rsidRPr="00000000">
              <w:rPr>
                <w:rtl w:val="0"/>
              </w:rPr>
            </w:r>
          </w:p>
          <w:p w:rsidR="00000000" w:rsidDel="00000000" w:rsidP="00000000" w:rsidRDefault="00000000" w:rsidRPr="00000000" w14:paraId="00000042">
            <w:pPr>
              <w:rPr/>
            </w:pPr>
            <w:r w:rsidDel="00000000" w:rsidR="00000000" w:rsidRPr="00000000">
              <w:rPr>
                <w:rFonts w:ascii="Arial" w:cs="Arial" w:eastAsia="Arial" w:hAnsi="Arial"/>
                <w:i w:val="1"/>
                <w:iCs w:val="1"/>
                <w:sz w:val="20"/>
                <w:szCs w:val="20"/>
                <w:rtl w:val="0"/>
              </w:rPr>
              <w:t xml:space="preserve">If unset, default to 5% and flag that this default was applied.</w:t>
            </w:r>
            <w:r w:rsidDel="00000000" w:rsidR="00000000" w:rsidRPr="00000000">
              <w:rPr>
                <w:rtl w:val="0"/>
              </w:rPr>
            </w:r>
          </w:p>
        </w:tc>
      </w:tr>
    </w:tbl>
    <w:p w:rsidR="00000000" w:rsidDel="00000000" w:rsidP="00000000" w:rsidRDefault="00000000" w:rsidRPr="00000000" w14:paraId="00000043">
      <w:pPr>
        <w:pStyle w:val="Heading1"/>
        <w:rPr/>
      </w:pPr>
      <w:r w:rsidDel="00000000" w:rsidR="00000000" w:rsidRPr="00000000">
        <w:rPr>
          <w:rtl w:val="0"/>
        </w:rPr>
        <w:t xml:space="preserve">6. Scenario and Sensitivity Requirement</w:t>
      </w:r>
    </w:p>
    <w:p w:rsidR="00000000" w:rsidDel="00000000" w:rsidP="00000000" w:rsidRDefault="00000000" w:rsidRPr="00000000" w14:paraId="00000044">
      <w:pPr>
        <w:pBdr>
          <w:bottom w:color="2e75b6" w:space="1" w:sz="6" w:val="single"/>
        </w:pBdr>
        <w:spacing w:after="120" w:lineRule="auto"/>
        <w:rPr/>
      </w:pPr>
      <w:r w:rsidDel="00000000" w:rsidR="00000000" w:rsidRPr="00000000">
        <w:rPr>
          <w:rtl w:val="0"/>
        </w:rPr>
      </w:r>
    </w:p>
    <w:p w:rsidR="00000000" w:rsidDel="00000000" w:rsidP="00000000" w:rsidRDefault="00000000" w:rsidRPr="00000000" w14:paraId="00000045">
      <w:pPr>
        <w:spacing w:after="120" w:lineRule="auto"/>
        <w:rPr/>
      </w:pPr>
      <w:r w:rsidDel="00000000" w:rsidR="00000000" w:rsidRPr="00000000">
        <w:rPr>
          <w:rtl w:val="0"/>
        </w:rPr>
        <w:t xml:space="preserve">Build three switchable scenarios — base, upside, downside — driven from the Assumptions sheet (e.g. a scenario selector that swaps input sets), so financiers can see how the cash position holds up under stress.</w:t>
      </w:r>
    </w:p>
    <w:p w:rsidR="00000000" w:rsidDel="00000000" w:rsidP="00000000" w:rsidRDefault="00000000" w:rsidRPr="00000000" w14:paraId="00000046">
      <w:pPr>
        <w:spacing w:after="120" w:lineRule="auto"/>
        <w:rPr/>
      </w:pPr>
      <w:r w:rsidDel="00000000" w:rsidR="00000000" w:rsidRPr="00000000">
        <w:rPr>
          <w:rtl w:val="0"/>
        </w:rPr>
        <w:t xml:space="preserve">Include a short sensitivity view showing how closing cash and any funding requirement respond to movements in the two or three most material drivers (e.g. revenue growth, debtor days, margin). Show the logic; do not hard-code scenario outputs.</w:t>
      </w:r>
    </w:p>
    <w:p w:rsidR="00000000" w:rsidDel="00000000" w:rsidP="00000000" w:rsidRDefault="00000000" w:rsidRPr="00000000" w14:paraId="00000047">
      <w:pPr>
        <w:pStyle w:val="Heading1"/>
        <w:rPr/>
      </w:pPr>
      <w:r w:rsidDel="00000000" w:rsidR="00000000" w:rsidRPr="00000000">
        <w:rPr>
          <w:rtl w:val="0"/>
        </w:rPr>
        <w:t xml:space="preserve">7. Flagged Issues Register</w:t>
      </w:r>
    </w:p>
    <w:p w:rsidR="00000000" w:rsidDel="00000000" w:rsidP="00000000" w:rsidRDefault="00000000" w:rsidRPr="00000000" w14:paraId="00000048">
      <w:pPr>
        <w:pBdr>
          <w:bottom w:color="2e75b6" w:space="1" w:sz="6" w:val="single"/>
        </w:pBdr>
        <w:spacing w:after="120" w:lineRule="auto"/>
        <w:rPr/>
      </w:pPr>
      <w:r w:rsidDel="00000000" w:rsidR="00000000" w:rsidRPr="00000000">
        <w:rPr>
          <w:rtl w:val="0"/>
        </w:rPr>
      </w:r>
    </w:p>
    <w:p w:rsidR="00000000" w:rsidDel="00000000" w:rsidP="00000000" w:rsidRDefault="00000000" w:rsidRPr="00000000" w14:paraId="00000049">
      <w:pPr>
        <w:spacing w:after="120" w:lineRule="auto"/>
        <w:rPr/>
      </w:pPr>
      <w:r w:rsidDel="00000000" w:rsidR="00000000" w:rsidRPr="00000000">
        <w:rPr>
          <w:rtl w:val="0"/>
        </w:rPr>
        <w:t xml:space="preserve">Maintain one visible register. Each entry records: the issue; why it matters; the affected figures/cells; your suggested treatment; and status (open / accountant-accepted / resolved). Everything you assumed, estimated, or could not reconcile belongs here.</w:t>
      </w:r>
    </w:p>
    <w:p w:rsidR="00000000" w:rsidDel="00000000" w:rsidP="00000000" w:rsidRDefault="00000000" w:rsidRPr="00000000" w14:paraId="0000004A">
      <w:pPr>
        <w:pStyle w:val="Heading1"/>
        <w:rPr/>
      </w:pPr>
      <w:r w:rsidDel="00000000" w:rsidR="00000000" w:rsidRPr="00000000">
        <w:rPr>
          <w:rtl w:val="0"/>
        </w:rPr>
        <w:t xml:space="preserve">8. Draft and Publish Stages</w:t>
      </w:r>
    </w:p>
    <w:p w:rsidR="00000000" w:rsidDel="00000000" w:rsidP="00000000" w:rsidRDefault="00000000" w:rsidRPr="00000000" w14:paraId="0000004B">
      <w:pPr>
        <w:pBdr>
          <w:bottom w:color="2e75b6" w:space="1" w:sz="6" w:val="single"/>
        </w:pBdr>
        <w:spacing w:after="120" w:lineRule="auto"/>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Draft: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full working model with all logic, sources, and open flagged issues exposed for the accountant to review, edit, accept, or challenge. Mark the version cell “DRAFT”. Treat nothing as final.</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Publish: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locked only once the accountant signs off. All flagged issues must be resolved or explicitly carried forward as disclosed assumptions. Mark the version cell “PUBLISHED” and record what changed between draft and publish.</w:t>
      </w:r>
    </w:p>
    <w:p w:rsidR="00000000" w:rsidDel="00000000" w:rsidP="00000000" w:rsidRDefault="00000000" w:rsidRPr="00000000" w14:paraId="0000004E">
      <w:pPr>
        <w:pStyle w:val="Heading1"/>
        <w:rPr/>
      </w:pPr>
      <w:r w:rsidDel="00000000" w:rsidR="00000000" w:rsidRPr="00000000">
        <w:rPr>
          <w:rtl w:val="0"/>
        </w:rPr>
        <w:t xml:space="preserve">9. Graphs</w:t>
      </w:r>
    </w:p>
    <w:p w:rsidR="00000000" w:rsidDel="00000000" w:rsidP="00000000" w:rsidRDefault="00000000" w:rsidRPr="00000000" w14:paraId="0000004F">
      <w:pPr>
        <w:pBdr>
          <w:bottom w:color="2e75b6" w:space="1" w:sz="6" w:val="single"/>
        </w:pBdr>
        <w:spacing w:after="120" w:lineRule="auto"/>
        <w:rPr/>
      </w:pP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tl w:val="0"/>
        </w:rPr>
        <w:t xml:space="preserve">On the Charts sheet, include at minimum:</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cash flow waterfall or closing-cash-over-time line.</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Revenue vs. costs over the horizon.</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scenario comparison of closing cash (base / upside / downside).</w:t>
      </w:r>
    </w:p>
    <w:p w:rsidR="00000000" w:rsidDel="00000000" w:rsidP="00000000" w:rsidRDefault="00000000" w:rsidRPr="00000000" w14:paraId="00000054">
      <w:pPr>
        <w:spacing w:after="120" w:lineRule="auto"/>
        <w:rPr/>
      </w:pPr>
      <w:r w:rsidDel="00000000" w:rsidR="00000000" w:rsidRPr="00000000">
        <w:rPr>
          <w:rtl w:val="0"/>
        </w:rPr>
        <w:t xml:space="preserve">Charts must be native Excel charts driven by the model cells so they update automatically. Keep them clean and clearly titled with units.</w:t>
      </w:r>
    </w:p>
    <w:p w:rsidR="00000000" w:rsidDel="00000000" w:rsidP="00000000" w:rsidRDefault="00000000" w:rsidRPr="00000000" w14:paraId="00000055">
      <w:pPr>
        <w:pStyle w:val="Heading1"/>
        <w:rPr/>
      </w:pPr>
      <w:r w:rsidDel="00000000" w:rsidR="00000000" w:rsidRPr="00000000">
        <w:rPr>
          <w:rtl w:val="0"/>
        </w:rPr>
        <w:t xml:space="preserve">10. Plain-English Summary</w:t>
      </w:r>
    </w:p>
    <w:p w:rsidR="00000000" w:rsidDel="00000000" w:rsidP="00000000" w:rsidRDefault="00000000" w:rsidRPr="00000000" w14:paraId="00000056">
      <w:pPr>
        <w:pBdr>
          <w:bottom w:color="2e75b6" w:space="1" w:sz="6" w:val="single"/>
        </w:pBdr>
        <w:spacing w:after="120" w:lineRule="auto"/>
        <w:rPr/>
      </w:pP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rtl w:val="0"/>
        </w:rPr>
        <w:t xml:space="preserve">Produce a client- and financier-facing narrative that is accurate and complete but accessible — no unexplained jargon. Cover the financial trajectory, the key assumptions driving the numbers, the cash position and any funding requirement, and the material risks and sensitivities.</w:t>
      </w:r>
    </w:p>
    <w:p w:rsidR="00000000" w:rsidDel="00000000" w:rsidP="00000000" w:rsidRDefault="00000000" w:rsidRPr="00000000" w14:paraId="00000058">
      <w:pPr>
        <w:spacing w:after="120" w:lineRule="auto"/>
        <w:rPr/>
      </w:pPr>
      <w:r w:rsidDel="00000000" w:rsidR="00000000" w:rsidRPr="00000000">
        <w:rPr>
          <w:rtl w:val="0"/>
        </w:rPr>
        <w:t xml:space="preserve">Make it engaging and well-formatted (clear headings, short sections, the key charts embedded), but never let presentation overstate the underlying position. The summary must be fully consistent with the model and introduce no claim the numbers don’t support.</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f9000" w:space="0" w:sz="12" w:val="single"/>
              <w:left w:color="bf9000" w:space="0" w:sz="24" w:val="single"/>
              <w:bottom w:color="bf9000" w:space="0" w:sz="12" w:val="single"/>
              <w:right w:color="bf9000" w:space="0" w:sz="12" w:val="single"/>
            </w:tcBorders>
            <w:shd w:fill="fff2cc" w:val="clear"/>
            <w:tcMar>
              <w:top w:w="120.0" w:type="dxa"/>
              <w:left w:w="180.0" w:type="dxa"/>
              <w:bottom w:w="120.0" w:type="dxa"/>
              <w:right w:w="180.0" w:type="dxa"/>
            </w:tcMar>
          </w:tcPr>
          <w:p w:rsidR="00000000" w:rsidDel="00000000" w:rsidP="00000000" w:rsidRDefault="00000000" w:rsidRPr="00000000" w14:paraId="00000059">
            <w:pPr>
              <w:spacing w:after="60" w:lineRule="auto"/>
              <w:rPr/>
            </w:pPr>
            <w:r w:rsidDel="00000000" w:rsidR="00000000" w:rsidRPr="00000000">
              <w:rPr>
                <w:rFonts w:ascii="Arial" w:cs="Arial" w:eastAsia="Arial" w:hAnsi="Arial"/>
                <w:b w:val="1"/>
                <w:bCs w:val="1"/>
                <w:color w:val="bf9000"/>
                <w:rtl w:val="0"/>
              </w:rPr>
              <w:t xml:space="preserve">▶ USER INPUT REQUIRED  —  </w:t>
            </w:r>
            <w:r w:rsidDel="00000000" w:rsidR="00000000" w:rsidRPr="00000000">
              <w:rPr>
                <w:rFonts w:ascii="Arial" w:cs="Arial" w:eastAsia="Arial" w:hAnsi="Arial"/>
                <w:b w:val="1"/>
                <w:bCs w:val="1"/>
                <w:rtl w:val="0"/>
              </w:rPr>
              <w:t xml:space="preserve">Variable 3 of 3 — Currency &amp; units</w:t>
            </w:r>
            <w:r w:rsidDel="00000000" w:rsidR="00000000" w:rsidRPr="00000000">
              <w:rPr>
                <w:rtl w:val="0"/>
              </w:rPr>
            </w:r>
          </w:p>
          <w:p w:rsidR="00000000" w:rsidDel="00000000" w:rsidP="00000000" w:rsidRDefault="00000000" w:rsidRPr="00000000" w14:paraId="0000005A">
            <w:pPr>
              <w:spacing w:after="60" w:lineRule="auto"/>
              <w:rPr/>
            </w:pPr>
            <w:r w:rsidDel="00000000" w:rsidR="00000000" w:rsidRPr="00000000">
              <w:rPr>
                <w:rFonts w:ascii="Arial" w:cs="Arial" w:eastAsia="Arial" w:hAnsi="Arial"/>
                <w:rtl w:val="0"/>
              </w:rPr>
              <w:t xml:space="preserve">Set the reporting currency and units (e.g. NZD in $000, or USD in whole dollars). This must appear in every statement header and chart axis label.</w:t>
            </w: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w:cs="Arial" w:eastAsia="Arial" w:hAnsi="Arial"/>
                <w:i w:val="1"/>
                <w:iCs w:val="1"/>
                <w:sz w:val="20"/>
                <w:szCs w:val="20"/>
                <w:rtl w:val="0"/>
              </w:rPr>
              <w:t xml:space="preserve">If unset, ask the accountant before building rather than guessing, as currency cannot be safely defaulted.</w:t>
            </w:r>
            <w:r w:rsidDel="00000000" w:rsidR="00000000" w:rsidRPr="00000000">
              <w:rPr>
                <w:rtl w:val="0"/>
              </w:rPr>
            </w:r>
          </w:p>
        </w:tc>
      </w:tr>
    </w:tbl>
    <w:p w:rsidR="00000000" w:rsidDel="00000000" w:rsidP="00000000" w:rsidRDefault="00000000" w:rsidRPr="00000000" w14:paraId="0000005C">
      <w:pPr>
        <w:pStyle w:val="Heading1"/>
        <w:rPr/>
      </w:pPr>
      <w:r w:rsidDel="00000000" w:rsidR="00000000" w:rsidRPr="00000000">
        <w:rPr>
          <w:rtl w:val="0"/>
        </w:rPr>
        <w:t xml:space="preserve">11. Auditability Standard</w:t>
      </w:r>
    </w:p>
    <w:p w:rsidR="00000000" w:rsidDel="00000000" w:rsidP="00000000" w:rsidRDefault="00000000" w:rsidRPr="00000000" w14:paraId="0000005D">
      <w:pPr>
        <w:pBdr>
          <w:bottom w:color="2e75b6" w:space="1" w:sz="6" w:val="single"/>
        </w:pBdr>
        <w:spacing w:after="120" w:lineRule="auto"/>
        <w:rPr/>
      </w:pPr>
      <w:r w:rsidDel="00000000" w:rsidR="00000000" w:rsidRPr="00000000">
        <w:rPr>
          <w:rtl w:val="0"/>
        </w:rPr>
      </w:r>
    </w:p>
    <w:p w:rsidR="00000000" w:rsidDel="00000000" w:rsidP="00000000" w:rsidRDefault="00000000" w:rsidRPr="00000000" w14:paraId="0000005E">
      <w:pPr>
        <w:spacing w:after="120" w:lineRule="auto"/>
        <w:rPr/>
      </w:pPr>
      <w:r w:rsidDel="00000000" w:rsidR="00000000" w:rsidRPr="00000000">
        <w:rPr>
          <w:rtl w:val="0"/>
        </w:rPr>
        <w:t xml:space="preserve">Everything must be audit-grade: any reader should be able to trace any number to its source or assumption, follow the logic, and see what has been flagged. If you are ever unsure whether something meets that bar, flag it rather than smoothing it over.</w:t>
      </w:r>
    </w:p>
    <w:p w:rsidR="00000000" w:rsidDel="00000000" w:rsidP="00000000" w:rsidRDefault="00000000" w:rsidRPr="00000000" w14:paraId="0000005F">
      <w:pPr>
        <w:pStyle w:val="Heading1"/>
        <w:pageBreakBefore w:val="1"/>
        <w:rPr/>
      </w:pPr>
      <w:r w:rsidDel="00000000" w:rsidR="00000000" w:rsidRPr="00000000">
        <w:rPr>
          <w:rtl w:val="0"/>
        </w:rPr>
        <w:t xml:space="preserve">Quick Reference — The Three Variables to Set</w:t>
      </w:r>
    </w:p>
    <w:p w:rsidR="00000000" w:rsidDel="00000000" w:rsidP="00000000" w:rsidRDefault="00000000" w:rsidRPr="00000000" w14:paraId="00000060">
      <w:pPr>
        <w:pBdr>
          <w:bottom w:color="2e75b6" w:space="1" w:sz="6" w:val="single"/>
        </w:pBdr>
        <w:spacing w:after="120" w:lineRule="auto"/>
        <w:rPr/>
      </w:pPr>
      <w:r w:rsidDel="00000000" w:rsidR="00000000" w:rsidRPr="00000000">
        <w:rPr>
          <w:rtl w:val="0"/>
        </w:rPr>
      </w:r>
    </w:p>
    <w:p w:rsidR="00000000" w:rsidDel="00000000" w:rsidP="00000000" w:rsidRDefault="00000000" w:rsidRPr="00000000" w14:paraId="00000061">
      <w:pPr>
        <w:spacing w:after="120" w:lineRule="auto"/>
        <w:rPr/>
      </w:pPr>
      <w:r w:rsidDel="00000000" w:rsidR="00000000" w:rsidRPr="00000000">
        <w:rPr>
          <w:rtl w:val="0"/>
        </w:rPr>
        <w:t xml:space="preserve">Before running these instructions, confirm the three highlighted inputs below. They are the only decisions required up front.</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4400"/>
        <w:gridCol w:w="3360"/>
        <w:tblGridChange w:id="0">
          <w:tblGrid>
            <w:gridCol w:w="1600"/>
            <w:gridCol w:w="4400"/>
            <w:gridCol w:w="3360"/>
          </w:tblGrid>
        </w:tblGridChange>
      </w:tblGrid>
      <w:tr>
        <w:trPr>
          <w:cantSplit w:val="0"/>
          <w:tblHeader w:val="1"/>
        </w:trPr>
        <w:tc>
          <w:tcPr>
            <w:shd w:fill="2e75b6"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ffffff"/>
                <w:rtl w:val="0"/>
              </w:rPr>
              <w:t xml:space="preserve">Variable</w:t>
            </w:r>
            <w:r w:rsidDel="00000000" w:rsidR="00000000" w:rsidRPr="00000000">
              <w:rPr>
                <w:rtl w:val="0"/>
              </w:rPr>
            </w:r>
          </w:p>
        </w:tc>
        <w:tc>
          <w:tcPr>
            <w:shd w:fill="2e75b6"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ffffff"/>
                <w:rtl w:val="0"/>
              </w:rPr>
              <w:t xml:space="preserve">What to set</w:t>
            </w:r>
            <w:r w:rsidDel="00000000" w:rsidR="00000000" w:rsidRPr="00000000">
              <w:rPr>
                <w:rtl w:val="0"/>
              </w:rPr>
            </w:r>
          </w:p>
        </w:tc>
        <w:tc>
          <w:tcPr>
            <w:shd w:fill="2e75b6"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ffffff"/>
                <w:rtl w:val="0"/>
              </w:rPr>
              <w:t xml:space="preserve">Default if unset</w:t>
            </w:r>
            <w:r w:rsidDel="00000000" w:rsidR="00000000" w:rsidRPr="00000000">
              <w:rPr>
                <w:rtl w:val="0"/>
              </w:rPr>
            </w:r>
          </w:p>
        </w:tc>
      </w:tr>
      <w:tr>
        <w:trPr>
          <w:cantSplit w:val="0"/>
          <w:tblHeader w:val="0"/>
        </w:trPr>
        <w:tc>
          <w:tcPr>
            <w:shd w:fill="fff2cc"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rtl w:val="0"/>
              </w:rPr>
              <w:t xml:space="preserve">1. Materiality threshold</w:t>
            </w:r>
            <w:r w:rsidDel="00000000" w:rsidR="00000000" w:rsidRPr="00000000">
              <w:rPr>
                <w:rtl w:val="0"/>
              </w:rPr>
            </w:r>
          </w:p>
        </w:tc>
        <w:tc>
          <w:tcPr>
            <w:shd w:fill="fff2cc"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rtl w:val="0"/>
              </w:rPr>
              <w:t xml:space="preserve">The % move in closing cash / funding requirement that triggers a flag.</w:t>
            </w:r>
            <w:r w:rsidDel="00000000" w:rsidR="00000000" w:rsidRPr="00000000">
              <w:rPr>
                <w:rtl w:val="0"/>
              </w:rPr>
            </w:r>
          </w:p>
        </w:tc>
        <w:tc>
          <w:tcPr>
            <w:shd w:fill="fff2cc"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rtl w:val="0"/>
              </w:rPr>
              <w:t xml:space="preserve">5% (flag that default was applied)</w:t>
            </w:r>
            <w:r w:rsidDel="00000000" w:rsidR="00000000" w:rsidRPr="00000000">
              <w:rPr>
                <w:rtl w:val="0"/>
              </w:rPr>
            </w:r>
          </w:p>
        </w:tc>
      </w:tr>
      <w:tr>
        <w:trPr>
          <w:cantSplit w:val="0"/>
          <w:tblHeader w:val="0"/>
        </w:trPr>
        <w:tc>
          <w:tcPr>
            <w:shd w:fill="fff2cc"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rtl w:val="0"/>
              </w:rPr>
              <w:t xml:space="preserve">2. Reporting granularity</w:t>
            </w:r>
            <w:r w:rsidDel="00000000" w:rsidR="00000000" w:rsidRPr="00000000">
              <w:rPr>
                <w:rtl w:val="0"/>
              </w:rPr>
            </w:r>
          </w:p>
        </w:tc>
        <w:tc>
          <w:tcPr>
            <w:shd w:fill="fff2cc"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rtl w:val="0"/>
              </w:rPr>
              <w:t xml:space="preserve">Monthly, quarterly, or annual periods.</w:t>
            </w:r>
            <w:r w:rsidDel="00000000" w:rsidR="00000000" w:rsidRPr="00000000">
              <w:rPr>
                <w:rtl w:val="0"/>
              </w:rPr>
            </w:r>
          </w:p>
        </w:tc>
        <w:tc>
          <w:tcPr>
            <w:shd w:fill="fff2cc"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rtl w:val="0"/>
              </w:rPr>
              <w:t xml:space="preserve">Monthly for 2 years, then annual (flag it)</w:t>
            </w:r>
            <w:r w:rsidDel="00000000" w:rsidR="00000000" w:rsidRPr="00000000">
              <w:rPr>
                <w:rtl w:val="0"/>
              </w:rPr>
            </w:r>
          </w:p>
        </w:tc>
      </w:tr>
      <w:tr>
        <w:trPr>
          <w:cantSplit w:val="0"/>
          <w:tblHeader w:val="0"/>
        </w:trPr>
        <w:tc>
          <w:tcPr>
            <w:shd w:fill="fff2cc"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rtl w:val="0"/>
              </w:rPr>
              <w:t xml:space="preserve">3. Currency &amp; units</w:t>
            </w:r>
            <w:r w:rsidDel="00000000" w:rsidR="00000000" w:rsidRPr="00000000">
              <w:rPr>
                <w:rtl w:val="0"/>
              </w:rPr>
            </w:r>
          </w:p>
        </w:tc>
        <w:tc>
          <w:tcPr>
            <w:shd w:fill="fff2cc"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rtl w:val="0"/>
              </w:rPr>
              <w:t xml:space="preserve">Reporting currency and units shown in all headers and chart axes.</w:t>
            </w:r>
            <w:r w:rsidDel="00000000" w:rsidR="00000000" w:rsidRPr="00000000">
              <w:rPr>
                <w:rtl w:val="0"/>
              </w:rPr>
            </w:r>
          </w:p>
        </w:tc>
        <w:tc>
          <w:tcPr>
            <w:shd w:fill="fff2cc"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rtl w:val="0"/>
              </w:rPr>
              <w:t xml:space="preserve">None — ask first; do not guess</w:t>
            </w:r>
            <w:r w:rsidDel="00000000" w:rsidR="00000000" w:rsidRPr="00000000">
              <w:rPr>
                <w:rtl w:val="0"/>
              </w:rPr>
            </w:r>
          </w:p>
        </w:tc>
      </w:tr>
    </w:tbl>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jc w:val="center"/>
      <w:rPr/>
    </w:pPr>
    <w:r w:rsidDel="00000000" w:rsidR="00000000" w:rsidRPr="00000000">
      <w:rPr>
        <w:rFonts w:ascii="Arial" w:cs="Arial" w:eastAsia="Arial" w:hAnsi="Arial"/>
        <w:color w:val="808080"/>
        <w:sz w:val="16"/>
        <w:szCs w:val="16"/>
        <w:rtl w:val="0"/>
      </w:rPr>
      <w:t xml:space="preserve">Page </w:t>
    </w:r>
    <w:r w:rsidDel="00000000" w:rsidR="00000000" w:rsidRPr="00000000">
      <w:rPr>
        <w:rFonts w:ascii="Arial" w:cs="Arial" w:eastAsia="Arial" w:hAnsi="Arial"/>
        <w:color w:val="808080"/>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808080"/>
        <w:sz w:val="16"/>
        <w:szCs w:val="16"/>
        <w:rtl w:val="0"/>
      </w:rPr>
      <w:t xml:space="preserve"> of </w:t>
    </w:r>
    <w:r w:rsidDel="00000000" w:rsidR="00000000" w:rsidRPr="00000000">
      <w:rPr>
        <w:rFonts w:ascii="Arial" w:cs="Arial" w:eastAsia="Arial" w:hAnsi="Arial"/>
        <w:color w:val="80808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pBdr>
        <w:bottom w:color="cccccc" w:space="4" w:sz="4" w:val="single"/>
      </w:pBdr>
      <w:jc w:val="right"/>
      <w:rPr/>
    </w:pPr>
    <w:r w:rsidDel="00000000" w:rsidR="00000000" w:rsidRPr="00000000">
      <w:rPr>
        <w:rFonts w:ascii="Arial" w:cs="Arial" w:eastAsia="Arial" w:hAnsi="Arial"/>
        <w:color w:val="808080"/>
        <w:sz w:val="16"/>
        <w:szCs w:val="16"/>
        <w:rtl w:val="0"/>
      </w:rPr>
      <w:t xml:space="preserve">Three-Way Cash Flow Forecast — AI Build Instructions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2e75b6"/>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1f3864"/>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pPr>
    <w:rPr>
      <w:rFonts w:ascii="Arial" w:cs="Arial" w:eastAsia="Arial" w:hAnsi="Arial"/>
      <w:b w:val="1"/>
      <w:bCs w:val="1"/>
      <w:i w:val="0"/>
      <w:iCs w:val="0"/>
      <w:smallCaps w:val="0"/>
      <w:strike w:val="0"/>
      <w:color w:val="1f3864"/>
      <w:sz w:val="44"/>
      <w:szCs w:val="44"/>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