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85"/>
        <w:gridCol w:w="10740"/>
        <w:tblGridChange w:id="0">
          <w:tblGrid>
            <w:gridCol w:w="10785"/>
            <w:gridCol w:w="107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Where we ‘sit’ on the Diffusion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Where we ‘sit’ on the Product Life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8"/>
                <w:szCs w:val="28"/>
                <w:rtl w:val="0"/>
              </w:rPr>
              <w:t xml:space="preserve">Stage: Early Majority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8"/>
                <w:szCs w:val="28"/>
                <w:rtl w:val="0"/>
              </w:rPr>
              <w:t xml:space="preserve">Stage: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What we can anticipate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What we can anticipate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8"/>
                <w:szCs w:val="28"/>
                <w:rtl w:val="0"/>
              </w:rPr>
              <w:t xml:space="preserve">Growth will start to slow down as more competitors enter the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8"/>
                <w:szCs w:val="28"/>
                <w:rtl w:val="0"/>
              </w:rPr>
              <w:t xml:space="preserve">We anticipate 2 years of slower growth before new replacement product options emerge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