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 Contract Excerpt — DataSync Integration</w:t>
      </w:r>
    </w:p>
    <w:p/>
    <w:p>
      <w:r>
        <w:t>Contract Period: January 1, 2024 — December 31, 2025</w:t>
      </w:r>
    </w:p>
    <w:p>
      <w:r>
        <w:t>Vendor: CloudSync Technologies Inc.</w:t>
      </w:r>
    </w:p>
    <w:p>
      <w:r>
        <w:t>Contract Value: $120,000 per year</w:t>
      </w:r>
    </w:p>
    <w:p/>
    <w:p>
      <w:pPr>
        <w:pStyle w:val="Heading2"/>
      </w:pPr>
      <w:r>
        <w:t>Key Terms</w:t>
      </w:r>
    </w:p>
    <w:p>
      <w:r>
        <w:t>1. CloudSync shall provide API integration services for DataSync middleware.</w:t>
      </w:r>
    </w:p>
    <w:p>
      <w:r>
        <w:t>2. Uptime SLA: 99.5% guaranteed.</w:t>
      </w:r>
    </w:p>
    <w:p>
      <w:r>
        <w:t>3. Data residency: All data must remain in US regions.</w:t>
      </w:r>
    </w:p>
    <w:p>
      <w:r>
        <w:t>4. Security: SOC 2 Type II certification required annually.</w:t>
      </w:r>
    </w:p>
    <w:p/>
    <w:p>
      <w:pPr>
        <w:pStyle w:val="Heading2"/>
      </w:pPr>
      <w:r>
        <w:t>Performance Metrics (Q1 2024)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Target</w:t>
            </w:r>
          </w:p>
        </w:tc>
        <w:tc>
          <w:tcPr>
            <w:tcW w:type="dxa" w:w="2880"/>
          </w:tcPr>
          <w:p>
            <w:r>
              <w:t>Actual</w:t>
            </w:r>
          </w:p>
        </w:tc>
      </w:tr>
      <w:tr>
        <w:tc>
          <w:tcPr>
            <w:tcW w:type="dxa" w:w="2880"/>
          </w:tcPr>
          <w:p>
            <w:r>
              <w:t>API Uptime</w:t>
            </w:r>
          </w:p>
        </w:tc>
        <w:tc>
          <w:tcPr>
            <w:tcW w:type="dxa" w:w="2880"/>
          </w:tcPr>
          <w:p>
            <w:r>
              <w:t>99.5%</w:t>
            </w:r>
          </w:p>
        </w:tc>
        <w:tc>
          <w:tcPr>
            <w:tcW w:type="dxa" w:w="2880"/>
          </w:tcPr>
          <w:p>
            <w:r>
              <w:t>99.7%</w:t>
            </w:r>
          </w:p>
        </w:tc>
      </w:tr>
      <w:tr>
        <w:tc>
          <w:tcPr>
            <w:tcW w:type="dxa" w:w="2880"/>
          </w:tcPr>
          <w:p>
            <w:r>
              <w:t>Response Time</w:t>
            </w:r>
          </w:p>
        </w:tc>
        <w:tc>
          <w:tcPr>
            <w:tcW w:type="dxa" w:w="2880"/>
          </w:tcPr>
          <w:p>
            <w:r>
              <w:t>&lt;200ms</w:t>
            </w:r>
          </w:p>
        </w:tc>
        <w:tc>
          <w:tcPr>
            <w:tcW w:type="dxa" w:w="2880"/>
          </w:tcPr>
          <w:p>
            <w:r>
              <w:t>145ms</w:t>
            </w:r>
          </w:p>
        </w:tc>
      </w:tr>
      <w:tr>
        <w:tc>
          <w:tcPr>
            <w:tcW w:type="dxa" w:w="2880"/>
          </w:tcPr>
          <w:p>
            <w:r>
              <w:t>Error Rate</w:t>
            </w:r>
          </w:p>
        </w:tc>
        <w:tc>
          <w:tcPr>
            <w:tcW w:type="dxa" w:w="2880"/>
          </w:tcPr>
          <w:p>
            <w:r>
              <w:t>&lt;1%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