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A365D"/>
          <w:sz w:val="44"/>
        </w:rPr>
        <w:t>JEE MAIN REVISION MASTER: CHEMISTRY IN EVERYDAY LIFE OUT OF SYLLABUS</w:t>
      </w:r>
    </w:p>
    <w:p>
      <w:pPr>
        <w:spacing w:after="280"/>
      </w:pPr>
      <w:r>
        <w:rPr>
          <w:rFonts w:ascii="Calibri" w:hAnsi="Calibri"/>
          <w:color w:val="718096"/>
          <w:sz w:val="22"/>
        </w:rPr>
        <w:t>Subject: Chemistry  |  Target: JEE Main  |  PYQs Analyzed: 77</w:t>
      </w:r>
    </w:p>
    <w:p>
      <w:pPr>
        <w:pStyle w:val="Heading1"/>
      </w:pPr>
      <w:r>
        <w:rPr>
          <w:color w:val="1A365D"/>
          <w:sz w:val="28"/>
        </w:rPr>
        <w:t>1. High-Yield Concept Priority Matrix</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A365D"/>
            <w:tcMar>
              <w:top w:w="120" w:type="dxa"/>
              <w:bottom w:w="120" w:type="dxa"/>
              <w:left w:w="150" w:type="dxa"/>
              <w:right w:w="150" w:type="dxa"/>
            </w:tcMar>
          </w:tcPr>
          <w:p>
            <w:r>
              <w:rPr>
                <w:rFonts w:ascii="Calibri" w:hAnsi="Calibri"/>
                <w:b/>
                <w:color w:val="FFFFFF"/>
                <w:sz w:val="20"/>
              </w:rPr>
              <w:t>Priority Tier</w:t>
            </w:r>
          </w:p>
        </w:tc>
        <w:tc>
          <w:tcPr>
            <w:tcW w:type="dxa" w:w="4320"/>
            <w:shd w:fill="1A365D"/>
            <w:tcMar>
              <w:top w:w="120" w:type="dxa"/>
              <w:bottom w:w="120" w:type="dxa"/>
              <w:left w:w="150" w:type="dxa"/>
              <w:right w:w="150" w:type="dxa"/>
            </w:tcMar>
          </w:tcPr>
          <w:p>
            <w:r>
              <w:rPr>
                <w:rFonts w:ascii="Calibri" w:hAnsi="Calibri"/>
                <w:b/>
                <w:color w:val="FFFFFF"/>
                <w:sz w:val="20"/>
              </w:rPr>
              <w:t>Concept Name</w:t>
            </w:r>
          </w:p>
        </w:tc>
        <w:tc>
          <w:tcPr>
            <w:tcW w:type="dxa" w:w="1728"/>
            <w:shd w:fill="1A365D"/>
            <w:tcMar>
              <w:top w:w="120" w:type="dxa"/>
              <w:bottom w:w="120" w:type="dxa"/>
              <w:left w:w="150" w:type="dxa"/>
              <w:right w:w="150" w:type="dxa"/>
            </w:tcMar>
          </w:tcPr>
          <w:p>
            <w:r>
              <w:rPr>
                <w:rFonts w:ascii="Calibri" w:hAnsi="Calibri"/>
                <w:b/>
                <w:color w:val="FFFFFF"/>
                <w:sz w:val="20"/>
              </w:rPr>
              <w:t>Frequency</w:t>
            </w:r>
          </w:p>
        </w:tc>
        <w:tc>
          <w:tcPr>
            <w:tcW w:type="dxa" w:w="1872"/>
            <w:shd w:fill="1A365D"/>
            <w:tcMar>
              <w:top w:w="120" w:type="dxa"/>
              <w:bottom w:w="120" w:type="dxa"/>
              <w:left w:w="150" w:type="dxa"/>
              <w:right w:w="150" w:type="dxa"/>
            </w:tcMar>
          </w:tcPr>
          <w:p>
            <w:r>
              <w:rPr>
                <w:rFonts w:ascii="Calibri" w:hAnsi="Calibri"/>
                <w:b/>
                <w:color w:val="FFFFFF"/>
                <w:sz w:val="20"/>
              </w:rPr>
              <w:t>Category</w:t>
            </w:r>
          </w:p>
        </w:tc>
      </w:tr>
      <w:tr>
        <w:tc>
          <w:tcPr>
            <w:tcW w:type="dxa" w:w="2160"/>
            <w:shd w:fill="F7FAFC"/>
            <w:tcMar>
              <w:top w:w="80" w:type="dxa"/>
              <w:bottom w:w="80" w:type="dxa"/>
              <w:left w:w="150" w:type="dxa"/>
              <w:right w:w="150" w:type="dxa"/>
            </w:tcMar>
          </w:tcPr>
          <w:p>
            <w:r>
              <w:rPr>
                <w:b/>
                <w:color w:val="C53030"/>
                <w:sz w:val="19"/>
              </w:rPr>
              <w:t>Very High</w:t>
            </w:r>
          </w:p>
        </w:tc>
        <w:tc>
          <w:tcPr>
            <w:tcW w:type="dxa" w:w="4320"/>
            <w:shd w:fill="F7FAFC"/>
            <w:tcMar>
              <w:top w:w="80" w:type="dxa"/>
              <w:bottom w:w="80" w:type="dxa"/>
              <w:left w:w="150" w:type="dxa"/>
              <w:right w:w="150" w:type="dxa"/>
            </w:tcMar>
          </w:tcPr>
          <w:p>
            <w:r>
              <w:rPr>
                <w:b/>
                <w:color w:val="2D3748"/>
                <w:sz w:val="19"/>
              </w:rPr>
              <w:t>Chemistry In Everyday Life - Core Application</w:t>
            </w:r>
          </w:p>
        </w:tc>
        <w:tc>
          <w:tcPr>
            <w:tcW w:type="dxa" w:w="1728"/>
            <w:shd w:fill="F7FAFC"/>
            <w:tcMar>
              <w:top w:w="80" w:type="dxa"/>
              <w:bottom w:w="80" w:type="dxa"/>
              <w:left w:w="150" w:type="dxa"/>
              <w:right w:w="150" w:type="dxa"/>
            </w:tcMar>
          </w:tcPr>
          <w:p>
            <w:r>
              <w:rPr>
                <w:sz w:val="19"/>
              </w:rPr>
              <w:t>77 PYQs</w:t>
            </w:r>
          </w:p>
        </w:tc>
        <w:tc>
          <w:tcPr>
            <w:tcW w:type="dxa" w:w="1872"/>
            <w:shd w:fill="F7FAFC"/>
            <w:tcMar>
              <w:top w:w="80" w:type="dxa"/>
              <w:bottom w:w="80" w:type="dxa"/>
              <w:left w:w="150" w:type="dxa"/>
              <w:right w:w="150" w:type="dxa"/>
            </w:tcMar>
          </w:tcPr>
          <w:p>
            <w:r>
              <w:rPr>
                <w:color w:val="718096"/>
                <w:sz w:val="19"/>
              </w:rPr>
              <w:t>General Concept</w:t>
            </w:r>
          </w:p>
        </w:tc>
      </w:tr>
    </w:tbl>
    <w:p>
      <w:pPr>
        <w:spacing w:after="200"/>
      </w:pPr>
    </w:p>
    <w:p>
      <w:pPr>
        <w:pStyle w:val="Heading1"/>
      </w:pPr>
      <w:r>
        <w:rPr>
          <w:color w:val="1A365D"/>
          <w:sz w:val="28"/>
        </w:rPr>
        <w:t>2. Master Formula Reference Card</w:t>
      </w:r>
    </w:p>
    <w:tbl>
      <w:tblPr>
        <w:tblW w:type="auto" w:w="0"/>
        <w:jc w:val="center"/>
        <w:tblLook w:firstColumn="1" w:firstRow="1" w:lastColumn="0" w:lastRow="0" w:noHBand="0" w:noVBand="1" w:val="04A0"/>
      </w:tblPr>
      <w:tblGrid>
        <w:gridCol w:w="5040"/>
        <w:gridCol w:w="5040"/>
      </w:tblGrid>
      <w:tr>
        <w:tc>
          <w:tcPr>
            <w:tcW w:type="dxa" w:w="3600"/>
            <w:shd w:fill="2B6CB0"/>
            <w:tcMar>
              <w:top w:w="120" w:type="dxa"/>
              <w:bottom w:w="120" w:type="dxa"/>
              <w:left w:w="150" w:type="dxa"/>
              <w:right w:w="150" w:type="dxa"/>
            </w:tcMar>
          </w:tcPr>
          <w:p>
            <w:r>
              <w:rPr>
                <w:rFonts w:ascii="Calibri" w:hAnsi="Calibri"/>
                <w:b/>
                <w:color w:val="FFFFFF"/>
                <w:sz w:val="20"/>
              </w:rPr>
              <w:t>Concept / Topic</w:t>
            </w:r>
          </w:p>
        </w:tc>
        <w:tc>
          <w:tcPr>
            <w:tcW w:type="dxa" w:w="6480"/>
            <w:shd w:fill="2B6CB0"/>
            <w:tcMar>
              <w:top w:w="120" w:type="dxa"/>
              <w:bottom w:w="120" w:type="dxa"/>
              <w:left w:w="150" w:type="dxa"/>
              <w:right w:w="150" w:type="dxa"/>
            </w:tcMar>
          </w:tcPr>
          <w:p>
            <w:r>
              <w:rPr>
                <w:rFonts w:ascii="Calibri" w:hAnsi="Calibri"/>
                <w:b/>
                <w:color w:val="FFFFFF"/>
                <w:sz w:val="20"/>
              </w:rPr>
              <w:t>Mathematical Formulation &amp; Standard Equations</w:t>
            </w:r>
          </w:p>
        </w:tc>
      </w:tr>
    </w:tbl>
    <w:p>
      <w:pPr>
        <w:spacing w:after="280"/>
      </w:pPr>
    </w:p>
    <w:p>
      <w:pPr>
        <w:pStyle w:val="Heading1"/>
      </w:pPr>
      <w:r>
        <w:rPr>
          <w:color w:val="1A365D"/>
          <w:sz w:val="28"/>
        </w:rPr>
        <w:t>3. Concept Deep-Dive &amp; Source PYQ Evidence</w:t>
      </w:r>
    </w:p>
    <w:p>
      <w:pPr>
        <w:pStyle w:val="Heading2"/>
      </w:pPr>
      <w:r>
        <w:rPr>
          <w:color w:val="2B6CB0"/>
          <w:sz w:val="24"/>
        </w:rPr>
        <w:t>3.1 Chemistry In Everyday Life - Core Application (Very High Yield — 77 PYQs)</w:t>
      </w:r>
    </w:p>
    <w:p>
      <w:r>
        <w:rPr>
          <w:b/>
          <w:sz w:val="20"/>
        </w:rPr>
        <w:t xml:space="preserve">Core Principle: </w:t>
      </w:r>
      <w:r>
        <w:rPr>
          <w:sz w:val="20"/>
        </w:rPr>
        <w:t>Key problem pattern in Chemistry In Everyday Life.</w:t>
      </w:r>
    </w:p>
    <w:tbl>
      <w:tblPr>
        <w:tblW w:type="auto" w:w="0"/>
        <w:jc w:val="center"/>
        <w:tblLook w:firstColumn="1" w:firstRow="1" w:lastColumn="0" w:lastRow="0" w:noHBand="0" w:noVBand="1" w:val="04A0"/>
      </w:tblPr>
      <w:tblGrid>
        <w:gridCol w:w="10080"/>
      </w:tblGrid>
      <w:tr>
        <w:tc>
          <w:tcPr>
            <w:tcW w:type="dxa" w:w="10080"/>
            <w:shd w:fill="FFF5F5"/>
            <w:tcMar>
              <w:top w:w="100" w:type="dxa"/>
              <w:bottom w:w="100" w:type="dxa"/>
              <w:left w:w="150" w:type="dxa"/>
              <w:right w:w="150" w:type="dxa"/>
            </w:tcMar>
          </w:tcPr>
          <w:p>
            <w:r>
              <w:rPr>
                <w:b/>
                <w:color w:val="C53030"/>
                <w:sz w:val="19"/>
              </w:rPr>
              <w:t xml:space="preserve">⚠️ Common Trap / JEE Pitfall: </w:t>
            </w:r>
            <w:r>
              <w:rPr>
                <w:color w:val="2D3748"/>
                <w:sz w:val="19"/>
              </w:rPr>
              <w:t>Watch for algebraic and sign errors.</w:t>
            </w:r>
          </w:p>
        </w:tc>
      </w:tr>
    </w:tbl>
    <w:tbl>
      <w:tblPr>
        <w:tblW w:type="auto" w:w="0"/>
        <w:jc w:val="center"/>
        <w:tblLook w:firstColumn="1" w:firstRow="1" w:lastColumn="0" w:lastRow="0" w:noHBand="0" w:noVBand="1" w:val="04A0"/>
      </w:tblPr>
      <w:tblGrid>
        <w:gridCol w:w="10080"/>
      </w:tblGrid>
      <w:tr>
        <w:tc>
          <w:tcPr>
            <w:tcW w:type="dxa" w:w="10080"/>
            <w:shd w:fill="F0FFF4"/>
            <w:tcMar>
              <w:top w:w="100" w:type="dxa"/>
              <w:bottom w:w="100" w:type="dxa"/>
              <w:left w:w="150" w:type="dxa"/>
              <w:right w:w="150" w:type="dxa"/>
            </w:tcMar>
          </w:tcPr>
          <w:p>
            <w:r>
              <w:rPr>
                <w:b/>
                <w:color w:val="276749"/>
                <w:sz w:val="19"/>
              </w:rPr>
              <w:t xml:space="preserve">💡 Speed Hack / Trick: </w:t>
            </w:r>
            <w:r>
              <w:rPr>
                <w:color w:val="2D3748"/>
                <w:sz w:val="19"/>
              </w:rPr>
              <w:t>Verify dimensions and boundary conditions.</w:t>
            </w:r>
          </w:p>
        </w:tc>
      </w:tr>
    </w:tbl>
    <w:p>
      <w:pPr>
        <w:spacing w:before="120" w:after="40"/>
      </w:pPr>
      <w:r>
        <w:rPr>
          <w:b/>
          <w:color w:val="1A365D"/>
          <w:sz w:val="19"/>
        </w:rPr>
        <w:t>Source PYQs testing this concept:</w:t>
      </w:r>
    </w:p>
    <w:p>
      <w:pPr>
        <w:pStyle w:val="ListBullet"/>
        <w:spacing w:after="40"/>
      </w:pPr>
      <w:r>
        <w:rPr>
          <w:b/>
          <w:sz w:val="18"/>
        </w:rPr>
        <w:t xml:space="preserve">[2024 Morning Shift] Q#1 (MCQ): </w:t>
      </w:r>
      <w:r>
        <w:rPr>
          <w:sz w:val="18"/>
        </w:rPr>
        <w:t xml:space="preserve">"Match List I with List II LIST I (Compound) LIST II (Uses) A. Idoform I. Fire extinguisher B. Carbon tetrachloride II. Insecticide C. CFC II..."  </w:t>
      </w:r>
      <w:r>
        <w:rPr>
          <w:b/>
          <w:color w:val="2B6CB0"/>
          <w:sz w:val="18"/>
        </w:rPr>
        <w:t>[Ans: B]</w:t>
      </w:r>
    </w:p>
    <w:p>
      <w:pPr>
        <w:pStyle w:val="ListBullet"/>
        <w:spacing w:after="40"/>
      </w:pPr>
      <w:r>
        <w:rPr>
          <w:b/>
          <w:sz w:val="18"/>
        </w:rPr>
        <w:t xml:space="preserve">[2024 Evening Shift] Q#2 (MCQ): </w:t>
      </w:r>
      <w:r>
        <w:rPr>
          <w:sz w:val="18"/>
        </w:rPr>
        <w:t xml:space="preserve">"Match List - I with List - II. List I (Compound) List II (Use) (A) Carbon tetrachloride (I) Paint remover (B) Methylene chloride (II) Refrig..."  </w:t>
      </w:r>
      <w:r>
        <w:rPr>
          <w:b/>
          <w:color w:val="2B6CB0"/>
          <w:sz w:val="18"/>
        </w:rPr>
        <w:t>[Ans: N/A]</w:t>
      </w:r>
    </w:p>
    <w:p>
      <w:pPr>
        <w:pStyle w:val="ListBullet"/>
        <w:spacing w:after="40"/>
      </w:pPr>
      <w:r>
        <w:rPr>
          <w:b/>
          <w:sz w:val="18"/>
        </w:rPr>
        <w:t xml:space="preserve">[2023 Morning Shift] Q#1 (MCQ): </w:t>
      </w:r>
      <w:r>
        <w:rPr>
          <w:sz w:val="18"/>
        </w:rPr>
        <w:t xml:space="preserve">"Match List I with List II: LIST I LIST II A. Saccharin I. High potency sweetener B. Aspartame II. First artificial sweetening agent C. Alita..."  </w:t>
      </w:r>
      <w:r>
        <w:rPr>
          <w:b/>
          <w:color w:val="2B6CB0"/>
          <w:sz w:val="18"/>
        </w:rPr>
        <w:t>[Ans: N/A]</w:t>
      </w:r>
    </w:p>
    <w:p>
      <w:pPr>
        <w:spacing w:after="120"/>
      </w:pPr>
    </w:p>
    <w:p>
      <w:pPr>
        <w:pStyle w:val="Heading1"/>
      </w:pPr>
      <w:r>
        <w:rPr>
          <w:color w:val="1A365D"/>
          <w:sz w:val="28"/>
        </w:rPr>
        <w:t>4. Benchmark Illustrative PYQs &amp; Master Solutions</w:t>
      </w:r>
    </w:p>
    <w:p>
      <w:pPr>
        <w:spacing w:before="160" w:after="40"/>
      </w:pPr>
      <w:r>
        <w:rPr>
          <w:b/>
          <w:color w:val="1A365D"/>
          <w:sz w:val="22"/>
        </w:rPr>
        <w:t>Benchmark Problem 1: JEE Main 2024 (Online) 6th April Morning Shift (Q#1)</w:t>
      </w:r>
    </w:p>
    <w:p>
      <w:pPr>
        <w:spacing w:after="80"/>
      </w:pPr>
      <w:r>
        <w:rPr>
          <w:sz w:val="20"/>
        </w:rPr>
        <w:t>Match List I with List II LIST I (Compound) LIST II (Uses) A. Idoform I. Fire extinguisher B. Carbon tetrachloride II. Insecticide C. CFC III. Antiseptic D. DDT IV. Refrigerants Choose the correct answer from the options given below:</w:t>
      </w:r>
    </w:p>
    <w:p>
      <w:pPr>
        <w:pStyle w:val="ListBullet"/>
        <w:spacing w:after="20"/>
      </w:pPr>
      <w:r>
        <w:rPr>
          <w:sz w:val="19"/>
        </w:rPr>
        <w:t>(A) -II, B-IV, C-I, D-III</w:t>
      </w:r>
    </w:p>
    <w:p>
      <w:pPr>
        <w:pStyle w:val="ListBullet"/>
        <w:spacing w:after="20"/>
      </w:pPr>
      <w:r>
        <w:rPr>
          <w:b/>
          <w:color w:val="276749"/>
          <w:sz w:val="19"/>
        </w:rPr>
        <w:t>(B) -III, B-I, C-IV, D-II</w:t>
      </w:r>
    </w:p>
    <w:p>
      <w:pPr>
        <w:pStyle w:val="ListBullet"/>
        <w:spacing w:after="20"/>
      </w:pPr>
      <w:r>
        <w:rPr>
          <w:sz w:val="19"/>
        </w:rPr>
        <w:t>(C) -III, B-II, C-IV, D-I</w:t>
      </w:r>
    </w:p>
    <w:p>
      <w:pPr>
        <w:pStyle w:val="ListBullet"/>
        <w:spacing w:after="20"/>
      </w:pPr>
      <w:r>
        <w:rPr>
          <w:sz w:val="19"/>
        </w:rPr>
        <w:t>(D) -I, B-II, C-III, D-IV</w:t>
      </w:r>
    </w:p>
    <w:tbl>
      <w:tblPr>
        <w:tblW w:type="auto" w:w="0"/>
        <w:jc w:val="center"/>
        <w:tblLook w:firstColumn="1" w:firstRow="1" w:lastColumn="0" w:lastRow="0" w:noHBand="0" w:noVBand="1" w:val="04A0"/>
      </w:tblPr>
      <w:tblGrid>
        <w:gridCol w:w="10080"/>
      </w:tblGrid>
      <w:tr>
        <w:tc>
          <w:tcPr>
            <w:tcW w:type="dxa" w:w="10080"/>
            <w:shd w:fill="F7FAFC"/>
            <w:tcMar>
              <w:top w:w="100" w:type="dxa"/>
              <w:bottom w:w="100" w:type="dxa"/>
              <w:left w:w="150" w:type="dxa"/>
              <w:right w:w="150" w:type="dxa"/>
            </w:tcMar>
          </w:tcPr>
          <w:p>
            <w:r>
              <w:rPr>
                <w:b/>
                <w:color w:val="1A365D"/>
                <w:sz w:val="19"/>
              </w:rPr>
              <w:t>Correct Answer: B</w:t>
              <w:br/>
            </w:r>
            <w:r>
              <w:rPr>
                <w:color w:val="2D3748"/>
                <w:sz w:val="18"/>
              </w:rPr>
              <w:t>Solution Analysis:</w:t>
              <w:br/>
              <w:t>The matching for each compound with its respective use is based on their known applications: Iodoform is a compound known for its application as an antiseptic . It has been used historically in medical applications for the treatment of wounds due to its antimicrobial properties. Hence, Iodoform matches with III. Antiseptic . Carbon Tetrachloride was widely used as a fire extinguishing agent due to its property of being a non-flammable liquid that can suffocate fires. However, its use has been significantly reduced in most countries because of its adverse health and environmental impacts. Carbon Tetrachloride matches with I. Fire extinguisher . CFCs (Chlorofluorocarbons) have been used as refrigerants in air conditioning and refrigeration systems. Their capacity to absorb heat makes them suitable for this purpose. Unfortunately, their harmful effects on the ozone layer have led to their phase-out under global agreements like the Montreal Protocol. Therefore, CFC matches with IV. Refrigerants . DDT (Dichlorodiphenyltrichloroethane) is known for its use as an insecticide . It was widely used to control mosquito populations and other agricultural pests. However, due to environmental and health concerns, its use has been banned or severely restricted in many countries. DDT matches with II. Insecticide . Thus, the correct option is Option B : A-III, B-I, C-IV, D-II.</w:t>
            </w:r>
          </w:p>
        </w:tc>
      </w:tr>
    </w:tbl>
    <w:p>
      <w:pPr>
        <w:spacing w:after="12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