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A365D"/>
          <w:sz w:val="44"/>
        </w:rPr>
        <w:t>JEE MAIN REVISION MASTER: CHEMISTRY IN EVERYDAY LIFE 2026 1 QUESTIONS 1.67% WEIGHTAGE</w:t>
      </w:r>
    </w:p>
    <w:p>
      <w:pPr>
        <w:spacing w:after="280"/>
      </w:pPr>
      <w:r>
        <w:rPr>
          <w:rFonts w:ascii="Calibri" w:hAnsi="Calibri"/>
          <w:color w:val="718096"/>
          <w:sz w:val="22"/>
        </w:rPr>
        <w:t>Subject: Chemistry  |  Target: JEE Main  |  PYQs Analyzed: 11</w:t>
      </w:r>
    </w:p>
    <w:p>
      <w:pPr>
        <w:pStyle w:val="Heading1"/>
      </w:pPr>
      <w:r>
        <w:rPr>
          <w:color w:val="1A365D"/>
          <w:sz w:val="28"/>
        </w:rPr>
        <w:t>1. High-Yield Concept Priority Matrix</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160"/>
            <w:shd w:fill="1A365D"/>
            <w:tcMar>
              <w:top w:w="120" w:type="dxa"/>
              <w:bottom w:w="120" w:type="dxa"/>
              <w:left w:w="150" w:type="dxa"/>
              <w:right w:w="150" w:type="dxa"/>
            </w:tcMar>
          </w:tcPr>
          <w:p>
            <w:r>
              <w:rPr>
                <w:rFonts w:ascii="Calibri" w:hAnsi="Calibri"/>
                <w:b/>
                <w:color w:val="FFFFFF"/>
                <w:sz w:val="20"/>
              </w:rPr>
              <w:t>Priority Tier</w:t>
            </w:r>
          </w:p>
        </w:tc>
        <w:tc>
          <w:tcPr>
            <w:tcW w:type="dxa" w:w="4320"/>
            <w:shd w:fill="1A365D"/>
            <w:tcMar>
              <w:top w:w="120" w:type="dxa"/>
              <w:bottom w:w="120" w:type="dxa"/>
              <w:left w:w="150" w:type="dxa"/>
              <w:right w:w="150" w:type="dxa"/>
            </w:tcMar>
          </w:tcPr>
          <w:p>
            <w:r>
              <w:rPr>
                <w:rFonts w:ascii="Calibri" w:hAnsi="Calibri"/>
                <w:b/>
                <w:color w:val="FFFFFF"/>
                <w:sz w:val="20"/>
              </w:rPr>
              <w:t>Concept Name</w:t>
            </w:r>
          </w:p>
        </w:tc>
        <w:tc>
          <w:tcPr>
            <w:tcW w:type="dxa" w:w="1728"/>
            <w:shd w:fill="1A365D"/>
            <w:tcMar>
              <w:top w:w="120" w:type="dxa"/>
              <w:bottom w:w="120" w:type="dxa"/>
              <w:left w:w="150" w:type="dxa"/>
              <w:right w:w="150" w:type="dxa"/>
            </w:tcMar>
          </w:tcPr>
          <w:p>
            <w:r>
              <w:rPr>
                <w:rFonts w:ascii="Calibri" w:hAnsi="Calibri"/>
                <w:b/>
                <w:color w:val="FFFFFF"/>
                <w:sz w:val="20"/>
              </w:rPr>
              <w:t>Frequency</w:t>
            </w:r>
          </w:p>
        </w:tc>
        <w:tc>
          <w:tcPr>
            <w:tcW w:type="dxa" w:w="1872"/>
            <w:shd w:fill="1A365D"/>
            <w:tcMar>
              <w:top w:w="120" w:type="dxa"/>
              <w:bottom w:w="120" w:type="dxa"/>
              <w:left w:w="150" w:type="dxa"/>
              <w:right w:w="150" w:type="dxa"/>
            </w:tcMar>
          </w:tcPr>
          <w:p>
            <w:r>
              <w:rPr>
                <w:rFonts w:ascii="Calibri" w:hAnsi="Calibri"/>
                <w:b/>
                <w:color w:val="FFFFFF"/>
                <w:sz w:val="20"/>
              </w:rPr>
              <w:t>Category</w:t>
            </w:r>
          </w:p>
        </w:tc>
      </w:tr>
      <w:tr>
        <w:tc>
          <w:tcPr>
            <w:tcW w:type="dxa" w:w="2160"/>
            <w:shd w:fill="F7FAFC"/>
            <w:tcMar>
              <w:top w:w="80" w:type="dxa"/>
              <w:bottom w:w="80" w:type="dxa"/>
              <w:left w:w="150" w:type="dxa"/>
              <w:right w:w="150" w:type="dxa"/>
            </w:tcMar>
          </w:tcPr>
          <w:p>
            <w:r>
              <w:rPr>
                <w:b/>
                <w:color w:val="2B6CB0"/>
                <w:sz w:val="19"/>
              </w:rPr>
              <w:t>High</w:t>
            </w:r>
          </w:p>
        </w:tc>
        <w:tc>
          <w:tcPr>
            <w:tcW w:type="dxa" w:w="4320"/>
            <w:shd w:fill="F7FAFC"/>
            <w:tcMar>
              <w:top w:w="80" w:type="dxa"/>
              <w:bottom w:w="80" w:type="dxa"/>
              <w:left w:w="150" w:type="dxa"/>
              <w:right w:w="150" w:type="dxa"/>
            </w:tcMar>
          </w:tcPr>
          <w:p>
            <w:r>
              <w:rPr>
                <w:b/>
                <w:color w:val="2D3748"/>
                <w:sz w:val="19"/>
              </w:rPr>
              <w:t>Kcet Chemistry In Everyday Life - Core Application</w:t>
            </w:r>
          </w:p>
        </w:tc>
        <w:tc>
          <w:tcPr>
            <w:tcW w:type="dxa" w:w="1728"/>
            <w:shd w:fill="F7FAFC"/>
            <w:tcMar>
              <w:top w:w="80" w:type="dxa"/>
              <w:bottom w:w="80" w:type="dxa"/>
              <w:left w:w="150" w:type="dxa"/>
              <w:right w:w="150" w:type="dxa"/>
            </w:tcMar>
          </w:tcPr>
          <w:p>
            <w:r>
              <w:rPr>
                <w:sz w:val="19"/>
              </w:rPr>
              <w:t>11 PYQs</w:t>
            </w:r>
          </w:p>
        </w:tc>
        <w:tc>
          <w:tcPr>
            <w:tcW w:type="dxa" w:w="1872"/>
            <w:shd w:fill="F7FAFC"/>
            <w:tcMar>
              <w:top w:w="80" w:type="dxa"/>
              <w:bottom w:w="80" w:type="dxa"/>
              <w:left w:w="150" w:type="dxa"/>
              <w:right w:w="150" w:type="dxa"/>
            </w:tcMar>
          </w:tcPr>
          <w:p>
            <w:r>
              <w:rPr>
                <w:color w:val="718096"/>
                <w:sz w:val="19"/>
              </w:rPr>
              <w:t>General Concept</w:t>
            </w:r>
          </w:p>
        </w:tc>
      </w:tr>
    </w:tbl>
    <w:p>
      <w:pPr>
        <w:spacing w:after="200"/>
      </w:pPr>
    </w:p>
    <w:p>
      <w:pPr>
        <w:pStyle w:val="Heading1"/>
      </w:pPr>
      <w:r>
        <w:rPr>
          <w:color w:val="1A365D"/>
          <w:sz w:val="28"/>
        </w:rPr>
        <w:t>2. Master Formula Reference Card</w:t>
      </w:r>
    </w:p>
    <w:tbl>
      <w:tblPr>
        <w:tblW w:type="auto" w:w="0"/>
        <w:jc w:val="center"/>
        <w:tblLook w:firstColumn="1" w:firstRow="1" w:lastColumn="0" w:lastRow="0" w:noHBand="0" w:noVBand="1" w:val="04A0"/>
      </w:tblPr>
      <w:tblGrid>
        <w:gridCol w:w="5040"/>
        <w:gridCol w:w="5040"/>
      </w:tblGrid>
      <w:tr>
        <w:tc>
          <w:tcPr>
            <w:tcW w:type="dxa" w:w="3600"/>
            <w:shd w:fill="2B6CB0"/>
            <w:tcMar>
              <w:top w:w="120" w:type="dxa"/>
              <w:bottom w:w="120" w:type="dxa"/>
              <w:left w:w="150" w:type="dxa"/>
              <w:right w:w="150" w:type="dxa"/>
            </w:tcMar>
          </w:tcPr>
          <w:p>
            <w:r>
              <w:rPr>
                <w:rFonts w:ascii="Calibri" w:hAnsi="Calibri"/>
                <w:b/>
                <w:color w:val="FFFFFF"/>
                <w:sz w:val="20"/>
              </w:rPr>
              <w:t>Concept / Topic</w:t>
            </w:r>
          </w:p>
        </w:tc>
        <w:tc>
          <w:tcPr>
            <w:tcW w:type="dxa" w:w="6480"/>
            <w:shd w:fill="2B6CB0"/>
            <w:tcMar>
              <w:top w:w="120" w:type="dxa"/>
              <w:bottom w:w="120" w:type="dxa"/>
              <w:left w:w="150" w:type="dxa"/>
              <w:right w:w="150" w:type="dxa"/>
            </w:tcMar>
          </w:tcPr>
          <w:p>
            <w:r>
              <w:rPr>
                <w:rFonts w:ascii="Calibri" w:hAnsi="Calibri"/>
                <w:b/>
                <w:color w:val="FFFFFF"/>
                <w:sz w:val="20"/>
              </w:rPr>
              <w:t>Mathematical Formulation &amp; Standard Equations</w:t>
            </w:r>
          </w:p>
        </w:tc>
      </w:tr>
    </w:tbl>
    <w:p>
      <w:pPr>
        <w:spacing w:after="280"/>
      </w:pPr>
    </w:p>
    <w:p>
      <w:pPr>
        <w:pStyle w:val="Heading1"/>
      </w:pPr>
      <w:r>
        <w:rPr>
          <w:color w:val="1A365D"/>
          <w:sz w:val="28"/>
        </w:rPr>
        <w:t>3. Concept Deep-Dive &amp; Source PYQ Evidence</w:t>
      </w:r>
    </w:p>
    <w:p>
      <w:pPr>
        <w:pStyle w:val="Heading2"/>
      </w:pPr>
      <w:r>
        <w:rPr>
          <w:color w:val="2B6CB0"/>
          <w:sz w:val="24"/>
        </w:rPr>
        <w:t>3.1 Kcet Chemistry In Everyday Life - Core Application (High Yield — 11 PYQs)</w:t>
      </w:r>
    </w:p>
    <w:p>
      <w:r>
        <w:rPr>
          <w:b/>
          <w:sz w:val="20"/>
        </w:rPr>
        <w:t xml:space="preserve">Core Principle: </w:t>
      </w:r>
      <w:r>
        <w:rPr>
          <w:sz w:val="20"/>
        </w:rPr>
        <w:t>Key problem pattern in Kcet Chemistry In Everyday Life.</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Watch for algebraic and sign errors.</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Verify dimensions and boundary conditions.</w:t>
            </w:r>
          </w:p>
        </w:tc>
      </w:tr>
    </w:tbl>
    <w:p>
      <w:pPr>
        <w:spacing w:before="120" w:after="40"/>
      </w:pPr>
      <w:r>
        <w:rPr>
          <w:b/>
          <w:color w:val="1A365D"/>
          <w:sz w:val="19"/>
        </w:rPr>
        <w:t>Source PYQs testing this concept:</w:t>
      </w:r>
    </w:p>
    <w:p>
      <w:pPr>
        <w:pStyle w:val="ListBullet"/>
        <w:spacing w:after="40"/>
      </w:pPr>
      <w:r>
        <w:rPr>
          <w:b/>
          <w:sz w:val="18"/>
        </w:rPr>
        <w:t xml:space="preserve">[2026 Shift] Q#1 (MCQ): </w:t>
      </w:r>
      <w:r>
        <w:rPr>
          <w:sz w:val="18"/>
        </w:rPr>
        <w:t xml:space="preserve">"Match the compounds of List-I with their effects in List-II: List-I List-II (a) Chloramphenicol (i) Malaria (b) Thyroxine (ii) Anaesthetic (..."  </w:t>
      </w:r>
      <w:r>
        <w:rPr>
          <w:b/>
          <w:color w:val="2B6CB0"/>
          <w:sz w:val="18"/>
        </w:rPr>
        <w:t>[Ans: N/A]</w:t>
      </w:r>
    </w:p>
    <w:p>
      <w:pPr>
        <w:pStyle w:val="ListBullet"/>
        <w:spacing w:after="40"/>
      </w:pPr>
      <w:r>
        <w:rPr>
          <w:b/>
          <w:sz w:val="18"/>
        </w:rPr>
        <w:t xml:space="preserve">[2024 Shift] Q#2 (MCQ): </w:t>
      </w:r>
      <w:r>
        <w:rPr>
          <w:sz w:val="18"/>
        </w:rPr>
        <w:t xml:space="preserve">"The compound is..."  </w:t>
      </w:r>
      <w:r>
        <w:rPr>
          <w:b/>
          <w:color w:val="2B6CB0"/>
          <w:sz w:val="18"/>
        </w:rPr>
        <w:t>[Ans: N/A]</w:t>
      </w:r>
    </w:p>
    <w:p>
      <w:pPr>
        <w:pStyle w:val="ListBullet"/>
        <w:spacing w:after="40"/>
      </w:pPr>
      <w:r>
        <w:rPr>
          <w:b/>
          <w:sz w:val="18"/>
        </w:rPr>
        <w:t xml:space="preserve">[2024 Shift] Q#3 (MCQ): </w:t>
      </w:r>
      <w:r>
        <w:rPr>
          <w:sz w:val="18"/>
        </w:rPr>
        <w:t xml:space="preserve">"Which one of the following is a cationic detergent?..."  </w:t>
      </w:r>
      <w:r>
        <w:rPr>
          <w:b/>
          <w:color w:val="2B6CB0"/>
          <w:sz w:val="18"/>
        </w:rPr>
        <w:t>[Ans: N/A]</w:t>
      </w:r>
    </w:p>
    <w:p>
      <w:pPr>
        <w:spacing w:after="120"/>
      </w:pPr>
    </w:p>
    <w:p>
      <w:pPr>
        <w:pStyle w:val="Heading1"/>
      </w:pPr>
      <w:r>
        <w:rPr>
          <w:color w:val="1A365D"/>
          <w:sz w:val="28"/>
        </w:rPr>
        <w:t>4. Benchmark Illustrative PYQs &amp; Master Solutions</w:t>
      </w:r>
    </w:p>
    <w:p>
      <w:pPr>
        <w:spacing w:before="160" w:after="40"/>
      </w:pPr>
      <w:r>
        <w:rPr>
          <w:b/>
          <w:color w:val="1A365D"/>
          <w:sz w:val="22"/>
        </w:rPr>
        <w:t>Benchmark Problem 1: KCET 2026 (Q#1)</w:t>
      </w:r>
    </w:p>
    <w:p>
      <w:pPr>
        <w:spacing w:after="80"/>
      </w:pPr>
      <w:r>
        <w:rPr>
          <w:sz w:val="20"/>
        </w:rPr>
        <w:t>Match the compounds of List-I with their effects in List-II: List-I List-II (a) Chloramphenicol (i) Malaria (b) Thyroxine (ii) Anaesthetic (c) Chloroquine (iii) Goiter (d) Chloroform (iv) Typhoid fever</w:t>
      </w:r>
    </w:p>
    <w:p>
      <w:pPr>
        <w:pStyle w:val="ListBullet"/>
        <w:spacing w:after="20"/>
      </w:pPr>
      <w:r>
        <w:rPr>
          <w:sz w:val="19"/>
        </w:rPr>
        <w:t>(A) a–i, b–ii, c–iii, d–iv</w:t>
      </w:r>
    </w:p>
    <w:p>
      <w:pPr>
        <w:pStyle w:val="ListBullet"/>
        <w:spacing w:after="20"/>
      </w:pPr>
      <w:r>
        <w:rPr>
          <w:sz w:val="19"/>
        </w:rPr>
        <w:t>(B) a–iv, b–iii, c–i, d–ii</w:t>
      </w:r>
    </w:p>
    <w:p>
      <w:pPr>
        <w:pStyle w:val="ListBullet"/>
        <w:spacing w:after="20"/>
      </w:pPr>
      <w:r>
        <w:rPr>
          <w:sz w:val="19"/>
        </w:rPr>
        <w:t>(C) a–i, b–iii, c–iv, d–ii</w:t>
      </w:r>
    </w:p>
    <w:p>
      <w:pPr>
        <w:pStyle w:val="ListBullet"/>
        <w:spacing w:after="20"/>
      </w:pPr>
      <w:r>
        <w:rPr>
          <w:sz w:val="19"/>
        </w:rPr>
        <w:t>(D) a–iv, b–iii, c–ii, d–i</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None</w:t>
              <w:br/>
            </w:r>
            <w:r>
              <w:rPr>
                <w:color w:val="2D3748"/>
                <w:sz w:val="18"/>
              </w:rPr>
              <w:t>Solution Analysis:</w:t>
              <w:br/>
              <w:t>Chloramphenicol is an antibiotic. It is used in the treatment of typhoid fever. Thyroxine is a thyroid hormone. Its deficiency is related to goiter, so it matches with goiter. Chloroquine is an antimalarial drug, so it is used for malaria. Chloroform has been used as an anaesthetic. So the correct matching is: (a) → (iv),(b) → (iii),(c) → (i),(d) → (ii) Hence, the correct option is: Option B</w:t>
            </w:r>
          </w:p>
        </w:tc>
      </w:tr>
    </w:tbl>
    <w:p>
      <w:pPr>
        <w:spacing w:after="12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