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A365D"/>
          <w:sz w:val="44"/>
        </w:rPr>
        <w:t>JEE MAIN REVISION MASTER: PRACTICAL ORGANIC CHEMISTRY 2026 2 QUESTIONS 3.33% WEIGHTAGE ↑99.4%</w:t>
      </w:r>
    </w:p>
    <w:p>
      <w:pPr>
        <w:spacing w:after="280"/>
      </w:pPr>
      <w:r>
        <w:rPr>
          <w:rFonts w:ascii="Calibri" w:hAnsi="Calibri"/>
          <w:color w:val="718096"/>
          <w:sz w:val="22"/>
        </w:rPr>
        <w:t>Subject: Chemistry  |  Target: JEE Main  |  PYQs Analyzed: 3</w:t>
      </w:r>
    </w:p>
    <w:p>
      <w:pPr>
        <w:pStyle w:val="Heading1"/>
      </w:pPr>
      <w:r>
        <w:rPr>
          <w:color w:val="1A365D"/>
          <w:sz w:val="28"/>
        </w:rPr>
        <w:t>1. High-Yield Concept Priority Matrix</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160"/>
            <w:shd w:fill="1A365D"/>
            <w:tcMar>
              <w:top w:w="120" w:type="dxa"/>
              <w:bottom w:w="120" w:type="dxa"/>
              <w:left w:w="150" w:type="dxa"/>
              <w:right w:w="150" w:type="dxa"/>
            </w:tcMar>
          </w:tcPr>
          <w:p>
            <w:r>
              <w:rPr>
                <w:rFonts w:ascii="Calibri" w:hAnsi="Calibri"/>
                <w:b/>
                <w:color w:val="FFFFFF"/>
                <w:sz w:val="20"/>
              </w:rPr>
              <w:t>Priority Tier</w:t>
            </w:r>
          </w:p>
        </w:tc>
        <w:tc>
          <w:tcPr>
            <w:tcW w:type="dxa" w:w="4320"/>
            <w:shd w:fill="1A365D"/>
            <w:tcMar>
              <w:top w:w="120" w:type="dxa"/>
              <w:bottom w:w="120" w:type="dxa"/>
              <w:left w:w="150" w:type="dxa"/>
              <w:right w:w="150" w:type="dxa"/>
            </w:tcMar>
          </w:tcPr>
          <w:p>
            <w:r>
              <w:rPr>
                <w:rFonts w:ascii="Calibri" w:hAnsi="Calibri"/>
                <w:b/>
                <w:color w:val="FFFFFF"/>
                <w:sz w:val="20"/>
              </w:rPr>
              <w:t>Concept Name</w:t>
            </w:r>
          </w:p>
        </w:tc>
        <w:tc>
          <w:tcPr>
            <w:tcW w:type="dxa" w:w="1728"/>
            <w:shd w:fill="1A365D"/>
            <w:tcMar>
              <w:top w:w="120" w:type="dxa"/>
              <w:bottom w:w="120" w:type="dxa"/>
              <w:left w:w="150" w:type="dxa"/>
              <w:right w:w="150" w:type="dxa"/>
            </w:tcMar>
          </w:tcPr>
          <w:p>
            <w:r>
              <w:rPr>
                <w:rFonts w:ascii="Calibri" w:hAnsi="Calibri"/>
                <w:b/>
                <w:color w:val="FFFFFF"/>
                <w:sz w:val="20"/>
              </w:rPr>
              <w:t>Frequency</w:t>
            </w:r>
          </w:p>
        </w:tc>
        <w:tc>
          <w:tcPr>
            <w:tcW w:type="dxa" w:w="1872"/>
            <w:shd w:fill="1A365D"/>
            <w:tcMar>
              <w:top w:w="120" w:type="dxa"/>
              <w:bottom w:w="120" w:type="dxa"/>
              <w:left w:w="150" w:type="dxa"/>
              <w:right w:w="150" w:type="dxa"/>
            </w:tcMar>
          </w:tcPr>
          <w:p>
            <w:r>
              <w:rPr>
                <w:rFonts w:ascii="Calibri" w:hAnsi="Calibri"/>
                <w:b/>
                <w:color w:val="FFFFFF"/>
                <w:sz w:val="20"/>
              </w:rPr>
              <w:t>Category</w:t>
            </w:r>
          </w:p>
        </w:tc>
      </w:tr>
      <w:tr>
        <w:tc>
          <w:tcPr>
            <w:tcW w:type="dxa" w:w="2160"/>
            <w:shd w:fill="F7FAFC"/>
            <w:tcMar>
              <w:top w:w="80" w:type="dxa"/>
              <w:bottom w:w="80" w:type="dxa"/>
              <w:left w:w="150" w:type="dxa"/>
              <w:right w:w="150" w:type="dxa"/>
            </w:tcMar>
          </w:tcPr>
          <w:p>
            <w:r>
              <w:rPr>
                <w:b/>
                <w:color w:val="718096"/>
                <w:sz w:val="19"/>
              </w:rPr>
              <w:t>Moderate</w:t>
            </w:r>
          </w:p>
        </w:tc>
        <w:tc>
          <w:tcPr>
            <w:tcW w:type="dxa" w:w="4320"/>
            <w:shd w:fill="F7FAFC"/>
            <w:tcMar>
              <w:top w:w="80" w:type="dxa"/>
              <w:bottom w:w="80" w:type="dxa"/>
              <w:left w:w="150" w:type="dxa"/>
              <w:right w:w="150" w:type="dxa"/>
            </w:tcMar>
          </w:tcPr>
          <w:p>
            <w:r>
              <w:rPr>
                <w:b/>
                <w:color w:val="2D3748"/>
                <w:sz w:val="19"/>
              </w:rPr>
              <w:t>Kcet Practical Organic Chemistry - Core Application</w:t>
            </w:r>
          </w:p>
        </w:tc>
        <w:tc>
          <w:tcPr>
            <w:tcW w:type="dxa" w:w="1728"/>
            <w:shd w:fill="F7FAFC"/>
            <w:tcMar>
              <w:top w:w="80" w:type="dxa"/>
              <w:bottom w:w="80" w:type="dxa"/>
              <w:left w:w="150" w:type="dxa"/>
              <w:right w:w="150" w:type="dxa"/>
            </w:tcMar>
          </w:tcPr>
          <w:p>
            <w:r>
              <w:rPr>
                <w:sz w:val="19"/>
              </w:rPr>
              <w:t>3 PYQs</w:t>
            </w:r>
          </w:p>
        </w:tc>
        <w:tc>
          <w:tcPr>
            <w:tcW w:type="dxa" w:w="1872"/>
            <w:shd w:fill="F7FAFC"/>
            <w:tcMar>
              <w:top w:w="80" w:type="dxa"/>
              <w:bottom w:w="80" w:type="dxa"/>
              <w:left w:w="150" w:type="dxa"/>
              <w:right w:w="150" w:type="dxa"/>
            </w:tcMar>
          </w:tcPr>
          <w:p>
            <w:r>
              <w:rPr>
                <w:color w:val="718096"/>
                <w:sz w:val="19"/>
              </w:rPr>
              <w:t>General Concept</w:t>
            </w:r>
          </w:p>
        </w:tc>
      </w:tr>
    </w:tbl>
    <w:p>
      <w:pPr>
        <w:spacing w:after="200"/>
      </w:pPr>
    </w:p>
    <w:p>
      <w:pPr>
        <w:pStyle w:val="Heading1"/>
      </w:pPr>
      <w:r>
        <w:rPr>
          <w:color w:val="1A365D"/>
          <w:sz w:val="28"/>
        </w:rPr>
        <w:t>2. Master Formula Reference Card</w:t>
      </w:r>
    </w:p>
    <w:tbl>
      <w:tblPr>
        <w:tblW w:type="auto" w:w="0"/>
        <w:jc w:val="center"/>
        <w:tblLook w:firstColumn="1" w:firstRow="1" w:lastColumn="0" w:lastRow="0" w:noHBand="0" w:noVBand="1" w:val="04A0"/>
      </w:tblPr>
      <w:tblGrid>
        <w:gridCol w:w="5040"/>
        <w:gridCol w:w="5040"/>
      </w:tblGrid>
      <w:tr>
        <w:tc>
          <w:tcPr>
            <w:tcW w:type="dxa" w:w="3600"/>
            <w:shd w:fill="2B6CB0"/>
            <w:tcMar>
              <w:top w:w="120" w:type="dxa"/>
              <w:bottom w:w="120" w:type="dxa"/>
              <w:left w:w="150" w:type="dxa"/>
              <w:right w:w="150" w:type="dxa"/>
            </w:tcMar>
          </w:tcPr>
          <w:p>
            <w:r>
              <w:rPr>
                <w:rFonts w:ascii="Calibri" w:hAnsi="Calibri"/>
                <w:b/>
                <w:color w:val="FFFFFF"/>
                <w:sz w:val="20"/>
              </w:rPr>
              <w:t>Concept / Topic</w:t>
            </w:r>
          </w:p>
        </w:tc>
        <w:tc>
          <w:tcPr>
            <w:tcW w:type="dxa" w:w="6480"/>
            <w:shd w:fill="2B6CB0"/>
            <w:tcMar>
              <w:top w:w="120" w:type="dxa"/>
              <w:bottom w:w="120" w:type="dxa"/>
              <w:left w:w="150" w:type="dxa"/>
              <w:right w:w="150" w:type="dxa"/>
            </w:tcMar>
          </w:tcPr>
          <w:p>
            <w:r>
              <w:rPr>
                <w:rFonts w:ascii="Calibri" w:hAnsi="Calibri"/>
                <w:b/>
                <w:color w:val="FFFFFF"/>
                <w:sz w:val="20"/>
              </w:rPr>
              <w:t>Mathematical Formulation &amp; Standard Equations</w:t>
            </w:r>
          </w:p>
        </w:tc>
      </w:tr>
    </w:tbl>
    <w:p>
      <w:pPr>
        <w:spacing w:after="280"/>
      </w:pPr>
    </w:p>
    <w:p>
      <w:pPr>
        <w:pStyle w:val="Heading1"/>
      </w:pPr>
      <w:r>
        <w:rPr>
          <w:color w:val="1A365D"/>
          <w:sz w:val="28"/>
        </w:rPr>
        <w:t>3. Concept Deep-Dive &amp; Source PYQ Evidence</w:t>
      </w:r>
    </w:p>
    <w:p>
      <w:pPr>
        <w:pStyle w:val="Heading2"/>
      </w:pPr>
      <w:r>
        <w:rPr>
          <w:color w:val="2B6CB0"/>
          <w:sz w:val="24"/>
        </w:rPr>
        <w:t>3.1 Kcet Practical Organic Chemistry - Core Application (Moderate Yield — 3 PYQs)</w:t>
      </w:r>
    </w:p>
    <w:p>
      <w:r>
        <w:rPr>
          <w:b/>
          <w:sz w:val="20"/>
        </w:rPr>
        <w:t xml:space="preserve">Core Principle: </w:t>
      </w:r>
      <w:r>
        <w:rPr>
          <w:sz w:val="20"/>
        </w:rPr>
        <w:t>Key problem pattern in Kcet Practical Organic Chemistry.</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Watch for algebraic and sign errors.</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Verify dimensions and boundary conditions.</w:t>
            </w:r>
          </w:p>
        </w:tc>
      </w:tr>
    </w:tbl>
    <w:p>
      <w:pPr>
        <w:spacing w:before="120" w:after="40"/>
      </w:pPr>
      <w:r>
        <w:rPr>
          <w:b/>
          <w:color w:val="1A365D"/>
          <w:sz w:val="19"/>
        </w:rPr>
        <w:t>Source PYQs testing this concept:</w:t>
      </w:r>
    </w:p>
    <w:p>
      <w:pPr>
        <w:pStyle w:val="ListBullet"/>
        <w:spacing w:after="40"/>
      </w:pPr>
      <w:r>
        <w:rPr>
          <w:b/>
          <w:sz w:val="18"/>
        </w:rPr>
        <w:t xml:space="preserve">[2026 Shift] Q#1 (MCQ): </w:t>
      </w:r>
      <w:r>
        <w:rPr>
          <w:sz w:val="18"/>
        </w:rPr>
        <w:t xml:space="preserve">"Statement-I: Nitrogen in pyridine cannot be estimated by Kjeldahl's method. Statement-II: Nitrogen in pyridine changes to ammonium sulphate ..."  </w:t>
      </w:r>
      <w:r>
        <w:rPr>
          <w:b/>
          <w:color w:val="2B6CB0"/>
          <w:sz w:val="18"/>
        </w:rPr>
        <w:t>[Ans: N/A]</w:t>
      </w:r>
    </w:p>
    <w:p>
      <w:pPr>
        <w:pStyle w:val="ListBullet"/>
        <w:spacing w:after="40"/>
      </w:pPr>
      <w:r>
        <w:rPr>
          <w:b/>
          <w:sz w:val="18"/>
        </w:rPr>
        <w:t xml:space="preserve">[2026 Shift] Q#2 (MCQ): </w:t>
      </w:r>
      <w:r>
        <w:rPr>
          <w:sz w:val="18"/>
        </w:rPr>
        <w:t xml:space="preserve">"Match List-I with List-II and select the correct options List-I (Functional group) List-II (Functional group reagent) (a) (i) Neutral ferric..."  </w:t>
      </w:r>
      <w:r>
        <w:rPr>
          <w:b/>
          <w:color w:val="2B6CB0"/>
          <w:sz w:val="18"/>
        </w:rPr>
        <w:t>[Ans: N/A]</w:t>
      </w:r>
    </w:p>
    <w:p>
      <w:pPr>
        <w:pStyle w:val="ListBullet"/>
        <w:spacing w:after="40"/>
      </w:pPr>
      <w:r>
        <w:rPr>
          <w:b/>
          <w:sz w:val="18"/>
        </w:rPr>
        <w:t xml:space="preserve">[2025 Shift] Q#3 (MCQ): </w:t>
      </w:r>
      <w:r>
        <w:rPr>
          <w:sz w:val="18"/>
        </w:rPr>
        <w:t xml:space="preserve">"In the preparation of sodium fusion extract, the purpose of fusing organic compound with a piece of sodium metal is to..."  </w:t>
      </w:r>
      <w:r>
        <w:rPr>
          <w:b/>
          <w:color w:val="2B6CB0"/>
          <w:sz w:val="18"/>
        </w:rPr>
        <w:t>[Ans: N/A]</w:t>
      </w:r>
    </w:p>
    <w:p>
      <w:pPr>
        <w:spacing w:after="120"/>
      </w:pPr>
    </w:p>
    <w:p>
      <w:pPr>
        <w:pStyle w:val="Heading1"/>
      </w:pPr>
      <w:r>
        <w:rPr>
          <w:color w:val="1A365D"/>
          <w:sz w:val="28"/>
        </w:rPr>
        <w:t>4. Benchmark Illustrative PYQs &amp; Master Solutions</w:t>
      </w:r>
    </w:p>
    <w:p>
      <w:pPr>
        <w:spacing w:before="160" w:after="40"/>
      </w:pPr>
      <w:r>
        <w:rPr>
          <w:b/>
          <w:color w:val="1A365D"/>
          <w:sz w:val="22"/>
        </w:rPr>
        <w:t>Benchmark Problem 1: KCET 2026 (Q#1)</w:t>
      </w:r>
    </w:p>
    <w:p>
      <w:pPr>
        <w:spacing w:after="80"/>
      </w:pPr>
      <w:r>
        <w:rPr>
          <w:sz w:val="20"/>
        </w:rPr>
        <w:t>Statement-I: Nitrogen in pyridine cannot be estimated by Kjeldahl's method. Statement-II: Nitrogen in pyridine changes to ammonium sulphate when heated with conc. H_(2)SO_(4) in Kjeldahl's method. Read the above given statements and choose the correct answer from the given options.</w:t>
      </w:r>
    </w:p>
    <w:p>
      <w:pPr>
        <w:pStyle w:val="ListBullet"/>
        <w:spacing w:after="20"/>
      </w:pPr>
      <w:r>
        <w:rPr>
          <w:sz w:val="19"/>
        </w:rPr>
        <w:t>(A) Statement I is true but Statement II is false</w:t>
      </w:r>
    </w:p>
    <w:p>
      <w:pPr>
        <w:pStyle w:val="ListBullet"/>
        <w:spacing w:after="20"/>
      </w:pPr>
      <w:r>
        <w:rPr>
          <w:sz w:val="19"/>
        </w:rPr>
        <w:t>(B) Both Statement I and Statement II are false</w:t>
      </w:r>
    </w:p>
    <w:p>
      <w:pPr>
        <w:pStyle w:val="ListBullet"/>
        <w:spacing w:after="20"/>
      </w:pPr>
      <w:r>
        <w:rPr>
          <w:sz w:val="19"/>
        </w:rPr>
        <w:t>(C) Both Statement I and Statement II are true</w:t>
      </w:r>
    </w:p>
    <w:p>
      <w:pPr>
        <w:pStyle w:val="ListBullet"/>
        <w:spacing w:after="20"/>
      </w:pPr>
      <w:r>
        <w:rPr>
          <w:sz w:val="19"/>
        </w:rPr>
        <w:t>(D) Statement I is false but Statement II is true</w:t>
      </w: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50" w:type="dxa"/>
              <w:right w:w="150" w:type="dxa"/>
            </w:tcMar>
          </w:tcPr>
          <w:p>
            <w:r>
              <w:rPr>
                <w:b/>
                <w:color w:val="1A365D"/>
                <w:sz w:val="19"/>
              </w:rPr>
              <w:t>Correct Answer: None</w:t>
              <w:br/>
            </w:r>
            <w:r>
              <w:rPr>
                <w:color w:val="2D3748"/>
                <w:sz w:val="18"/>
              </w:rPr>
              <w:t>Solution Analysis:</w:t>
              <w:br/>
              <w:t>Statement-I is true. In Kjeldahl’s method, the nitrogen present in an organic compound is converted into ammonium sulphate, (NH_(4))_(2)SO_(4) , by heating with concentrated H_(2)SO_(4) . But this method does not work for all nitrogen-containing compounds. It fails for compounds in which nitrogen is present in certain special forms, such as: nitro compounds azo compounds diazo compounds heterocyclic compounds like pyridine In pyridine, nitrogen is part of the aromatic ring. This nitrogen does not get converted into ammonium sulphate on heating with concentrated H_(2)SO_(4) . So Statement-II is false. Hence, the correct answer is: Option A Statement I is true but Statement II is false.</w:t>
            </w:r>
          </w:p>
        </w:tc>
      </w:tr>
    </w:tbl>
    <w:p>
      <w:pPr>
        <w:spacing w:after="120"/>
      </w:pP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