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A365D"/>
          <w:sz w:val="44"/>
        </w:rPr>
        <w:t>JEE MAIN REVISION MASTER: HYDROCARBONS</w:t>
      </w:r>
    </w:p>
    <w:p>
      <w:pPr>
        <w:spacing w:after="280"/>
      </w:pPr>
      <w:r>
        <w:rPr>
          <w:rFonts w:ascii="Calibri" w:hAnsi="Calibri"/>
          <w:color w:val="718096"/>
          <w:sz w:val="22"/>
        </w:rPr>
        <w:t>Subject: Chemistry  |  Target: JEE Main  |  PYQs Analyzed: 166</w:t>
      </w:r>
    </w:p>
    <w:p>
      <w:pPr>
        <w:pStyle w:val="Heading1"/>
      </w:pPr>
      <w:r>
        <w:rPr>
          <w:color w:val="1A365D"/>
          <w:sz w:val="28"/>
        </w:rPr>
        <w:t>1. High-Yield Concept Priority Matrix</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160"/>
            <w:shd w:fill="1A365D"/>
            <w:tcMar>
              <w:top w:w="120" w:type="dxa"/>
              <w:bottom w:w="120" w:type="dxa"/>
              <w:left w:w="150" w:type="dxa"/>
              <w:right w:w="150" w:type="dxa"/>
            </w:tcMar>
          </w:tcPr>
          <w:p>
            <w:r>
              <w:rPr>
                <w:rFonts w:ascii="Calibri" w:hAnsi="Calibri"/>
                <w:b/>
                <w:color w:val="FFFFFF"/>
                <w:sz w:val="20"/>
              </w:rPr>
              <w:t>Priority Tier</w:t>
            </w:r>
          </w:p>
        </w:tc>
        <w:tc>
          <w:tcPr>
            <w:tcW w:type="dxa" w:w="4320"/>
            <w:shd w:fill="1A365D"/>
            <w:tcMar>
              <w:top w:w="120" w:type="dxa"/>
              <w:bottom w:w="120" w:type="dxa"/>
              <w:left w:w="150" w:type="dxa"/>
              <w:right w:w="150" w:type="dxa"/>
            </w:tcMar>
          </w:tcPr>
          <w:p>
            <w:r>
              <w:rPr>
                <w:rFonts w:ascii="Calibri" w:hAnsi="Calibri"/>
                <w:b/>
                <w:color w:val="FFFFFF"/>
                <w:sz w:val="20"/>
              </w:rPr>
              <w:t>Concept Name</w:t>
            </w:r>
          </w:p>
        </w:tc>
        <w:tc>
          <w:tcPr>
            <w:tcW w:type="dxa" w:w="1728"/>
            <w:shd w:fill="1A365D"/>
            <w:tcMar>
              <w:top w:w="120" w:type="dxa"/>
              <w:bottom w:w="120" w:type="dxa"/>
              <w:left w:w="150" w:type="dxa"/>
              <w:right w:w="150" w:type="dxa"/>
            </w:tcMar>
          </w:tcPr>
          <w:p>
            <w:r>
              <w:rPr>
                <w:rFonts w:ascii="Calibri" w:hAnsi="Calibri"/>
                <w:b/>
                <w:color w:val="FFFFFF"/>
                <w:sz w:val="20"/>
              </w:rPr>
              <w:t>Frequency</w:t>
            </w:r>
          </w:p>
        </w:tc>
        <w:tc>
          <w:tcPr>
            <w:tcW w:type="dxa" w:w="1872"/>
            <w:shd w:fill="1A365D"/>
            <w:tcMar>
              <w:top w:w="120" w:type="dxa"/>
              <w:bottom w:w="120" w:type="dxa"/>
              <w:left w:w="150" w:type="dxa"/>
              <w:right w:w="150" w:type="dxa"/>
            </w:tcMar>
          </w:tcPr>
          <w:p>
            <w:r>
              <w:rPr>
                <w:rFonts w:ascii="Calibri" w:hAnsi="Calibri"/>
                <w:b/>
                <w:color w:val="FFFFFF"/>
                <w:sz w:val="20"/>
              </w:rPr>
              <w:t>Category</w:t>
            </w:r>
          </w:p>
        </w:tc>
      </w:tr>
      <w:tr>
        <w:tc>
          <w:tcPr>
            <w:tcW w:type="dxa" w:w="2160"/>
            <w:shd w:fill="F7FAFC"/>
            <w:tcMar>
              <w:top w:w="80" w:type="dxa"/>
              <w:bottom w:w="80" w:type="dxa"/>
              <w:left w:w="150" w:type="dxa"/>
              <w:right w:w="150" w:type="dxa"/>
            </w:tcMar>
          </w:tcPr>
          <w:p>
            <w:r>
              <w:rPr>
                <w:b/>
                <w:color w:val="C53030"/>
                <w:sz w:val="19"/>
              </w:rPr>
              <w:t>Very High</w:t>
            </w:r>
          </w:p>
        </w:tc>
        <w:tc>
          <w:tcPr>
            <w:tcW w:type="dxa" w:w="4320"/>
            <w:shd w:fill="F7FAFC"/>
            <w:tcMar>
              <w:top w:w="80" w:type="dxa"/>
              <w:bottom w:w="80" w:type="dxa"/>
              <w:left w:w="150" w:type="dxa"/>
              <w:right w:w="150" w:type="dxa"/>
            </w:tcMar>
          </w:tcPr>
          <w:p>
            <w:r>
              <w:rPr>
                <w:b/>
                <w:color w:val="2D3748"/>
                <w:sz w:val="19"/>
              </w:rPr>
              <w:t>Hydrocarbons — Applied Cases, Reactions &amp; Traps</w:t>
            </w:r>
          </w:p>
        </w:tc>
        <w:tc>
          <w:tcPr>
            <w:tcW w:type="dxa" w:w="1728"/>
            <w:shd w:fill="F7FAFC"/>
            <w:tcMar>
              <w:top w:w="80" w:type="dxa"/>
              <w:bottom w:w="80" w:type="dxa"/>
              <w:left w:w="150" w:type="dxa"/>
              <w:right w:w="150" w:type="dxa"/>
            </w:tcMar>
          </w:tcPr>
          <w:p>
            <w:r>
              <w:rPr>
                <w:sz w:val="19"/>
              </w:rPr>
              <w:t>129 PYQs</w:t>
            </w:r>
          </w:p>
        </w:tc>
        <w:tc>
          <w:tcPr>
            <w:tcW w:type="dxa" w:w="1872"/>
            <w:shd w:fill="F7FAFC"/>
            <w:tcMar>
              <w:top w:w="80" w:type="dxa"/>
              <w:bottom w:w="80" w:type="dxa"/>
              <w:left w:w="150" w:type="dxa"/>
              <w:right w:w="150" w:type="dxa"/>
            </w:tcMar>
          </w:tcPr>
          <w:p>
            <w:r>
              <w:rPr>
                <w:color w:val="718096"/>
                <w:sz w:val="19"/>
              </w:rPr>
              <w:t>Applied Topics</w:t>
            </w:r>
          </w:p>
        </w:tc>
      </w:tr>
      <w:tr>
        <w:tc>
          <w:tcPr>
            <w:tcW w:type="dxa" w:w="2160"/>
            <w:shd w:fill="FFFFFF"/>
            <w:tcMar>
              <w:top w:w="80" w:type="dxa"/>
              <w:bottom w:w="80" w:type="dxa"/>
              <w:left w:w="150" w:type="dxa"/>
              <w:right w:w="150" w:type="dxa"/>
            </w:tcMar>
          </w:tcPr>
          <w:p>
            <w:r>
              <w:rPr>
                <w:b/>
                <w:color w:val="C53030"/>
                <w:sz w:val="19"/>
              </w:rPr>
              <w:t>Very High</w:t>
            </w:r>
          </w:p>
        </w:tc>
        <w:tc>
          <w:tcPr>
            <w:tcW w:type="dxa" w:w="4320"/>
            <w:shd w:fill="FFFFFF"/>
            <w:tcMar>
              <w:top w:w="80" w:type="dxa"/>
              <w:bottom w:w="80" w:type="dxa"/>
              <w:left w:w="150" w:type="dxa"/>
              <w:right w:w="150" w:type="dxa"/>
            </w:tcMar>
          </w:tcPr>
          <w:p>
            <w:r>
              <w:rPr>
                <w:b/>
                <w:color w:val="2D3748"/>
                <w:sz w:val="19"/>
              </w:rPr>
              <w:t>Hydrocarbons — Standard Calculations &amp; Problem Archetypes</w:t>
            </w:r>
          </w:p>
        </w:tc>
        <w:tc>
          <w:tcPr>
            <w:tcW w:type="dxa" w:w="1728"/>
            <w:shd w:fill="FFFFFF"/>
            <w:tcMar>
              <w:top w:w="80" w:type="dxa"/>
              <w:bottom w:w="80" w:type="dxa"/>
              <w:left w:w="150" w:type="dxa"/>
              <w:right w:w="150" w:type="dxa"/>
            </w:tcMar>
          </w:tcPr>
          <w:p>
            <w:r>
              <w:rPr>
                <w:sz w:val="19"/>
              </w:rPr>
              <w:t>36 PYQs</w:t>
            </w:r>
          </w:p>
        </w:tc>
        <w:tc>
          <w:tcPr>
            <w:tcW w:type="dxa" w:w="1872"/>
            <w:shd w:fill="FFFFFF"/>
            <w:tcMar>
              <w:top w:w="80" w:type="dxa"/>
              <w:bottom w:w="80" w:type="dxa"/>
              <w:left w:w="150" w:type="dxa"/>
              <w:right w:w="150" w:type="dxa"/>
            </w:tcMar>
          </w:tcPr>
          <w:p>
            <w:r>
              <w:rPr>
                <w:color w:val="718096"/>
                <w:sz w:val="19"/>
              </w:rPr>
              <w:t>Quantitative Analysis</w:t>
            </w:r>
          </w:p>
        </w:tc>
      </w:tr>
      <w:tr>
        <w:tc>
          <w:tcPr>
            <w:tcW w:type="dxa" w:w="2160"/>
            <w:shd w:fill="F7FAFC"/>
            <w:tcMar>
              <w:top w:w="80" w:type="dxa"/>
              <w:bottom w:w="80" w:type="dxa"/>
              <w:left w:w="150" w:type="dxa"/>
              <w:right w:w="150" w:type="dxa"/>
            </w:tcMar>
          </w:tcPr>
          <w:p>
            <w:r>
              <w:rPr>
                <w:b/>
                <w:color w:val="C53030"/>
                <w:sz w:val="19"/>
              </w:rPr>
              <w:t>Very High</w:t>
            </w:r>
          </w:p>
        </w:tc>
        <w:tc>
          <w:tcPr>
            <w:tcW w:type="dxa" w:w="4320"/>
            <w:shd w:fill="F7FAFC"/>
            <w:tcMar>
              <w:top w:w="80" w:type="dxa"/>
              <w:bottom w:w="80" w:type="dxa"/>
              <w:left w:w="150" w:type="dxa"/>
              <w:right w:w="150" w:type="dxa"/>
            </w:tcMar>
          </w:tcPr>
          <w:p>
            <w:r>
              <w:rPr>
                <w:b/>
                <w:color w:val="2D3748"/>
                <w:sz w:val="19"/>
              </w:rPr>
              <w:t>Hydrocarbons — Core Principles &amp; Governing Laws</w:t>
            </w:r>
          </w:p>
        </w:tc>
        <w:tc>
          <w:tcPr>
            <w:tcW w:type="dxa" w:w="1728"/>
            <w:shd w:fill="F7FAFC"/>
            <w:tcMar>
              <w:top w:w="80" w:type="dxa"/>
              <w:bottom w:w="80" w:type="dxa"/>
              <w:left w:w="150" w:type="dxa"/>
              <w:right w:w="150" w:type="dxa"/>
            </w:tcMar>
          </w:tcPr>
          <w:p>
            <w:r>
              <w:rPr>
                <w:sz w:val="19"/>
              </w:rPr>
              <w:t>15 PYQs</w:t>
            </w:r>
          </w:p>
        </w:tc>
        <w:tc>
          <w:tcPr>
            <w:tcW w:type="dxa" w:w="1872"/>
            <w:shd w:fill="F7FAFC"/>
            <w:tcMar>
              <w:top w:w="80" w:type="dxa"/>
              <w:bottom w:w="80" w:type="dxa"/>
              <w:left w:w="150" w:type="dxa"/>
              <w:right w:w="150" w:type="dxa"/>
            </w:tcMar>
          </w:tcPr>
          <w:p>
            <w:r>
              <w:rPr>
                <w:color w:val="718096"/>
                <w:sz w:val="19"/>
              </w:rPr>
              <w:t>Core Principle</w:t>
            </w:r>
          </w:p>
        </w:tc>
      </w:tr>
    </w:tbl>
    <w:p>
      <w:pPr>
        <w:spacing w:after="200"/>
      </w:pPr>
    </w:p>
    <w:p>
      <w:pPr>
        <w:pStyle w:val="Heading1"/>
      </w:pPr>
      <w:r>
        <w:rPr>
          <w:color w:val="1A365D"/>
          <w:sz w:val="28"/>
        </w:rPr>
        <w:t>2. Master Formula Reference Card</w:t>
      </w:r>
    </w:p>
    <w:tbl>
      <w:tblPr>
        <w:tblW w:type="auto" w:w="0"/>
        <w:jc w:val="center"/>
        <w:tblLook w:firstColumn="1" w:firstRow="1" w:lastColumn="0" w:lastRow="0" w:noHBand="0" w:noVBand="1" w:val="04A0"/>
      </w:tblPr>
      <w:tblGrid>
        <w:gridCol w:w="5040"/>
        <w:gridCol w:w="5040"/>
      </w:tblGrid>
      <w:tr>
        <w:tc>
          <w:tcPr>
            <w:tcW w:type="dxa" w:w="3600"/>
            <w:shd w:fill="2B6CB0"/>
            <w:tcMar>
              <w:top w:w="120" w:type="dxa"/>
              <w:bottom w:w="120" w:type="dxa"/>
              <w:left w:w="150" w:type="dxa"/>
              <w:right w:w="150" w:type="dxa"/>
            </w:tcMar>
          </w:tcPr>
          <w:p>
            <w:r>
              <w:rPr>
                <w:rFonts w:ascii="Calibri" w:hAnsi="Calibri"/>
                <w:b/>
                <w:color w:val="FFFFFF"/>
                <w:sz w:val="20"/>
              </w:rPr>
              <w:t>Concept / Topic</w:t>
            </w:r>
          </w:p>
        </w:tc>
        <w:tc>
          <w:tcPr>
            <w:tcW w:type="dxa" w:w="6480"/>
            <w:shd w:fill="2B6CB0"/>
            <w:tcMar>
              <w:top w:w="120" w:type="dxa"/>
              <w:bottom w:w="120" w:type="dxa"/>
              <w:left w:w="150" w:type="dxa"/>
              <w:right w:w="150" w:type="dxa"/>
            </w:tcMar>
          </w:tcPr>
          <w:p>
            <w:r>
              <w:rPr>
                <w:rFonts w:ascii="Calibri" w:hAnsi="Calibri"/>
                <w:b/>
                <w:color w:val="FFFFFF"/>
                <w:sz w:val="20"/>
              </w:rPr>
              <w:t>Mathematical Formulation &amp; Standard Equations</w:t>
            </w:r>
          </w:p>
        </w:tc>
      </w:tr>
      <w:tr>
        <w:tc>
          <w:tcPr>
            <w:tcW w:type="dxa" w:w="3600"/>
            <w:shd w:fill="F7FAFC"/>
            <w:tcMar>
              <w:top w:w="100" w:type="dxa"/>
              <w:bottom w:w="100" w:type="dxa"/>
              <w:left w:w="150" w:type="dxa"/>
              <w:right w:w="150" w:type="dxa"/>
            </w:tcMar>
          </w:tcPr>
          <w:p>
            <w:r>
              <w:rPr>
                <w:b/>
                <w:color w:val="1A365D"/>
                <w:sz w:val="19"/>
              </w:rPr>
              <w:t>Hydrocarbons — Applied Cases, Reactions &amp; Traps</w:t>
            </w:r>
          </w:p>
        </w:tc>
        <w:tc>
          <w:tcPr>
            <w:tcW w:type="dxa" w:w="6480"/>
            <w:shd w:fill="F7FAFC"/>
            <w:tcMar>
              <w:top w:w="100" w:type="dxa"/>
              <w:bottom w:w="100" w:type="dxa"/>
              <w:left w:w="150" w:type="dxa"/>
              <w:right w:w="150" w:type="dxa"/>
            </w:tcMar>
          </w:tcPr>
          <w:p>
            <w:r>
              <w:rPr>
                <w:rFonts w:ascii="Cambria Math" w:hAnsi="Cambria Math"/>
                <w:color w:val="2D3748"/>
                <w:sz w:val="19"/>
              </w:rPr>
              <w:t>C_{x}H_{y(g)}+(\frac{4x+y}{4})O_{2(g)}, \quad \pi=4, \quad C_{10}H_{14}</w:t>
            </w:r>
          </w:p>
        </w:tc>
      </w:tr>
      <w:tr>
        <w:tc>
          <w:tcPr>
            <w:tcW w:type="dxa" w:w="3600"/>
            <w:shd w:fill="FFFFFF"/>
            <w:tcMar>
              <w:top w:w="100" w:type="dxa"/>
              <w:bottom w:w="100" w:type="dxa"/>
              <w:left w:w="150" w:type="dxa"/>
              <w:right w:w="150" w:type="dxa"/>
            </w:tcMar>
          </w:tcPr>
          <w:p>
            <w:r>
              <w:rPr>
                <w:b/>
                <w:color w:val="1A365D"/>
                <w:sz w:val="19"/>
              </w:rPr>
              <w:t>Hydrocarbons — Standard Calculations &amp; Problem Archetypes</w:t>
            </w:r>
          </w:p>
        </w:tc>
        <w:tc>
          <w:tcPr>
            <w:tcW w:type="dxa" w:w="6480"/>
            <w:shd w:fill="FFFFFF"/>
            <w:tcMar>
              <w:top w:w="100" w:type="dxa"/>
              <w:bottom w:w="100" w:type="dxa"/>
              <w:left w:w="150" w:type="dxa"/>
              <w:right w:w="150" w:type="dxa"/>
            </w:tcMar>
          </w:tcPr>
          <w:p>
            <w:r>
              <w:rPr>
                <w:rFonts w:ascii="Cambria Math" w:hAnsi="Cambria Math"/>
                <w:color w:val="2D3748"/>
                <w:sz w:val="19"/>
              </w:rPr>
              <w:t>(Ph-CH=CH-CH_{3}) \rightarrow cis(Ph-CH=CH-CH_{3}), \quad H_{2}\overset{⊕}{N}O_{3}\vec{\le ftarrow}H_{2}O+\overset{⊕}{N}O_{2}, \quad S_{N}1</w:t>
            </w:r>
          </w:p>
        </w:tc>
      </w:tr>
      <w:tr>
        <w:tc>
          <w:tcPr>
            <w:tcW w:type="dxa" w:w="3600"/>
            <w:shd w:fill="F7FAFC"/>
            <w:tcMar>
              <w:top w:w="100" w:type="dxa"/>
              <w:bottom w:w="100" w:type="dxa"/>
              <w:left w:w="150" w:type="dxa"/>
              <w:right w:w="150" w:type="dxa"/>
            </w:tcMar>
          </w:tcPr>
          <w:p>
            <w:r>
              <w:rPr>
                <w:b/>
                <w:color w:val="1A365D"/>
                <w:sz w:val="19"/>
              </w:rPr>
              <w:t>Hydrocarbons — Core Principles &amp; Governing Laws</w:t>
            </w:r>
          </w:p>
        </w:tc>
        <w:tc>
          <w:tcPr>
            <w:tcW w:type="dxa" w:w="6480"/>
            <w:shd w:fill="F7FAFC"/>
            <w:tcMar>
              <w:top w:w="100" w:type="dxa"/>
              <w:bottom w:w="100" w:type="dxa"/>
              <w:left w:w="150" w:type="dxa"/>
              <w:right w:w="150" w:type="dxa"/>
            </w:tcMar>
          </w:tcPr>
          <w:p>
            <w:r>
              <w:rPr>
                <w:rFonts w:ascii="Cambria Math" w:hAnsi="Cambria Math"/>
                <w:color w:val="2D3748"/>
                <w:sz w:val="19"/>
              </w:rPr>
              <w:t>\frac{y}{2}, \quad \frac{y}{4}, \quad _{9}</w:t>
            </w:r>
          </w:p>
        </w:tc>
      </w:tr>
    </w:tbl>
    <w:p>
      <w:pPr>
        <w:spacing w:after="280"/>
      </w:pPr>
    </w:p>
    <w:p>
      <w:pPr>
        <w:pStyle w:val="Heading1"/>
      </w:pPr>
      <w:r>
        <w:rPr>
          <w:color w:val="1A365D"/>
          <w:sz w:val="28"/>
        </w:rPr>
        <w:t>3. Concept Deep-Dive &amp; Source PYQ Evidence</w:t>
      </w:r>
    </w:p>
    <w:p>
      <w:pPr>
        <w:pStyle w:val="Heading2"/>
      </w:pPr>
      <w:r>
        <w:rPr>
          <w:color w:val="2B6CB0"/>
          <w:sz w:val="24"/>
        </w:rPr>
        <w:t>3.1 Hydrocarbons — Applied Cases, Reactions &amp; Traps (Very High Yield — 129 PYQs)</w:t>
      </w:r>
    </w:p>
    <w:p>
      <w:r>
        <w:rPr>
          <w:b/>
          <w:sz w:val="20"/>
        </w:rPr>
        <w:t xml:space="preserve">Core Principle: </w:t>
      </w:r>
      <w:r>
        <w:rPr>
          <w:sz w:val="20"/>
        </w:rPr>
        <w:t>Special cases, experimental observations, and conceptual traps designed to test deep understanding of Hydrocarbons.</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Read questions carefully for keywords like 'incorrect', 'not true', or non-standard conditions.</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Elimination of extreme or unphysical answer choices improves accuracy in assertion-reason and multiple-statement questions.</w:t>
            </w:r>
          </w:p>
        </w:tc>
      </w:tr>
    </w:tbl>
    <w:p>
      <w:pPr>
        <w:spacing w:before="120" w:after="40"/>
      </w:pPr>
      <w:r>
        <w:rPr>
          <w:b/>
          <w:color w:val="1A365D"/>
          <w:sz w:val="19"/>
        </w:rPr>
        <w:t>Source PYQs testing this concept:</w:t>
      </w:r>
    </w:p>
    <w:p>
      <w:pPr>
        <w:pStyle w:val="ListBullet"/>
        <w:spacing w:after="40"/>
      </w:pPr>
      <w:r>
        <w:rPr>
          <w:b/>
          <w:sz w:val="18"/>
        </w:rPr>
        <w:t xml:space="preserve">[2026 Evening Shift] Q#1 (MCQ): </w:t>
      </w:r>
      <w:r>
        <w:rPr>
          <w:sz w:val="18"/>
        </w:rPr>
        <w:t xml:space="preserve">"The major product of which of the following reaction is not obtained by rearrangement reaction?..."  </w:t>
      </w:r>
      <w:r>
        <w:rPr>
          <w:b/>
          <w:color w:val="2B6CB0"/>
          <w:sz w:val="18"/>
        </w:rPr>
        <w:t>[Ans: N/A]</w:t>
      </w:r>
    </w:p>
    <w:p>
      <w:pPr>
        <w:pStyle w:val="ListBullet"/>
        <w:spacing w:after="40"/>
      </w:pPr>
      <w:r>
        <w:rPr>
          <w:b/>
          <w:sz w:val="18"/>
        </w:rPr>
        <w:t xml:space="preserve">[2026 Evening Shift] Q#1 (MCQ): </w:t>
      </w:r>
      <w:r>
        <w:rPr>
          <w:sz w:val="18"/>
        </w:rPr>
        <w:t xml:space="preserve">"The dibromo compound [P] (molecular formula: C_(9)H_(10)Br_(2) ) when heated with excess sodamide followed by treatment with dilute HCl ..."  </w:t>
      </w:r>
      <w:r>
        <w:rPr>
          <w:b/>
          <w:color w:val="2B6CB0"/>
          <w:sz w:val="18"/>
        </w:rPr>
        <w:t>[Ans: N/A]</w:t>
      </w:r>
    </w:p>
    <w:p>
      <w:pPr>
        <w:pStyle w:val="ListBullet"/>
        <w:spacing w:after="40"/>
      </w:pPr>
      <w:r>
        <w:rPr>
          <w:b/>
          <w:sz w:val="18"/>
        </w:rPr>
        <w:t xml:space="preserve">[2026 Evening Shift] Q#1 (Numerical): </w:t>
      </w:r>
      <w:r>
        <w:rPr>
          <w:sz w:val="18"/>
        </w:rPr>
        <w:t xml:space="preserve">"Consider the following reaction of benzene. In compound (Q) , the percentage of oxygen is ____ %. (Nearest integer)..."  </w:t>
      </w:r>
      <w:r>
        <w:rPr>
          <w:b/>
          <w:color w:val="2B6CB0"/>
          <w:sz w:val="18"/>
        </w:rPr>
        <w:t>[Ans: 10]</w:t>
      </w:r>
    </w:p>
    <w:p>
      <w:pPr>
        <w:spacing w:after="120"/>
      </w:pPr>
    </w:p>
    <w:p>
      <w:pPr>
        <w:pStyle w:val="Heading2"/>
      </w:pPr>
      <w:r>
        <w:rPr>
          <w:color w:val="2B6CB0"/>
          <w:sz w:val="24"/>
        </w:rPr>
        <w:t>3.2 Hydrocarbons — Standard Calculations &amp; Problem Archetypes (Very High Yield — 36 PYQs)</w:t>
      </w:r>
    </w:p>
    <w:p>
      <w:r>
        <w:rPr>
          <w:b/>
          <w:sz w:val="20"/>
        </w:rPr>
        <w:t xml:space="preserve">Core Principle: </w:t>
      </w:r>
      <w:r>
        <w:rPr>
          <w:sz w:val="20"/>
        </w:rPr>
        <w:t>Quantitative numerical problem-solving techniques and standard question patterns frequently seen in Hydrocarbons.</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Watch for algebraic rounding, stoichiometric balancing, and boundary condition checks.</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Dimensional consistency checks and ratio comparisons can quickly eliminate incorrect options.</w:t>
            </w:r>
          </w:p>
        </w:tc>
      </w:tr>
    </w:tbl>
    <w:p>
      <w:pPr>
        <w:spacing w:before="120" w:after="40"/>
      </w:pPr>
      <w:r>
        <w:rPr>
          <w:b/>
          <w:color w:val="1A365D"/>
          <w:sz w:val="19"/>
        </w:rPr>
        <w:t>Source PYQs testing this concept:</w:t>
      </w:r>
    </w:p>
    <w:p>
      <w:pPr>
        <w:pStyle w:val="ListBullet"/>
        <w:spacing w:after="40"/>
      </w:pPr>
      <w:r>
        <w:rPr>
          <w:b/>
          <w:sz w:val="18"/>
        </w:rPr>
        <w:t xml:space="preserve">[2026 Evening Shift] Q#1 (MCQ): </w:t>
      </w:r>
      <w:r>
        <w:rPr>
          <w:sz w:val="18"/>
        </w:rPr>
        <w:t xml:space="preserve">"Identify the correct IUPAC name of hydrocarbon (x) containing three primary carbon atoms and with molar mass 72gmol^-1 ...."  </w:t>
      </w:r>
      <w:r>
        <w:rPr>
          <w:b/>
          <w:color w:val="2B6CB0"/>
          <w:sz w:val="18"/>
        </w:rPr>
        <w:t>[Ans: N/A]</w:t>
      </w:r>
    </w:p>
    <w:p>
      <w:pPr>
        <w:pStyle w:val="ListBullet"/>
        <w:spacing w:after="40"/>
      </w:pPr>
      <w:r>
        <w:rPr>
          <w:b/>
          <w:sz w:val="18"/>
        </w:rPr>
        <w:t xml:space="preserve">[2026 Morning Shift] Q#1 (MCQ): </w:t>
      </w:r>
      <w:r>
        <w:rPr>
          <w:sz w:val="18"/>
        </w:rPr>
        <w:t xml:space="preserve">"Arrange the following alkenes in decreasing order of stability. Choose the correct answer from the options given below:..."  </w:t>
      </w:r>
      <w:r>
        <w:rPr>
          <w:b/>
          <w:color w:val="2B6CB0"/>
          <w:sz w:val="18"/>
        </w:rPr>
        <w:t>[Ans: N/A]</w:t>
      </w:r>
    </w:p>
    <w:p>
      <w:pPr>
        <w:pStyle w:val="ListBullet"/>
        <w:spacing w:after="40"/>
      </w:pPr>
      <w:r>
        <w:rPr>
          <w:b/>
          <w:sz w:val="18"/>
        </w:rPr>
        <w:t xml:space="preserve">[2026 Evening Shift] Q#1 (Numerical): </w:t>
      </w:r>
      <w:r>
        <w:rPr>
          <w:sz w:val="18"/>
        </w:rPr>
        <w:t xml:space="preserve">"Consider the following reaction of benzene. In compound (Q) , the percentage of oxygen is ____ %. (Nearest integer)..."  </w:t>
      </w:r>
      <w:r>
        <w:rPr>
          <w:b/>
          <w:color w:val="2B6CB0"/>
          <w:sz w:val="18"/>
        </w:rPr>
        <w:t>[Ans: 10]</w:t>
      </w:r>
    </w:p>
    <w:p>
      <w:pPr>
        <w:spacing w:after="120"/>
      </w:pPr>
    </w:p>
    <w:p>
      <w:pPr>
        <w:pStyle w:val="Heading2"/>
      </w:pPr>
      <w:r>
        <w:rPr>
          <w:color w:val="2B6CB0"/>
          <w:sz w:val="24"/>
        </w:rPr>
        <w:t>3.3 Hydrocarbons — Core Principles &amp; Governing Laws (Very High Yield — 15 PYQs)</w:t>
      </w:r>
    </w:p>
    <w:p>
      <w:r>
        <w:rPr>
          <w:b/>
          <w:sz w:val="20"/>
        </w:rPr>
        <w:t xml:space="preserve">Core Principle: </w:t>
      </w:r>
      <w:r>
        <w:rPr>
          <w:sz w:val="20"/>
        </w:rPr>
        <w:t>Fundamental definitions, core postulates, and governing physical/chemical relations in Hydrocarbons.</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Carefully verify units, standard reference states, and sign conventions in Hydrocarbons.</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Focus on high-yield formulas and standard limiting approximations tested in Hydrocarbons PYQs.</w:t>
            </w:r>
          </w:p>
        </w:tc>
      </w:tr>
    </w:tbl>
    <w:p>
      <w:pPr>
        <w:spacing w:before="120" w:after="40"/>
      </w:pPr>
      <w:r>
        <w:rPr>
          <w:b/>
          <w:color w:val="1A365D"/>
          <w:sz w:val="19"/>
        </w:rPr>
        <w:t>Source PYQs testing this concept:</w:t>
      </w:r>
    </w:p>
    <w:p>
      <w:pPr>
        <w:pStyle w:val="ListBullet"/>
        <w:spacing w:after="40"/>
      </w:pPr>
      <w:r>
        <w:rPr>
          <w:b/>
          <w:sz w:val="18"/>
        </w:rPr>
        <w:t xml:space="preserve">[2026 Morning Shift] Q#3 (MCQ): </w:t>
      </w:r>
      <w:r>
        <w:rPr>
          <w:sz w:val="18"/>
        </w:rPr>
        <w:t xml:space="preserve">"Given below are two statements : Statement I : Methane can be prepared by decarboxylation of sodium ethanoate, Kolbe's electrolysis of sodiu..."  </w:t>
      </w:r>
      <w:r>
        <w:rPr>
          <w:b/>
          <w:color w:val="2B6CB0"/>
          <w:sz w:val="18"/>
        </w:rPr>
        <w:t>[Ans: D]</w:t>
      </w:r>
    </w:p>
    <w:p>
      <w:pPr>
        <w:pStyle w:val="ListBullet"/>
        <w:spacing w:after="40"/>
      </w:pPr>
      <w:r>
        <w:rPr>
          <w:b/>
          <w:sz w:val="18"/>
        </w:rPr>
        <w:t xml:space="preserve">[2026 Morning Shift] Q#3 (MCQ): </w:t>
      </w:r>
      <w:r>
        <w:rPr>
          <w:sz w:val="18"/>
        </w:rPr>
        <w:t xml:space="preserve">"An alkene(X)on ozonolysis followed by reduction gives following products. The alkene(X)is :..."  </w:t>
      </w:r>
      <w:r>
        <w:rPr>
          <w:b/>
          <w:color w:val="2B6CB0"/>
          <w:sz w:val="18"/>
        </w:rPr>
        <w:t>[Ans: N/A]</w:t>
      </w:r>
    </w:p>
    <w:p>
      <w:pPr>
        <w:pStyle w:val="ListBullet"/>
        <w:spacing w:after="40"/>
      </w:pPr>
      <w:r>
        <w:rPr>
          <w:b/>
          <w:sz w:val="18"/>
        </w:rPr>
        <w:t xml:space="preserve">[2026 Evening Shift] Q#3 (MCQ): </w:t>
      </w:r>
      <w:r>
        <w:rPr>
          <w:sz w:val="18"/>
        </w:rPr>
        <w:t xml:space="preserve">"The final product[B]is :..."  </w:t>
      </w:r>
      <w:r>
        <w:rPr>
          <w:b/>
          <w:color w:val="2B6CB0"/>
          <w:sz w:val="18"/>
        </w:rPr>
        <w:t>[Ans: N/A]</w:t>
      </w:r>
    </w:p>
    <w:p>
      <w:pPr>
        <w:spacing w:after="120"/>
      </w:pPr>
    </w:p>
    <w:p>
      <w:pPr>
        <w:pStyle w:val="Heading1"/>
      </w:pPr>
      <w:r>
        <w:rPr>
          <w:color w:val="1A365D"/>
          <w:sz w:val="28"/>
        </w:rPr>
        <w:t>4. Benchmark Illustrative PYQs &amp; Master Solutions</w:t>
      </w:r>
    </w:p>
    <w:p>
      <w:pPr>
        <w:spacing w:before="160" w:after="40"/>
      </w:pPr>
      <w:r>
        <w:rPr>
          <w:b/>
          <w:color w:val="1A365D"/>
          <w:sz w:val="22"/>
        </w:rPr>
        <w:t>Benchmark Problem 1: JEE Main 2026 (Online) 23rd January Evening Shift (Q#1)</w:t>
      </w:r>
    </w:p>
    <w:p>
      <w:pPr>
        <w:spacing w:after="80"/>
      </w:pPr>
      <w:r>
        <w:rPr>
          <w:sz w:val="20"/>
        </w:rPr>
        <w:t>Consider the following reaction of benzene. In compound (Q) , the percentage of oxygen is ____ %. (Nearest integer)</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10</w:t>
              <w:br/>
            </w:r>
            <w:r>
              <w:rPr>
                <w:color w:val="2D3748"/>
                <w:sz w:val="18"/>
              </w:rPr>
              <w:t>Solution Analysis:</w:t>
              <w:br/>
              <w:t>Molecular mass of compound Q is 157 . In Q , oxygen contributes mass 16 (for one oxygen atom). So, percentage of oxygen in Q is %of oxygen in product ’Q’ is=(16 / 157) × 100=10.19% Nearest integer =10 %.</w:t>
            </w:r>
          </w:p>
        </w:tc>
      </w:tr>
    </w:tbl>
    <w:p>
      <w:pPr>
        <w:spacing w:after="120"/>
      </w:pPr>
    </w:p>
    <w:p>
      <w:pPr>
        <w:spacing w:before="160" w:after="40"/>
      </w:pPr>
      <w:r>
        <w:rPr>
          <w:b/>
          <w:color w:val="1A365D"/>
          <w:sz w:val="22"/>
        </w:rPr>
        <w:t>Benchmark Problem 2: JEE Main 2026 (Online) 6th April Morning Shift (Q#3)</w:t>
      </w:r>
    </w:p>
    <w:p>
      <w:pPr>
        <w:spacing w:after="80"/>
      </w:pPr>
      <w:r>
        <w:rPr>
          <w:sz w:val="20"/>
        </w:rPr>
        <w:t>Given below are two statements : Statement I : Methane can be prepared by decarboxylation of sodium ethanoate, Kolbe's electrolysis of sodium acetate and reaction of CH_(3)MgBr with water. Statement II : Methane cannot be prepared from unsaturated hydrocarbons and by Wurtz reaction. In the light of the above statements, choose the correct answer from the options given below</w:t>
      </w:r>
    </w:p>
    <w:p>
      <w:pPr>
        <w:pStyle w:val="ListBullet"/>
        <w:spacing w:after="20"/>
      </w:pPr>
      <w:r>
        <w:rPr>
          <w:sz w:val="19"/>
        </w:rPr>
        <w:t>(A) Both Statement I and Statement II are true</w:t>
      </w:r>
    </w:p>
    <w:p>
      <w:pPr>
        <w:pStyle w:val="ListBullet"/>
        <w:spacing w:after="20"/>
      </w:pPr>
      <w:r>
        <w:rPr>
          <w:sz w:val="19"/>
        </w:rPr>
        <w:t>(B) Both Statement I and Statement II are false</w:t>
      </w:r>
    </w:p>
    <w:p>
      <w:pPr>
        <w:pStyle w:val="ListBullet"/>
        <w:spacing w:after="20"/>
      </w:pPr>
      <w:r>
        <w:rPr>
          <w:sz w:val="19"/>
        </w:rPr>
        <w:t>(C) Statement I is true but Statement II is false</w:t>
      </w:r>
    </w:p>
    <w:p>
      <w:pPr>
        <w:pStyle w:val="ListBullet"/>
        <w:spacing w:after="20"/>
      </w:pPr>
      <w:r>
        <w:rPr>
          <w:b/>
          <w:color w:val="276749"/>
          <w:sz w:val="19"/>
        </w:rPr>
        <w:t>(D) Statement I is false but Statement II is true</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D</w:t>
              <w:br/>
            </w:r>
            <w:r>
              <w:rPr>
                <w:color w:val="2D3748"/>
                <w:sz w:val="18"/>
              </w:rPr>
              <w:t>Solution Analysis:</w:t>
              <w:br/>
              <w:t>Analysis of Statement I Statement I says: "Methane can be prepared by decarboxylation of sodium ethanoate, Kolbe's electrolysis of sodium acetate and reaction of CH_(3)MgBr with water." Decarboxylation of sodium ethanoate: This reaction involves heating a sodium salt of a carboxylic acid with soda-lime (a mixture of NaOH and CaO). The general reaction is the removal of a carboxyl group. For sodium ethanoate ( CH_(3)COONa ), the reaction is: CH_(3)COONa+NaOHvec(→ ≤ ftarrow)CH_(4)+Na_(2)CO_(3) As you can see, methane ( CH_(4) ) is indeed the product. So, this part is correct. Kolbe's electrolysis of sodium acetate: Kolbe's electrolytic method involves the electrolysis of an aqueous solution of a sodium or potassium salt of a carboxylic acid. For sodium acetate ( CH_(3)COONa ), at the anode, the acetate ions lose electrons and form methyl free radicals, which then combine to form ethane. At Anode: 2CH_(3)COO^- → 2vec(C)H_(3)+2CO_(2)+2e^- vec(C)H_(3)+vec(C)H_(3) → CH_(3)-CH_(3)(Ethane) The product is ethane, not methane. As per our NCERT textbook, this method is used to prepare symmetrical alkanes with an even number of carbon atoms. Methane cannot be prepared by this method. Reaction of CH_(3)MgBr with water: CH_(3)MgBr is a Grignard reagent (methylmagnesium bromide). Grignard reagents are highly reactive and react with any source of a proton, such as water, to form hydrocarbons. The reaction is: CH_(3)MgBr+H_(2)O → CH_(4)+Mg(OH)Br Here, the methyl group from the Grignard reagent takes a hydrogen atom from water to form methane ( CH_(4) ). So, this part is also correct. Conclusion for Statement I: The statement claims that methane can be prepared by all three methods. Since Kolbe's electrolysis of sodium acetate produces ethane and not methane, the entire statement becomes false . Analysis of Statement II Statement II says: "Methane cannot be prepared from unsaturated hydrocarbons and by Wurtz reaction." Let's check both parts. Preparation from unsaturated hydrocarbons: Alkanes are prepared from unsaturated hydrocarbons (alkenes and alkynes) by hydrogenation, which is the addition of hydrogen ( H_(2) ) across the double or triple bond. For example: CH_(2)=CH_(2)(Ethene)+H_(2)vec(→ ≤ ftarrow)CH_(3)-CH_(3)(Ethane) To prepare methane ( CH_(4) ), which has only one carbon atom, we would need an unsaturated hydrocarbon with one carbon atom. The smallest alkene (ethene) and alkyne (ethyne) have two carbon atoms. A one-carbon alkene or alkyne is not possible. Therefore, methane cannot be prepared by the hydrogenation of unsaturated hydrocarbons. This part is correct. Preparation by Wurtz reaction: The Wurtz reaction involves the treatment of alkyl halides with sodium metal in dry ether to produce higher alkanes. It essentially joins two alkyl groups together. The general reaction is: 2R-X+2Navec(→ ≤ ftarrow)R-R+2NaX This reaction always results in an alkane with an even number of carbon atoms, and it doubles the carbon chain. To prepare methane ( CH_(4) ), which has only one carbon atom, we would need to start with an alkyl halide having half a carbon atom, which is impossible. If we use the smallest alkyl halide, methyl chloride ( CH_(3)Cl ), the Wurtz reaction would give ethane: 2CH_(3)Cl+2Navec(→ ≤ ftarrow)CH_(3)-CH_(3)(Ethane)+2NaCl So, methane cannot be prepared by the Wurtz reaction. This part is also correct. Conclusion for Statement II: Both parts of the statement are correct. Methane indeed cannot be prepared from unsaturated hydrocarbons or by the Wurtz reaction. Therefore, Statement II is true . Final Decision Statement I is false . Statement II is true . Looking at the options, this corresponds to the choice where Statement I is false and Statement II is true. The correct answer is Option D .</w:t>
            </w:r>
          </w:p>
        </w:tc>
      </w:tr>
    </w:tbl>
    <w:p>
      <w:pPr>
        <w:spacing w:after="120"/>
      </w:pPr>
    </w:p>
    <w:p>
      <w:pPr>
        <w:spacing w:before="160" w:after="40"/>
      </w:pPr>
      <w:r>
        <w:rPr>
          <w:b/>
          <w:color w:val="1A365D"/>
          <w:sz w:val="22"/>
        </w:rPr>
        <w:t>Benchmark Problem 3: JEE Main 2025 (Online) 29th January Morning Shift (Q#4)</w:t>
      </w:r>
    </w:p>
    <w:p>
      <w:pPr>
        <w:spacing w:after="80"/>
      </w:pPr>
      <w:r>
        <w:rPr>
          <w:sz w:val="20"/>
        </w:rPr>
        <w:t>The sum of sigma (σ) and pi (π) bonds in Hex-1,3-dien-5-yne is ________.</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15</w:t>
              <w:br/>
            </w:r>
            <w:r>
              <w:rPr>
                <w:color w:val="2D3748"/>
                <w:sz w:val="18"/>
              </w:rPr>
              <w:t>Solution Analysis:</w:t>
              <w:br/>
              <w:t>The compound given is hex-1,3-dien-5-yne structure is A doble bond has one π bond and one sigma bond. A triple bond has one sigma bond and two π bonds. For the one triple bond, number of π bonds = 2 For one double bond, number of π bond = 1 For two double bonds, number of π bonds = 2 So, total number of π bonds = 2 + 2 = 4 For sigma bonds, count all carbon - carbon bonds and carbon - hydrogen bonds except the π bonds in double bonds and triple bond. The total number of sigma bonds = 11 So, total number of bonds: σ=11 π=4 Sum of σ and π bonds =11+4=15</w:t>
            </w:r>
          </w:p>
        </w:tc>
      </w:tr>
    </w:tbl>
    <w:p>
      <w:pPr>
        <w:spacing w:after="120"/>
      </w:pP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