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0"/>
      </w:pPr>
      <w:r>
        <w:t xml:space="preserve"/>
      </w:r>
    </w:p>
    <w:p>
      <w:pPr>
        <w:spacing w:before="0" w:after="40"/>
        <w:jc w:val="center"/>
      </w:pPr>
      <w:r>
        <w:rPr>
          <w:rFonts w:ascii="Arial" w:cs="Arial" w:eastAsia="Arial" w:hAnsi="Arial"/>
          <w:b/>
          <w:bCs/>
          <w:caps/>
          <w:color w:val="2563EB"/>
          <w:sz w:val="20"/>
          <w:szCs w:val="20"/>
        </w:rPr>
        <w:t xml:space="preserve">LIFE OS — LAUNCH &amp; FUNDRAISING</w:t>
      </w:r>
    </w:p>
    <w:p>
      <w:pPr>
        <w:spacing w:before="0" w:after="40"/>
        <w:jc w:val="center"/>
      </w:pPr>
      <w:r>
        <w:rPr>
          <w:rFonts w:ascii="Arial" w:cs="Arial" w:eastAsia="Arial" w:hAnsi="Arial"/>
          <w:b/>
          <w:bCs/>
          <w:color w:val="0D1117"/>
          <w:sz w:val="60"/>
          <w:szCs w:val="60"/>
        </w:rPr>
        <w:t xml:space="preserve">The Complete Founder Playbook</w:t>
      </w:r>
    </w:p>
    <w:p>
      <w:pPr>
        <w:spacing w:before="0" w:after="80"/>
        <w:jc w:val="center"/>
      </w:pPr>
      <w:r>
        <w:rPr>
          <w:rFonts w:ascii="Arial" w:cs="Arial" w:eastAsia="Arial" w:hAnsi="Arial"/>
          <w:color w:val="64748B"/>
          <w:sz w:val="22"/>
          <w:szCs w:val="22"/>
        </w:rPr>
        <w:t xml:space="preserve">From Idea to Launch to Series A — Every Step, Every Document, Every Meeting</w:t>
      </w:r>
    </w:p>
    <w:p>
      <w:pPr>
        <w:pBdr>
          <w:bottom w:val="single" w:color="2563EB" w:sz="10" w:space="1"/>
        </w:pBdr>
        <w:spacing w:before="0" w:after="20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334155"/>
                <w:sz w:val="20"/>
                <w:szCs w:val="20"/>
              </w:rPr>
              <w:t xml:space="preserve">Covers</w:t>
            </w:r>
          </w:p>
        </w:tc>
        <w:tc>
          <w:tcPr>
            <w:tcW w:type="dxa" w:w="70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Pre-launch checklist · Legal setup · Tech launch · MVP scope · Pitch strategy · Investor targeting · Term sheets · Post-funding execution</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334155"/>
                <w:sz w:val="20"/>
                <w:szCs w:val="20"/>
              </w:rPr>
              <w:t xml:space="preserve">For</w:t>
            </w:r>
          </w:p>
        </w:tc>
        <w:tc>
          <w:tcPr>
            <w:tcW w:type="dxa" w:w="70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First-time founder launching a youth productivity app — no prior fundraising experience assumed</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334155"/>
                <w:sz w:val="20"/>
                <w:szCs w:val="20"/>
              </w:rPr>
              <w:t xml:space="preserve">Funding Path</w:t>
            </w:r>
          </w:p>
        </w:tc>
        <w:tc>
          <w:tcPr>
            <w:tcW w:type="dxa" w:w="70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Bootstrapped MVP → Angel / Pre-Seed (₹50L–₹2Cr) → Seed Round (₹2Cr–₹10Cr) → Series A (₹20Cr+)</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334155"/>
                <w:sz w:val="20"/>
                <w:szCs w:val="20"/>
              </w:rPr>
              <w:t xml:space="preserve">Timeline</w:t>
            </w:r>
          </w:p>
        </w:tc>
        <w:tc>
          <w:tcPr>
            <w:tcW w:type="dxa" w:w="70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Month 0–3: Launch ready. Month 3–6: Traction. Month 6–12: Raise Pre-Seed/Seed.</w:t>
            </w:r>
          </w:p>
        </w:tc>
      </w:tr>
    </w:tbl>
    <w:p>
      <w:pPr>
        <w:spacing w:before="400" w:after="4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2563EB"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01</w:t>
            </w:r>
          </w:p>
        </w:tc>
        <w:tc>
          <w:tcPr>
            <w:tcW w:type="dxa" w:w="8400"/>
            <w:tcBorders>
              <w:top w:val="none" w:color="FFFFFF" w:sz="0"/>
              <w:left w:val="none" w:color="FFFFFF" w:sz="0"/>
              <w:bottom w:val="none" w:color="FFFFFF" w:sz="0"/>
              <w:right w:val="none" w:color="FFFFFF" w:sz="0"/>
            </w:tcBorders>
            <w:shd w:fill="2563EB"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Pre-Launch Master Checklist</w:t>
            </w:r>
          </w:p>
          <w:p>
            <w:pPr>
              <w:spacing w:before="0" w:after="0"/>
            </w:pPr>
            <w:r>
              <w:rPr>
                <w:rFonts w:ascii="Arial" w:cs="Arial" w:eastAsia="Arial" w:hAnsi="Arial"/>
                <w:color w:val="BBCCDD"/>
                <w:sz w:val="18"/>
                <w:szCs w:val="18"/>
              </w:rPr>
              <w:t xml:space="preserve">Every box that must be ticked before Day 1 on the Play Store</w:t>
            </w:r>
          </w:p>
        </w:tc>
      </w:tr>
    </w:tbl>
    <w:p>
      <w:pPr>
        <w:spacing w:before="120" w:after="120"/>
      </w:pPr>
      <w:r>
        <w:t xml:space="preserve"/>
      </w:r>
    </w:p>
    <w:p>
      <w:pPr>
        <w:spacing w:before="360" w:after="60"/>
      </w:pPr>
      <w:r>
        <w:rPr>
          <w:rFonts w:ascii="Arial" w:cs="Arial" w:eastAsia="Arial" w:hAnsi="Arial"/>
          <w:b/>
          <w:bCs/>
          <w:caps/>
          <w:color w:val="2563EB"/>
          <w:sz w:val="16"/>
          <w:szCs w:val="16"/>
        </w:rPr>
        <w:t xml:space="preserve">PART 1 — PRE-LAUNCH</w:t>
      </w:r>
    </w:p>
    <w:p>
      <w:pPr>
        <w:pStyle w:val="Heading1"/>
        <w:spacing w:before="40" w:after="120"/>
      </w:pPr>
      <w:r>
        <w:rPr>
          <w:rFonts w:ascii="Arial" w:cs="Arial" w:eastAsia="Arial" w:hAnsi="Arial"/>
          <w:b/>
          <w:bCs/>
          <w:color w:val="0D1117"/>
          <w:sz w:val="40"/>
          <w:szCs w:val="40"/>
        </w:rPr>
        <w:t xml:space="preserve">Pre-Launch Master Checklist</w:t>
      </w:r>
    </w:p>
    <w:p>
      <w:pPr>
        <w:pBdr>
          <w:bottom w:val="single" w:color="2563EB" w:sz="6" w:space="1"/>
        </w:pBdr>
        <w:spacing w:before="0" w:after="200"/>
      </w:pPr>
      <w:r>
        <w:t xml:space="preserve"/>
      </w:r>
    </w:p>
    <w:p>
      <w:pPr>
        <w:spacing w:before="60" w:after="60"/>
      </w:pPr>
      <w:r>
        <w:t xml:space="preserve"/>
      </w:r>
    </w:p>
    <w:p>
      <w:pPr>
        <w:spacing w:before="40" w:after="140"/>
      </w:pPr>
      <w:r>
        <w:rPr>
          <w:rFonts w:ascii="Arial" w:cs="Arial" w:eastAsia="Arial" w:hAnsi="Arial"/>
          <w:color w:val="0F172A"/>
          <w:sz w:val="20"/>
          <w:szCs w:val="20"/>
        </w:rPr>
        <w:t xml:space="preserve">Launching an app without these foundations in place creates legal liability, investor distrust, and technical debt that kills startups. Complete every item before publishing.</w:t>
      </w:r>
    </w:p>
    <w:p>
      <w:pPr>
        <w:spacing w:before="80" w:after="80"/>
      </w:pPr>
      <w:r>
        <w:t xml:space="preserve"/>
      </w:r>
    </w:p>
    <w:p>
      <w:pPr>
        <w:pStyle w:val="Heading2"/>
        <w:spacing w:before="280" w:after="100"/>
      </w:pPr>
      <w:r>
        <w:rPr>
          <w:rFonts w:ascii="Arial" w:cs="Arial" w:eastAsia="Arial" w:hAnsi="Arial"/>
          <w:b/>
          <w:bCs/>
          <w:color w:val="0D1117"/>
          <w:sz w:val="26"/>
          <w:szCs w:val="26"/>
        </w:rPr>
        <w:t xml:space="preserve">1.1  Legal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Item</w:t>
            </w:r>
          </w:p>
        </w:tc>
        <w:tc>
          <w:tcPr>
            <w:tcW w:type="dxa" w:w="468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Why It Is Critical</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Register your company (Private Limited recommended)</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Required to open a bank account, receive investor funds, issue equity, and sign contracts. Pvt Ltd is the only investor-compatible structure in India. Use Razorpay Rize, Startupwala, or a CA to register in under 7 days at ~₹6,000–₹10,000.</w:t>
            </w:r>
          </w:p>
        </w:tc>
      </w:tr>
      <w:tr>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Obtain DPIIT Startup India recognition</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Unlocks 80-IAC income tax exemption (3 years), fast-track IP, and government scheme access. Apply at startupindia.gov.in — takes 2–4 weeks. Free.</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File trademark for app name and logo</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Without a trademark, anyone can copy your brand. File under Class 42 (software/technology services). Cost: ~₹4,500 per class. File on ipindia.gov.in. Start early — grants take 18–24 months.</w:t>
            </w:r>
          </w:p>
        </w:tc>
      </w:tr>
      <w:tr>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Draft and publish Privacy Policy</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Legally required by Google Play, Apple App Store, and Indian IT Act 2000. Must cover: data collected, storage location, third-party sharing, user rights, deletion process. Use a lawyer or legal template service.</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Draft Terms of Service agreement</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Defines acceptable use, liability limits, subscription terms, and dispute resolution. Required before accepting any payment. Protects you from legal claims by users.</w:t>
            </w:r>
          </w:p>
        </w:tc>
      </w:tr>
      <w:tr>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GDPR compliance (if targeting EU users)</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Required even if EU users are a small percentage. Implement cookie consent, data export, and account deletion. Non-compliance fines are up to 4% of global turnover.</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Open a current account + payment gateway</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Required to receive subscription revenue. Open a current account with RazorpayX, ICICI Startup Banking, or HDFC SmartUp. Integrate Razorpay or Stripe for subscription billing.</w:t>
            </w:r>
          </w:p>
        </w:tc>
      </w:tr>
      <w:tr>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Assign IP ownership to company</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If any code was written before company registration, every founder must sign an IP Assignment Agreement transferring all rights to the company. Investors will flag this if not done.</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Founders Agreement (co-founders only)</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Defines equity split, vesting schedule (standard: 4-year vest, 1-year cliff), roles, decision-making rights, and what happens if a founder leaves. Without this, co-founder disputes can kill the company.</w:t>
            </w:r>
          </w:p>
        </w:tc>
      </w:tr>
    </w:tbl>
    <w:p>
      <w:pPr>
        <w:spacing w:before="120" w:after="120"/>
      </w:pPr>
      <w:r>
        <w:t xml:space="preserve"/>
      </w:r>
    </w:p>
    <w:p>
      <w:pPr>
        <w:pStyle w:val="Heading2"/>
        <w:spacing w:before="280" w:after="100"/>
      </w:pPr>
      <w:r>
        <w:rPr>
          <w:rFonts w:ascii="Arial" w:cs="Arial" w:eastAsia="Arial" w:hAnsi="Arial"/>
          <w:b/>
          <w:bCs/>
          <w:color w:val="0D1117"/>
          <w:sz w:val="26"/>
          <w:szCs w:val="26"/>
        </w:rPr>
        <w:t xml:space="preserve">1.2  Financial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Item</w:t>
            </w:r>
          </w:p>
        </w:tc>
        <w:tc>
          <w:tcPr>
            <w:tcW w:type="dxa" w:w="624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Specification</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Open company bank account</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ICICI Startup Smart Account or RazorpayX — both offer zero-balance startup accounts with good API integration for automated finance tracking.</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Set up accounting software</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Zoho Books or QuickBooks India. Track every expense from Day 1 — investors will ask for 12-month financial history. GST-ready.</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Register for GST (if revenue &gt; ₹20L)</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Mandatory once annual revenue crosses ₹20 lakhs. Apply proactively if targeting B2B (institution clients need GST invoice). GSTIN obtained in 3–5 working days.</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Create a financial model</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12-month P&amp;L projection: costs (hosting, marketing, salaries, tools), revenue (subscriptions by tier), CAC, LTV, burn rate, and runway. This is mandatory for investor meetings.</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Define your burn rate and runway</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Burn rate = monthly expenses. Runway = cash in bank / burn rate. You need minimum 18 months runway post-funding before you run out. Never raise with &lt;6 months runway left.</w:t>
            </w:r>
          </w:p>
        </w:tc>
      </w:tr>
    </w:tbl>
    <w:p>
      <w:pPr>
        <w:spacing w:before="120" w:after="120"/>
      </w:pPr>
      <w:r>
        <w:t xml:space="preserve"/>
      </w:r>
    </w:p>
    <w:p>
      <w:pPr>
        <w:pStyle w:val="Heading2"/>
        <w:spacing w:before="280" w:after="100"/>
      </w:pPr>
      <w:r>
        <w:rPr>
          <w:rFonts w:ascii="Arial" w:cs="Arial" w:eastAsia="Arial" w:hAnsi="Arial"/>
          <w:b/>
          <w:bCs/>
          <w:color w:val="0D1117"/>
          <w:sz w:val="26"/>
          <w:szCs w:val="26"/>
        </w:rPr>
        <w:t xml:space="preserve">1.3  Technical Launch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Item</w:t>
            </w:r>
          </w:p>
        </w:tc>
        <w:tc>
          <w:tcPr>
            <w:tcW w:type="dxa" w:w="624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Standard Required</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Play Store Developer account</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One-time $25 registration fee. Register as organization (not individual) — required for Billing API and institutional features. 2–3 days for account verification.</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Production database setup</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Supabase Pro plan minimum (not free tier — no SLAs on free). Enable daily backups. Set up Row Level Security for all user data tables before any public users.</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Error monitoring live</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Sentry integrated and verified working before launch. You need to know about crashes before users leave 1-star reviews.</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Analytics instrumented</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PostHog or Mixpanel tracking: installs, onboarding step completion, task completion, habit streaks, Pro conversion events. Without analytics you cannot improve what you cannot measure.</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Stripe/Razorpay billing tested</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End-to-end test: free signup → Pro upgrade → payment success → feature unlock → subscription renewal → cancellation. Every path tested on real device.</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Play Store Data Safety form</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Accurately declare all data types collected, purposes, and sharing. Inaccurate declarations = app removal. Consult Privacy Policy when filling.</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App tested on budget Android devices</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Test on Redmi Note series (₹10,000–₹15,000 range) — the primary device of your target market. Performance on flagship phones is irrelevant if budget device is broken.</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Beta tested with minimum 100 real users</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Minimum 100 users from target demographic, 2 weeks of daily use, NPS score collected. Launch only after NPS &gt; 30. Below 30 = product needs work before public launch.</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59669"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02</w:t>
            </w:r>
          </w:p>
        </w:tc>
        <w:tc>
          <w:tcPr>
            <w:tcW w:type="dxa" w:w="8400"/>
            <w:tcBorders>
              <w:top w:val="none" w:color="FFFFFF" w:sz="0"/>
              <w:left w:val="none" w:color="FFFFFF" w:sz="0"/>
              <w:bottom w:val="none" w:color="FFFFFF" w:sz="0"/>
              <w:right w:val="none" w:color="FFFFFF" w:sz="0"/>
            </w:tcBorders>
            <w:shd w:fill="059669"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MVP Scope Definition</w:t>
            </w:r>
          </w:p>
          <w:p>
            <w:pPr>
              <w:spacing w:before="0" w:after="0"/>
            </w:pPr>
            <w:r>
              <w:rPr>
                <w:rFonts w:ascii="Arial" w:cs="Arial" w:eastAsia="Arial" w:hAnsi="Arial"/>
                <w:color w:val="BBCCDD"/>
                <w:sz w:val="18"/>
                <w:szCs w:val="18"/>
              </w:rPr>
              <w:t xml:space="preserve">The minimum that must exist to launch — and what must wait</w:t>
            </w:r>
          </w:p>
        </w:tc>
      </w:tr>
    </w:tbl>
    <w:p>
      <w:pPr>
        <w:spacing w:before="120" w:after="120"/>
      </w:pPr>
      <w:r>
        <w:t xml:space="preserve"/>
      </w:r>
    </w:p>
    <w:p>
      <w:pPr>
        <w:spacing w:before="360" w:after="60"/>
      </w:pPr>
      <w:r>
        <w:rPr>
          <w:rFonts w:ascii="Arial" w:cs="Arial" w:eastAsia="Arial" w:hAnsi="Arial"/>
          <w:b/>
          <w:bCs/>
          <w:caps/>
          <w:color w:val="2563EB"/>
          <w:sz w:val="16"/>
          <w:szCs w:val="16"/>
        </w:rPr>
        <w:t xml:space="preserve">PART 2 — MVP</w:t>
      </w:r>
    </w:p>
    <w:p>
      <w:pPr>
        <w:pStyle w:val="Heading1"/>
        <w:spacing w:before="40" w:after="120"/>
      </w:pPr>
      <w:r>
        <w:rPr>
          <w:rFonts w:ascii="Arial" w:cs="Arial" w:eastAsia="Arial" w:hAnsi="Arial"/>
          <w:b/>
          <w:bCs/>
          <w:color w:val="0D1117"/>
          <w:sz w:val="40"/>
          <w:szCs w:val="40"/>
        </w:rPr>
        <w:t xml:space="preserve">MVP Scope — What to Launch With</w:t>
      </w:r>
    </w:p>
    <w:p>
      <w:pPr>
        <w:pBdr>
          <w:bottom w:val="single" w:color="059669" w:sz="6" w:space="1"/>
        </w:pBdr>
        <w:spacing w:before="0" w:after="200"/>
      </w:pPr>
      <w:r>
        <w:t xml:space="preserve"/>
      </w:r>
    </w:p>
    <w:p>
      <w:pPr>
        <w:spacing w:before="60" w:after="60"/>
      </w:pPr>
      <w:r>
        <w:t xml:space="preserve"/>
      </w:r>
    </w:p>
    <w:p>
      <w:pPr>
        <w:spacing w:before="40" w:after="140"/>
      </w:pPr>
      <w:r>
        <w:rPr>
          <w:rFonts w:ascii="Arial" w:cs="Arial" w:eastAsia="Arial" w:hAnsi="Arial"/>
          <w:color w:val="0F172A"/>
          <w:sz w:val="20"/>
          <w:szCs w:val="20"/>
        </w:rPr>
        <w:t xml:space="preserve">The biggest launch mistake is trying to launch with everything. The MVP must deliver one complete, polished experience that solves the core problem. Everything else is roadmap.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6"/>
              <w:bottom w:val="single" w:color="059669" w:sz="1"/>
              <w:right w:val="single" w:color="059669" w:sz="1"/>
            </w:tcBorders>
            <w:shd w:fill="ECFDF5" w:val="clear"/>
            <w:tcMar>
              <w:top w:type="dxa" w:w="120"/>
              <w:left w:type="dxa" w:w="240"/>
              <w:bottom w:type="dxa" w:w="120"/>
              <w:right w:type="dxa" w:w="200"/>
            </w:tcMar>
          </w:tcPr>
          <w:p>
            <w:pPr>
              <w:spacing w:before="0" w:after="60"/>
            </w:pPr>
            <w:r>
              <w:rPr>
                <w:rFonts w:ascii="Arial" w:cs="Arial" w:eastAsia="Arial" w:hAnsi="Arial"/>
                <w:b/>
                <w:bCs/>
                <w:color w:val="059669"/>
                <w:sz w:val="20"/>
                <w:szCs w:val="20"/>
              </w:rPr>
              <w:t xml:space="preserve">The MVP Rule</w:t>
            </w:r>
          </w:p>
          <w:p>
            <w:pPr>
              <w:spacing w:before="0" w:after="0"/>
            </w:pPr>
            <w:r>
              <w:rPr>
                <w:rFonts w:ascii="Arial" w:cs="Arial" w:eastAsia="Arial" w:hAnsi="Arial"/>
                <w:color w:val="334155"/>
                <w:sz w:val="19"/>
                <w:szCs w:val="19"/>
              </w:rPr>
              <w:t xml:space="preserve">Launch with the smallest version of the app that a user could recommend to a friend. Not the smallest version you could build — the smallest version they would praise. That distinction is the difference between a beta test and a real product.</w:t>
            </w:r>
          </w:p>
        </w:tc>
      </w:tr>
    </w:tbl>
    <w:p>
      <w:pPr>
        <w:spacing w:before="120" w:after="120"/>
      </w:pPr>
      <w:r>
        <w:t xml:space="preserve"/>
      </w:r>
    </w:p>
    <w:p>
      <w:pPr>
        <w:pStyle w:val="Heading2"/>
        <w:spacing w:before="280" w:after="100"/>
      </w:pPr>
      <w:r>
        <w:rPr>
          <w:rFonts w:ascii="Arial" w:cs="Arial" w:eastAsia="Arial" w:hAnsi="Arial"/>
          <w:b/>
          <w:bCs/>
          <w:color w:val="0D1117"/>
          <w:sz w:val="26"/>
          <w:szCs w:val="26"/>
        </w:rPr>
        <w:t xml:space="preserve">2.1  MVP Feature Set (Must Ship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c>
          <w:tcPr>
            <w:tcW w:type="dxa" w:w="312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Feature</w:t>
            </w:r>
          </w:p>
        </w:tc>
        <w:tc>
          <w:tcPr>
            <w:tcW w:type="dxa" w:w="468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What Is Included</w:t>
            </w:r>
          </w:p>
        </w:tc>
        <w:tc>
          <w:tcPr>
            <w:tcW w:type="dxa" w:w="156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What Is Excluded (V2)</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Onboarding</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Profile selection, first goal creation, AI cascade suggestion, first task, first habit. Must complete in under 5 minutes.</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Multiple profiles, custom themes</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Goal Hierarchy (4 levels)</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Yearly → Monthly → Weekly → Daily. Progress auto-aggregates. Status: on track / at risk / behind. Goal cards with progress bars.</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Half-yearly, quarterly levels</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Daily Task System</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Create, prioritize (P1–P4), complete tasks. Linked to goals. XP on completion. Today view with sorted task list.</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AI auto-scheduling, drag-and-drop</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Habit Tracker</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Create habits, daily completion, streak counter, simple 7-day view. 3 habits max on Free.</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Heatmap, spaced repetition</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Weekly Review</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Sunday auto-prompt, 5 questions, weekly score calculation, display on dashboard.</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Monthly review, AI review analysis</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Basic Gamification</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XP points, level counter, streak counter, 5 launch badges. Level visible on profile.</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Cosmetic store, avatar evolution</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Shareable Cards</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3 card templates: week streak, goal complete, weekly score. One-tap share to WhatsApp/Instagram. App name watermark on all cards.</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Year Wrapped, premium templates</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Pro Subscription</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Freemium gates enforced. Razorpay/Stripe billing. Monthly and annual plans. 7-day free trial.</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Student plan, institution plan</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Push Notifications</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Morning activation, habit rescue (9 PM), streak danger, weekly review prompt. Permission asked after Day 3.</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Smart adaptive notifications</w:t>
            </w:r>
          </w:p>
        </w:tc>
      </w:tr>
    </w:tbl>
    <w:p>
      <w:pPr>
        <w:spacing w:before="120" w:after="120"/>
      </w:pPr>
      <w:r>
        <w:t xml:space="preserve"/>
      </w:r>
    </w:p>
    <w:p>
      <w:pPr>
        <w:pStyle w:val="Heading2"/>
        <w:spacing w:before="280" w:after="100"/>
      </w:pPr>
      <w:r>
        <w:rPr>
          <w:rFonts w:ascii="Arial" w:cs="Arial" w:eastAsia="Arial" w:hAnsi="Arial"/>
          <w:b/>
          <w:bCs/>
          <w:color w:val="0D1117"/>
          <w:sz w:val="26"/>
          <w:szCs w:val="26"/>
        </w:rPr>
        <w:t xml:space="preserve">2.2  Hard Exclusions (Do NOT Build for MVP)</w:t>
      </w:r>
    </w:p>
    <w:p>
      <w:pPr>
        <w:spacing w:before="40" w:after="140"/>
      </w:pPr>
      <w:r>
        <w:rPr>
          <w:rFonts w:ascii="Arial" w:cs="Arial" w:eastAsia="Arial" w:hAnsi="Arial"/>
          <w:color w:val="0F172A"/>
          <w:sz w:val="20"/>
          <w:szCs w:val="20"/>
        </w:rPr>
        <w:t xml:space="preserve">These features will be requested by beta users. Resist. Each exclusion saves 4–12 weeks of development time.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Feature</w:t>
            </w:r>
          </w:p>
        </w:tc>
        <w:tc>
          <w:tcPr>
            <w:tcW w:type="dxa" w:w="624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Why It Is Excluded</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AI Coach (full)</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Requires significant API cost at scale and complex context management. Build after you have 1,000+ active users generating revenue to fund it. Use simpler rule-based suggestions for MVP.</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Social / Groups</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Social features require a minimum community size to feel alive. An empty leaderboard kills the feature. Launch solo-use first, add social when you have 10,000+ users.</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Full Analytics Module</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Advanced charts, Flow State detector, P3 profile — these require 30–90 days of data per user before they are useful. They cannot exist at launch. Ship basic weekly score only.</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Time Blocking Scheduler</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Complex UI, drag-and-drop interactions, and calendar sync are a V2 feature. Add after core habit and goal loops are proven.</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Second Brain / Knowledge Base</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Powerful but high-effort feature with no Day-1 value. Users need 30+ days of use before they have content to store. Launch in Month 4.</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D97706"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03</w:t>
            </w:r>
          </w:p>
        </w:tc>
        <w:tc>
          <w:tcPr>
            <w:tcW w:type="dxa" w:w="8400"/>
            <w:tcBorders>
              <w:top w:val="none" w:color="FFFFFF" w:sz="0"/>
              <w:left w:val="none" w:color="FFFFFF" w:sz="0"/>
              <w:bottom w:val="none" w:color="FFFFFF" w:sz="0"/>
              <w:right w:val="none" w:color="FFFFFF" w:sz="0"/>
            </w:tcBorders>
            <w:shd w:fill="D97706"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Metrics That Make You Fundable</w:t>
            </w:r>
          </w:p>
          <w:p>
            <w:pPr>
              <w:spacing w:before="0" w:after="0"/>
            </w:pPr>
            <w:r>
              <w:rPr>
                <w:rFonts w:ascii="Arial" w:cs="Arial" w:eastAsia="Arial" w:hAnsi="Arial"/>
                <w:color w:val="BBCCDD"/>
                <w:sz w:val="18"/>
                <w:szCs w:val="18"/>
              </w:rPr>
              <w:t xml:space="preserve">What investors look at — and the exact numbers you need to hit</w:t>
            </w:r>
          </w:p>
        </w:tc>
      </w:tr>
    </w:tbl>
    <w:p>
      <w:pPr>
        <w:spacing w:before="120" w:after="120"/>
      </w:pPr>
      <w:r>
        <w:t xml:space="preserve"/>
      </w:r>
    </w:p>
    <w:p>
      <w:pPr>
        <w:spacing w:before="360" w:after="60"/>
      </w:pPr>
      <w:r>
        <w:rPr>
          <w:rFonts w:ascii="Arial" w:cs="Arial" w:eastAsia="Arial" w:hAnsi="Arial"/>
          <w:b/>
          <w:bCs/>
          <w:caps/>
          <w:color w:val="2563EB"/>
          <w:sz w:val="16"/>
          <w:szCs w:val="16"/>
        </w:rPr>
        <w:t xml:space="preserve">PART 3 — TRACTION METRICS</w:t>
      </w:r>
    </w:p>
    <w:p>
      <w:pPr>
        <w:pStyle w:val="Heading1"/>
        <w:spacing w:before="40" w:after="120"/>
      </w:pPr>
      <w:r>
        <w:rPr>
          <w:rFonts w:ascii="Arial" w:cs="Arial" w:eastAsia="Arial" w:hAnsi="Arial"/>
          <w:b/>
          <w:bCs/>
          <w:color w:val="0D1117"/>
          <w:sz w:val="40"/>
          <w:szCs w:val="40"/>
        </w:rPr>
        <w:t xml:space="preserve">Metrics That Make You Fundable</w:t>
      </w:r>
    </w:p>
    <w:p>
      <w:pPr>
        <w:pBdr>
          <w:bottom w:val="single" w:color="D97706" w:sz="6" w:space="1"/>
        </w:pBdr>
        <w:spacing w:before="0" w:after="200"/>
      </w:pPr>
      <w:r>
        <w:t xml:space="preserve"/>
      </w:r>
    </w:p>
    <w:p>
      <w:pPr>
        <w:spacing w:before="60" w:after="60"/>
      </w:pPr>
      <w:r>
        <w:t xml:space="preserve"/>
      </w:r>
    </w:p>
    <w:p>
      <w:pPr>
        <w:spacing w:before="40" w:after="140"/>
      </w:pPr>
      <w:r>
        <w:rPr>
          <w:rFonts w:ascii="Arial" w:cs="Arial" w:eastAsia="Arial" w:hAnsi="Arial"/>
          <w:color w:val="0F172A"/>
          <w:sz w:val="20"/>
          <w:szCs w:val="20"/>
        </w:rPr>
        <w:t xml:space="preserve">Investors do not fund ideas. They fund evidence. For a consumer app, evidence means user behavior data that proves the product creates genuine value and has the potential to scale. These are the exact metrics you need.</w:t>
      </w:r>
    </w:p>
    <w:p>
      <w:pPr>
        <w:spacing w:before="80" w:after="80"/>
      </w:pPr>
      <w:r>
        <w:t xml:space="preserve"/>
      </w:r>
    </w:p>
    <w:p>
      <w:pPr>
        <w:pStyle w:val="Heading2"/>
        <w:spacing w:before="280" w:after="100"/>
      </w:pPr>
      <w:r>
        <w:rPr>
          <w:rFonts w:ascii="Arial" w:cs="Arial" w:eastAsia="Arial" w:hAnsi="Arial"/>
          <w:b/>
          <w:bCs/>
          <w:color w:val="0D1117"/>
          <w:sz w:val="26"/>
          <w:szCs w:val="26"/>
        </w:rPr>
        <w:t xml:space="preserve">3.1  The Core Metric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560"/>
        <w:gridCol w:w="2340"/>
      </w:tblGrid>
      <w:tr>
        <w:tc>
          <w:tcPr>
            <w:tcW w:type="dxa" w:w="234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Metric</w:t>
            </w:r>
          </w:p>
        </w:tc>
        <w:tc>
          <w:tcPr>
            <w:tcW w:type="dxa" w:w="312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Definition</w:t>
            </w:r>
          </w:p>
        </w:tc>
        <w:tc>
          <w:tcPr>
            <w:tcW w:type="dxa" w:w="156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Target for Pre-Seed</w:t>
            </w:r>
          </w:p>
        </w:tc>
        <w:tc>
          <w:tcPr>
            <w:tcW w:type="dxa" w:w="234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Target for Seed</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DAU / MAU Ratio</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Daily Active Users / Monthly Active Users. Measures stickiness.</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&gt;20%</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&gt;35%</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Day 7 Retention</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 of users still active 7 days after install</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&gt;25%</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&gt;40%</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Day 30 Retention</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 of users still active 30 days after install</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&gt;12%</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&gt;20%</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NPS Score</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Net Promoter Score — would you recommend this app?</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&gt;30</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&gt;50</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Free-to-Pro Conversion</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 of free users who upgrade to Pro within 30 days</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&gt;3%</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&gt;5%</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Monthly Revenue (MRR)</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Recurring subscription revenue per month</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₹1L–₹5L</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₹5L–₹25L</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MoM Growth Rate</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Month-over-month growth in MAU or MRR</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&gt;15%</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&gt;20%</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CAC (Cost per Acquisition)</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Total marketing spend / new paying users</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&lt;₹500</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&lt;₹300</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LTV (Lifetime Value)</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Avg revenue per Pro user over their lifetime</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&gt;₹1,500</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&gt;₹3,000</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LTV:CAC Ratio</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Must exceed 3:1 to be a sustainable business</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&gt;3:1</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&gt;5:1</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Habit Streak Length</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Avg streak length for active habit users (proxy for engagement depth)</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&gt;7 days</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&gt;21 days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6"/>
              <w:bottom w:val="single" w:color="D97706" w:sz="1"/>
              <w:right w:val="single" w:color="D97706" w:sz="1"/>
            </w:tcBorders>
            <w:shd w:fill="FFFBEB" w:val="clear"/>
            <w:tcMar>
              <w:top w:type="dxa" w:w="120"/>
              <w:left w:type="dxa" w:w="240"/>
              <w:bottom w:type="dxa" w:w="120"/>
              <w:right w:type="dxa" w:w="200"/>
            </w:tcMar>
          </w:tcPr>
          <w:p>
            <w:pPr>
              <w:spacing w:before="0" w:after="60"/>
            </w:pPr>
            <w:r>
              <w:rPr>
                <w:rFonts w:ascii="Arial" w:cs="Arial" w:eastAsia="Arial" w:hAnsi="Arial"/>
                <w:b/>
                <w:bCs/>
                <w:color w:val="D97706"/>
                <w:sz w:val="20"/>
                <w:szCs w:val="20"/>
              </w:rPr>
              <w:t xml:space="preserve">The One Metric That Matters Most</w:t>
            </w:r>
          </w:p>
          <w:p>
            <w:pPr>
              <w:spacing w:before="0" w:after="0"/>
            </w:pPr>
            <w:r>
              <w:rPr>
                <w:rFonts w:ascii="Arial" w:cs="Arial" w:eastAsia="Arial" w:hAnsi="Arial"/>
                <w:color w:val="334155"/>
                <w:sz w:val="19"/>
                <w:szCs w:val="19"/>
              </w:rPr>
              <w:t xml:space="preserve">For a habit and goal app, Day 30 Retention is the single most important number. If users are still active after 30 days, they have experienced a full goal-setting cycle and their streak is long enough to create switching costs. Everything else is noise until this number is above 15%.</w:t>
            </w:r>
          </w:p>
        </w:tc>
      </w:tr>
    </w:tbl>
    <w:p>
      <w:pPr>
        <w:spacing w:before="120" w:after="120"/>
      </w:pPr>
      <w:r>
        <w:t xml:space="preserve"/>
      </w:r>
    </w:p>
    <w:p>
      <w:pPr>
        <w:pStyle w:val="Heading2"/>
        <w:spacing w:before="280" w:after="100"/>
      </w:pPr>
      <w:r>
        <w:rPr>
          <w:rFonts w:ascii="Arial" w:cs="Arial" w:eastAsia="Arial" w:hAnsi="Arial"/>
          <w:b/>
          <w:bCs/>
          <w:color w:val="0D1117"/>
          <w:sz w:val="26"/>
          <w:szCs w:val="26"/>
        </w:rPr>
        <w:t xml:space="preserve">3.2  Traction Milestones by Funding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Stage</w:t>
            </w:r>
          </w:p>
        </w:tc>
        <w:tc>
          <w:tcPr>
            <w:tcW w:type="dxa" w:w="234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Amount (India)</w:t>
            </w:r>
          </w:p>
        </w:tc>
        <w:tc>
          <w:tcPr>
            <w:tcW w:type="dxa" w:w="546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What You Need to Show</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Friends &amp; Family</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₹10L–₹50L</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Working product, founding team, personal conviction. No metrics required. Pure relationship-based. Use for building MVP.</w:t>
            </w:r>
          </w:p>
        </w:tc>
      </w:tr>
      <w:tr>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Pre-Seed / Angel</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₹50L–₹2Cr</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500–2,000 active users. Day 7 retention &gt;20%. Early NPS &gt;30. MoM growth &gt;15% for 2+ months. Revenue optional but valuable. Strong team narrative.</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Seed Round</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₹2Cr–₹10Cr</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5,000–20,000 MAU. MRR ₹2L+. Day 30 retention &gt;15%. Clear CAC and LTV data. Proven distribution channel. Market size story.</w:t>
            </w:r>
          </w:p>
        </w:tc>
      </w:tr>
      <w:tr>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Series A</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₹15Cr–₹50Cr+</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50,000–200,000 MAU. MRR ₹15L+. Product-market fit clearly demonstrated. Scalable paid acquisition channel. Team of 8–15. Clear path to ₹100Cr ARR.</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7C3AED"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04</w:t>
            </w:r>
          </w:p>
        </w:tc>
        <w:tc>
          <w:tcPr>
            <w:tcW w:type="dxa" w:w="8400"/>
            <w:tcBorders>
              <w:top w:val="none" w:color="FFFFFF" w:sz="0"/>
              <w:left w:val="none" w:color="FFFFFF" w:sz="0"/>
              <w:bottom w:val="none" w:color="FFFFFF" w:sz="0"/>
              <w:right w:val="none" w:color="FFFFFF" w:sz="0"/>
            </w:tcBorders>
            <w:shd w:fill="7C3AED"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Investor Pitch Deck</w:t>
            </w:r>
          </w:p>
          <w:p>
            <w:pPr>
              <w:spacing w:before="0" w:after="0"/>
            </w:pPr>
            <w:r>
              <w:rPr>
                <w:rFonts w:ascii="Arial" w:cs="Arial" w:eastAsia="Arial" w:hAnsi="Arial"/>
                <w:color w:val="BBCCDD"/>
                <w:sz w:val="18"/>
                <w:szCs w:val="18"/>
              </w:rPr>
              <w:t xml:space="preserve">Slide-by-slide structure that raises money — with exact content for each</w:t>
            </w:r>
          </w:p>
        </w:tc>
      </w:tr>
    </w:tbl>
    <w:p>
      <w:pPr>
        <w:spacing w:before="120" w:after="120"/>
      </w:pPr>
      <w:r>
        <w:t xml:space="preserve"/>
      </w:r>
    </w:p>
    <w:p>
      <w:pPr>
        <w:spacing w:before="360" w:after="60"/>
      </w:pPr>
      <w:r>
        <w:rPr>
          <w:rFonts w:ascii="Arial" w:cs="Arial" w:eastAsia="Arial" w:hAnsi="Arial"/>
          <w:b/>
          <w:bCs/>
          <w:caps/>
          <w:color w:val="2563EB"/>
          <w:sz w:val="16"/>
          <w:szCs w:val="16"/>
        </w:rPr>
        <w:t xml:space="preserve">PART 4 — PITCH DECK</w:t>
      </w:r>
    </w:p>
    <w:p>
      <w:pPr>
        <w:pStyle w:val="Heading1"/>
        <w:spacing w:before="40" w:after="120"/>
      </w:pPr>
      <w:r>
        <w:rPr>
          <w:rFonts w:ascii="Arial" w:cs="Arial" w:eastAsia="Arial" w:hAnsi="Arial"/>
          <w:b/>
          <w:bCs/>
          <w:color w:val="0D1117"/>
          <w:sz w:val="40"/>
          <w:szCs w:val="40"/>
        </w:rPr>
        <w:t xml:space="preserve">Investor Pitch Deck Architecture</w:t>
      </w:r>
    </w:p>
    <w:p>
      <w:pPr>
        <w:pBdr>
          <w:bottom w:val="single" w:color="7C3AED" w:sz="6" w:space="1"/>
        </w:pBdr>
        <w:spacing w:before="0" w:after="200"/>
      </w:pPr>
      <w:r>
        <w:t xml:space="preserve"/>
      </w:r>
    </w:p>
    <w:p>
      <w:pPr>
        <w:spacing w:before="60" w:after="60"/>
      </w:pPr>
      <w:r>
        <w:t xml:space="preserve"/>
      </w:r>
    </w:p>
    <w:p>
      <w:pPr>
        <w:spacing w:before="40" w:after="140"/>
      </w:pPr>
      <w:r>
        <w:rPr>
          <w:rFonts w:ascii="Arial" w:cs="Arial" w:eastAsia="Arial" w:hAnsi="Arial"/>
          <w:color w:val="0F172A"/>
          <w:sz w:val="20"/>
          <w:szCs w:val="20"/>
        </w:rPr>
        <w:t xml:space="preserve">A pitch deck is not a presentation. It is a story with a financial ask at the end. Every slide must earn the investor's attention and push them one step closer to writing a cheque. This is the exact structure that works.</w:t>
      </w:r>
    </w:p>
    <w:p>
      <w:pPr>
        <w:spacing w:before="80" w:after="80"/>
      </w:pPr>
      <w:r>
        <w:t xml:space="preserve"/>
      </w:r>
    </w:p>
    <w:p>
      <w:pPr>
        <w:pStyle w:val="Heading2"/>
        <w:spacing w:before="280" w:after="100"/>
      </w:pPr>
      <w:r>
        <w:rPr>
          <w:rFonts w:ascii="Arial" w:cs="Arial" w:eastAsia="Arial" w:hAnsi="Arial"/>
          <w:b/>
          <w:bCs/>
          <w:color w:val="0D1117"/>
          <w:sz w:val="26"/>
          <w:szCs w:val="26"/>
        </w:rPr>
        <w:t xml:space="preserve">4.1  The 12-Slide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340"/>
        <w:gridCol w:w="4680"/>
        <w:gridCol w:w="1780"/>
      </w:tblGrid>
      <w:tr>
        <w:tc>
          <w:tcPr>
            <w:tcW w:type="dxa" w:w="56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Slide</w:t>
            </w:r>
          </w:p>
        </w:tc>
        <w:tc>
          <w:tcPr>
            <w:tcW w:type="dxa" w:w="234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Title</w:t>
            </w:r>
          </w:p>
        </w:tc>
        <w:tc>
          <w:tcPr>
            <w:tcW w:type="dxa" w:w="468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Content — Exactly What to Include</w:t>
            </w:r>
          </w:p>
        </w:tc>
        <w:tc>
          <w:tcPr>
            <w:tcW w:type="dxa" w:w="178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Common Mistake</w:t>
            </w:r>
          </w:p>
        </w:tc>
      </w:tr>
      <w:tr>
        <w:tc>
          <w:tcPr>
            <w:tcW w:type="dxa" w:w="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1</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Cover</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App name, logo, one-line tagline, your name and title, date. Nothing else. Clean, confident, memorable.</w:t>
            </w:r>
          </w:p>
        </w:tc>
        <w:tc>
          <w:tcPr>
            <w:tcW w:type="dxa" w:w="17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Too much text. Cluttered design.</w:t>
            </w:r>
          </w:p>
        </w:tc>
      </w:tr>
      <w:tr>
        <w:tc>
          <w:tcPr>
            <w:tcW w:type="dxa" w:w="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2</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The Problem</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3 bullet points describing the pain. Use real user quotes from your beta. Data point: 'X% of students fail their goals because Y.' Make the investor feel the pain personally.</w:t>
            </w:r>
          </w:p>
        </w:tc>
        <w:tc>
          <w:tcPr>
            <w:tcW w:type="dxa" w:w="17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Generic problem statements without data or quotes.</w:t>
            </w:r>
          </w:p>
        </w:tc>
      </w:tr>
      <w:tr>
        <w:tc>
          <w:tcPr>
            <w:tcW w:type="dxa" w:w="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3</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The Solution</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One sentence: what your app does. Then show 3 screenshots — the moment the problem is solved. The visual does more than any paragraph. Add: 'And it works — here is the proof.'</w:t>
            </w:r>
          </w:p>
        </w:tc>
        <w:tc>
          <w:tcPr>
            <w:tcW w:type="dxa" w:w="17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Too many features listed. Feature lists do not sell.</w:t>
            </w:r>
          </w:p>
        </w:tc>
      </w:tr>
      <w:tr>
        <w:tc>
          <w:tcPr>
            <w:tcW w:type="dxa" w:w="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4</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Market Size</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TAM (Total Addressable Market): global youth productivity apps market. SAM (Serviceable): India + South Asia youth 14–30. SOM (Your target): India competitive exam + student market. Use real numbers from NASSCOM, App Annie, government data.</w:t>
            </w:r>
          </w:p>
        </w:tc>
        <w:tc>
          <w:tcPr>
            <w:tcW w:type="dxa" w:w="17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Making up TAM numbers. Investors verify these.</w:t>
            </w:r>
          </w:p>
        </w:tc>
      </w:tr>
      <w:tr>
        <w:tc>
          <w:tcPr>
            <w:tcW w:type="dxa" w:w="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5</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Product Deep-Dive</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Show 4–5 key screens. Each screen has a 1-line annotation explaining why it is different from existing apps. Emphasize: goal hierarchy, AI coaching, shareable cards, streak system.</w:t>
            </w:r>
          </w:p>
        </w:tc>
        <w:tc>
          <w:tcPr>
            <w:tcW w:type="dxa" w:w="17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Full feature walkthrough. Investors are not users.</w:t>
            </w:r>
          </w:p>
        </w:tc>
      </w:tr>
      <w:tr>
        <w:tc>
          <w:tcPr>
            <w:tcW w:type="dxa" w:w="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6</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Traction</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This is the most important slide after the team slide. Show: install growth chart (month by month), retention curve, NPS score, revenue if any, top qualitative quote from a user. Make the chart go up and to the right.</w:t>
            </w:r>
          </w:p>
        </w:tc>
        <w:tc>
          <w:tcPr>
            <w:tcW w:type="dxa" w:w="17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Vanity metrics (total downloads instead of MAU, DAU).</w:t>
            </w:r>
          </w:p>
        </w:tc>
      </w:tr>
      <w:tr>
        <w:tc>
          <w:tcPr>
            <w:tcW w:type="dxa" w:w="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7</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Business Model</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Show the pricing tiers clearly. State: ARPU (Average Revenue Per User), LTV, CAC, and LTV:CAC ratio. Show the revenue waterfall: Free users → conversion → MRR build.</w:t>
            </w:r>
          </w:p>
        </w:tc>
        <w:tc>
          <w:tcPr>
            <w:tcW w:type="dxa" w:w="17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Overcomplicated revenue models with 5 streams at launch.</w:t>
            </w:r>
          </w:p>
        </w:tc>
      </w:tr>
      <w:tr>
        <w:tc>
          <w:tcPr>
            <w:tcW w:type="dxa" w:w="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8</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Go-to-Market</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Your acquisition channels ranked by cost and speed. Community seeding → creator partnerships → institution B2B → paid UA. Show current CAC for each channel you have tested.</w:t>
            </w:r>
          </w:p>
        </w:tc>
        <w:tc>
          <w:tcPr>
            <w:tcW w:type="dxa" w:w="17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'We will go viral' with no mechanism explained.</w:t>
            </w:r>
          </w:p>
        </w:tc>
      </w:tr>
      <w:tr>
        <w:tc>
          <w:tcPr>
            <w:tcW w:type="dxa" w:w="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9</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Competition</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2×2 matrix: axes = youth-focused vs. generic / goal execution vs. habit tracking. Place competitors (Notion, Todoist, Habitica, Streaks) and your app. You win the youth-focused + goal execution quadrant. Do NOT say you have no competition.</w:t>
            </w:r>
          </w:p>
        </w:tc>
        <w:tc>
          <w:tcPr>
            <w:tcW w:type="dxa" w:w="17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Claiming 'no competition exists' — fatal credibility error.</w:t>
            </w:r>
          </w:p>
        </w:tc>
      </w:tr>
      <w:tr>
        <w:tc>
          <w:tcPr>
            <w:tcW w:type="dxa" w:w="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10</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Team</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Photos, names, key credential per person. Lead with the most relevant credential to THIS company: 'Built [X]', 'Ex-[Company]', 'CA student who felt this pain personally'. For first-time founders: emphasize why you specifically are the right person to solve this problem.</w:t>
            </w:r>
          </w:p>
        </w:tc>
        <w:tc>
          <w:tcPr>
            <w:tcW w:type="dxa" w:w="17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Listing every degree and job. Show relevance, not resume.</w:t>
            </w:r>
          </w:p>
        </w:tc>
      </w:tr>
      <w:tr>
        <w:tc>
          <w:tcPr>
            <w:tcW w:type="dxa" w:w="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11</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Financials</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18-month projections: monthly revenue, monthly burn, headcount additions, key milestones. Show when you reach break-even or next fundraise trigger. Keep conservative — investors prefer under-promised.</w:t>
            </w:r>
          </w:p>
        </w:tc>
        <w:tc>
          <w:tcPr>
            <w:tcW w:type="dxa" w:w="17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Over-optimistic hockey stick with no basis.</w:t>
            </w:r>
          </w:p>
        </w:tc>
      </w:tr>
      <w:tr>
        <w:tc>
          <w:tcPr>
            <w:tcW w:type="dxa" w:w="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12</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The Ask</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State clearly: amount raising, valuation cap (if SAFE/convertible), use of funds broken down by category (product 40%, marketing 35%, team 20%, ops 5%), and what milestones this funding achieves.</w:t>
            </w:r>
          </w:p>
        </w:tc>
        <w:tc>
          <w:tcPr>
            <w:tcW w:type="dxa" w:w="17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Vague ask ('any amount helps'). Shows lack of planning.</w:t>
            </w:r>
          </w:p>
        </w:tc>
      </w:tr>
    </w:tbl>
    <w:p>
      <w:pPr>
        <w:spacing w:before="120" w:after="120"/>
      </w:pPr>
      <w:r>
        <w:t xml:space="preserve"/>
      </w:r>
    </w:p>
    <w:p>
      <w:pPr>
        <w:pStyle w:val="Heading2"/>
        <w:spacing w:before="280" w:after="100"/>
      </w:pPr>
      <w:r>
        <w:rPr>
          <w:rFonts w:ascii="Arial" w:cs="Arial" w:eastAsia="Arial" w:hAnsi="Arial"/>
          <w:b/>
          <w:bCs/>
          <w:color w:val="0D1117"/>
          <w:sz w:val="26"/>
          <w:szCs w:val="26"/>
        </w:rPr>
        <w:t xml:space="preserve">4.2  Pitch Deck Design Rules</w:t>
      </w:r>
    </w:p>
    <w:p>
      <w:pPr>
        <w:pStyle w:val="ListParagraph"/>
        <w:numPr>
          <w:ilvl w:val="0"/>
          <w:numId w:val="2"/>
        </w:numPr>
        <w:spacing w:before="40" w:after="60"/>
      </w:pPr>
      <w:r>
        <w:rPr>
          <w:rFonts w:ascii="Arial" w:cs="Arial" w:eastAsia="Arial" w:hAnsi="Arial"/>
          <w:b/>
          <w:bCs/>
          <w:color w:val="0F172A"/>
          <w:sz w:val="20"/>
          <w:szCs w:val="20"/>
        </w:rPr>
        <w:t xml:space="preserve">Maximum 15 slides total. If you cannot tell your story in 12–15 slides, you do not know your story yet.</w:t>
      </w:r>
    </w:p>
    <w:p>
      <w:pPr>
        <w:pStyle w:val="ListParagraph"/>
        <w:numPr>
          <w:ilvl w:val="0"/>
          <w:numId w:val="2"/>
        </w:numPr>
        <w:spacing w:before="40" w:after="60"/>
      </w:pPr>
      <w:r>
        <w:rPr>
          <w:rFonts w:ascii="Arial" w:cs="Arial" w:eastAsia="Arial" w:hAnsi="Arial"/>
          <w:b w:val="false"/>
          <w:bCs w:val="false"/>
          <w:color w:val="0F172A"/>
          <w:sz w:val="20"/>
          <w:szCs w:val="20"/>
        </w:rPr>
        <w:t xml:space="preserve">One idea per slide. If a slide has two messages, split it into two slides.</w:t>
      </w:r>
    </w:p>
    <w:p>
      <w:pPr>
        <w:pStyle w:val="ListParagraph"/>
        <w:numPr>
          <w:ilvl w:val="0"/>
          <w:numId w:val="2"/>
        </w:numPr>
        <w:spacing w:before="40" w:after="60"/>
      </w:pPr>
      <w:r>
        <w:rPr>
          <w:rFonts w:ascii="Arial" w:cs="Arial" w:eastAsia="Arial" w:hAnsi="Arial"/>
          <w:b w:val="false"/>
          <w:bCs w:val="false"/>
          <w:color w:val="0F172A"/>
          <w:sz w:val="20"/>
          <w:szCs w:val="20"/>
        </w:rPr>
        <w:t xml:space="preserve">Use Canva Pitch, Pitch.com, or Figma for design. These produce investor-grade visuals without a designer.</w:t>
      </w:r>
    </w:p>
    <w:p>
      <w:pPr>
        <w:pStyle w:val="ListParagraph"/>
        <w:numPr>
          <w:ilvl w:val="0"/>
          <w:numId w:val="2"/>
        </w:numPr>
        <w:spacing w:before="40" w:after="60"/>
      </w:pPr>
      <w:r>
        <w:rPr>
          <w:rFonts w:ascii="Arial" w:cs="Arial" w:eastAsia="Arial" w:hAnsi="Arial"/>
          <w:b w:val="false"/>
          <w:bCs w:val="false"/>
          <w:color w:val="0F172A"/>
          <w:sz w:val="20"/>
          <w:szCs w:val="20"/>
        </w:rPr>
        <w:t xml:space="preserve">Dark background, light text, one accent color. Consistent with your app brand.</w:t>
      </w:r>
    </w:p>
    <w:p>
      <w:pPr>
        <w:pStyle w:val="ListParagraph"/>
        <w:numPr>
          <w:ilvl w:val="0"/>
          <w:numId w:val="2"/>
        </w:numPr>
        <w:spacing w:before="40" w:after="60"/>
      </w:pPr>
      <w:r>
        <w:rPr>
          <w:rFonts w:ascii="Arial" w:cs="Arial" w:eastAsia="Arial" w:hAnsi="Arial"/>
          <w:b w:val="false"/>
          <w:bCs w:val="false"/>
          <w:color w:val="0F172A"/>
          <w:sz w:val="20"/>
          <w:szCs w:val="20"/>
        </w:rPr>
        <w:t xml:space="preserve">Every data point must be sourced. Write the source in small text below the chart. Investors verify data.</w:t>
      </w:r>
    </w:p>
    <w:p>
      <w:pPr>
        <w:pStyle w:val="ListParagraph"/>
        <w:numPr>
          <w:ilvl w:val="0"/>
          <w:numId w:val="2"/>
        </w:numPr>
        <w:spacing w:before="40" w:after="60"/>
      </w:pPr>
      <w:r>
        <w:rPr>
          <w:rFonts w:ascii="Arial" w:cs="Arial" w:eastAsia="Arial" w:hAnsi="Arial"/>
          <w:b w:val="false"/>
          <w:bCs w:val="false"/>
          <w:color w:val="0F172A"/>
          <w:sz w:val="20"/>
          <w:szCs w:val="20"/>
        </w:rPr>
        <w:t xml:space="preserve">Send as PDF. Never as PowerPoint. PDFs look the same on every device. PowerPoints get mangled.</w:t>
      </w:r>
    </w:p>
    <w:p>
      <w:pPr>
        <w:pStyle w:val="ListParagraph"/>
        <w:numPr>
          <w:ilvl w:val="0"/>
          <w:numId w:val="2"/>
        </w:numPr>
        <w:spacing w:before="40" w:after="60"/>
      </w:pPr>
      <w:r>
        <w:rPr>
          <w:rFonts w:ascii="Arial" w:cs="Arial" w:eastAsia="Arial" w:hAnsi="Arial"/>
          <w:b w:val="false"/>
          <w:bCs w:val="false"/>
          <w:color w:val="0F172A"/>
          <w:sz w:val="20"/>
          <w:szCs w:val="20"/>
        </w:rPr>
        <w:t xml:space="preserve">The deck you send before a meeting is a teaser — maximum 10 slides. The full deck is for in-room presentation only.</w:t>
      </w:r>
    </w:p>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891B2"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05</w:t>
            </w:r>
          </w:p>
        </w:tc>
        <w:tc>
          <w:tcPr>
            <w:tcW w:type="dxa" w:w="8400"/>
            <w:tcBorders>
              <w:top w:val="none" w:color="FFFFFF" w:sz="0"/>
              <w:left w:val="none" w:color="FFFFFF" w:sz="0"/>
              <w:bottom w:val="none" w:color="FFFFFF" w:sz="0"/>
              <w:right w:val="none" w:color="FFFFFF" w:sz="0"/>
            </w:tcBorders>
            <w:shd w:fill="0891B2"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Funding Instruments Explained</w:t>
            </w:r>
          </w:p>
          <w:p>
            <w:pPr>
              <w:spacing w:before="0" w:after="0"/>
            </w:pPr>
            <w:r>
              <w:rPr>
                <w:rFonts w:ascii="Arial" w:cs="Arial" w:eastAsia="Arial" w:hAnsi="Arial"/>
                <w:color w:val="BBCCDD"/>
                <w:sz w:val="18"/>
                <w:szCs w:val="18"/>
              </w:rPr>
              <w:t xml:space="preserve">SAFE, convertible note, equity round — what each means and when to use which</w:t>
            </w:r>
          </w:p>
        </w:tc>
      </w:tr>
    </w:tbl>
    <w:p>
      <w:pPr>
        <w:spacing w:before="120" w:after="120"/>
      </w:pPr>
      <w:r>
        <w:t xml:space="preserve"/>
      </w:r>
    </w:p>
    <w:p>
      <w:pPr>
        <w:spacing w:before="360" w:after="60"/>
      </w:pPr>
      <w:r>
        <w:rPr>
          <w:rFonts w:ascii="Arial" w:cs="Arial" w:eastAsia="Arial" w:hAnsi="Arial"/>
          <w:b/>
          <w:bCs/>
          <w:caps/>
          <w:color w:val="2563EB"/>
          <w:sz w:val="16"/>
          <w:szCs w:val="16"/>
        </w:rPr>
        <w:t xml:space="preserve">PART 5 — FUNDING INSTRUMENTS</w:t>
      </w:r>
    </w:p>
    <w:p>
      <w:pPr>
        <w:pStyle w:val="Heading1"/>
        <w:spacing w:before="40" w:after="120"/>
      </w:pPr>
      <w:r>
        <w:rPr>
          <w:rFonts w:ascii="Arial" w:cs="Arial" w:eastAsia="Arial" w:hAnsi="Arial"/>
          <w:b/>
          <w:bCs/>
          <w:color w:val="0D1117"/>
          <w:sz w:val="40"/>
          <w:szCs w:val="40"/>
        </w:rPr>
        <w:t xml:space="preserve">Funding Instruments — A Founder's Guide</w:t>
      </w:r>
    </w:p>
    <w:p>
      <w:pPr>
        <w:pBdr>
          <w:bottom w:val="single" w:color="0891B2" w:sz="6" w:space="1"/>
        </w:pBdr>
        <w:spacing w:before="0" w:after="200"/>
      </w:pPr>
      <w:r>
        <w:t xml:space="preserve"/>
      </w:r>
    </w:p>
    <w:p>
      <w:pPr>
        <w:spacing w:before="60" w:after="60"/>
      </w:pPr>
      <w:r>
        <w:t xml:space="preserve"/>
      </w:r>
    </w:p>
    <w:p>
      <w:pPr>
        <w:spacing w:before="40" w:after="140"/>
      </w:pPr>
      <w:r>
        <w:rPr>
          <w:rFonts w:ascii="Arial" w:cs="Arial" w:eastAsia="Arial" w:hAnsi="Arial"/>
          <w:color w:val="0F172A"/>
          <w:sz w:val="20"/>
          <w:szCs w:val="20"/>
        </w:rPr>
        <w:t xml:space="preserve">Most first-time founders do not understand the legal instruments used in fundraising. Signing the wrong structure can cost you significant equity or control. This section explains every instrument you will encounter.</w:t>
      </w:r>
    </w:p>
    <w:p>
      <w:pPr>
        <w:spacing w:before="80" w:after="80"/>
      </w:pPr>
      <w:r>
        <w:t xml:space="preserve"/>
      </w:r>
    </w:p>
    <w:p>
      <w:pPr>
        <w:pStyle w:val="Heading2"/>
        <w:spacing w:before="280" w:after="100"/>
      </w:pPr>
      <w:r>
        <w:rPr>
          <w:rFonts w:ascii="Arial" w:cs="Arial" w:eastAsia="Arial" w:hAnsi="Arial"/>
          <w:b/>
          <w:bCs/>
          <w:color w:val="0D1117"/>
          <w:sz w:val="26"/>
          <w:szCs w:val="26"/>
        </w:rPr>
        <w:t xml:space="preserve">5.1  SAFE (Simple Agreement for Future Equity)</w:t>
      </w:r>
    </w:p>
    <w:p>
      <w:pPr>
        <w:spacing w:before="40" w:after="140"/>
      </w:pPr>
      <w:r>
        <w:rPr>
          <w:rFonts w:ascii="Arial" w:cs="Arial" w:eastAsia="Arial" w:hAnsi="Arial"/>
          <w:color w:val="0F172A"/>
          <w:sz w:val="20"/>
          <w:szCs w:val="20"/>
        </w:rPr>
        <w:t xml:space="preserve">The most common instrument for pre-seed and seed rounds globally, especially in India after 2020. Recommended for your first raise.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Aspect</w:t>
            </w:r>
          </w:p>
        </w:tc>
        <w:tc>
          <w:tcPr>
            <w:tcW w:type="dxa" w:w="624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Explanation</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What it is</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An investor gives you money now in exchange for the right to receive equity later — at a future priced round (Series A or Seed). Not a loan. No interest. No repayment obligation.</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Valuation Cap</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The maximum valuation at which the SAFE converts to equity. If you raise at ₹20Cr valuation and the cap was ₹10Cr, the SAFE investor converts at ₹10Cr — getting twice the equity for the same money.</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Discount Rate</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Alternative to cap. Investor gets a 15–25% discount to the price per share at the next round. Example: if Series A price is ₹100/share, investor converts at ₹75–85/share.</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Dilution</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SAFE holders are diluted when they convert (at next priced round), not when they invest. You do not lose equity until conversion.</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When to use</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Pre-Seed and Seed rounds where you do not want to price the company yet. Simple, fast, low legal cost (~₹30,000–₹50,000 in legal fees vs. ₹3–5L for priced round).</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India note</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iSAFE (India SAFE) is the SEBI-compliant version used in India. Use this specific template, not the US Y Combinator SAFE, to comply with FEMA regulations for foreign investors.</w:t>
            </w:r>
          </w:p>
        </w:tc>
      </w:tr>
    </w:tbl>
    <w:p>
      <w:pPr>
        <w:spacing w:before="120" w:after="120"/>
      </w:pPr>
      <w:r>
        <w:t xml:space="preserve"/>
      </w:r>
    </w:p>
    <w:p>
      <w:pPr>
        <w:pStyle w:val="Heading2"/>
        <w:spacing w:before="280" w:after="100"/>
      </w:pPr>
      <w:r>
        <w:rPr>
          <w:rFonts w:ascii="Arial" w:cs="Arial" w:eastAsia="Arial" w:hAnsi="Arial"/>
          <w:b/>
          <w:bCs/>
          <w:color w:val="0D1117"/>
          <w:sz w:val="26"/>
          <w:szCs w:val="26"/>
        </w:rPr>
        <w:t xml:space="preserve">5.2  Convertible Note</w:t>
      </w:r>
    </w:p>
    <w:p>
      <w:pPr>
        <w:spacing w:before="40" w:after="140"/>
      </w:pPr>
      <w:r>
        <w:rPr>
          <w:rFonts w:ascii="Arial" w:cs="Arial" w:eastAsia="Arial" w:hAnsi="Arial"/>
          <w:color w:val="0F172A"/>
          <w:sz w:val="20"/>
          <w:szCs w:val="20"/>
        </w:rPr>
        <w:t xml:space="preserve">Similar to SAFE but structured as a loan that converts to equity. Less common now but some angels still prefer it.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Aspect</w:t>
            </w:r>
          </w:p>
        </w:tc>
        <w:tc>
          <w:tcPr>
            <w:tcW w:type="dxa" w:w="624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Explanation</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What it is</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 debt instrument with an interest rate (typically 8–12% per year) and a maturity date (typically 18–24 months). Converts to equity at the next round or is repaid at maturity.</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Key difference from SAFE</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It is technically debt — the investor has a repayment claim if you do not convert. SAFE has no repayment obligation. For early-stage startups, SAFE is almost always better.</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When to use</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When an investor specifically requests it, or in jurisdictions where SAFE is not recognized. Negotiate the maturity date as long as possible (24+ months).</w:t>
            </w:r>
          </w:p>
        </w:tc>
      </w:tr>
    </w:tbl>
    <w:p>
      <w:pPr>
        <w:spacing w:before="120" w:after="120"/>
      </w:pPr>
      <w:r>
        <w:t xml:space="preserve"/>
      </w:r>
    </w:p>
    <w:p>
      <w:pPr>
        <w:pStyle w:val="Heading2"/>
        <w:spacing w:before="280" w:after="100"/>
      </w:pPr>
      <w:r>
        <w:rPr>
          <w:rFonts w:ascii="Arial" w:cs="Arial" w:eastAsia="Arial" w:hAnsi="Arial"/>
          <w:b/>
          <w:bCs/>
          <w:color w:val="0D1117"/>
          <w:sz w:val="26"/>
          <w:szCs w:val="26"/>
        </w:rPr>
        <w:t xml:space="preserve">5.3  Priced Equity Round</w:t>
      </w:r>
    </w:p>
    <w:p>
      <w:pPr>
        <w:spacing w:before="40" w:after="140"/>
      </w:pPr>
      <w:r>
        <w:rPr>
          <w:rFonts w:ascii="Arial" w:cs="Arial" w:eastAsia="Arial" w:hAnsi="Arial"/>
          <w:color w:val="0F172A"/>
          <w:sz w:val="20"/>
          <w:szCs w:val="20"/>
        </w:rPr>
        <w:t xml:space="preserve">You set a specific valuation for your company, issue new shares, and investors buy those shares. This is what a Seed Round or Series A looks like.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Aspect</w:t>
            </w:r>
          </w:p>
        </w:tc>
        <w:tc>
          <w:tcPr>
            <w:tcW w:type="dxa" w:w="624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Explanation</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Pre-money valuation</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The company's value before new investment. If pre-money valuation is ₹10Cr and you raise ₹2Cr, post-money valuation is ₹12Cr and investors own 16.7% (₹2Cr / ₹12Cr).</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Term Sheet</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The non-binding document that outlines the deal terms: valuation, amount, equity %, board seats, pro-rata rights, liquidation preference, anti-dilution. Everything is negotiable before signing. Nothing after.</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ESOP Pool</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Employee Stock Option Pool — typically 10–15% of post-money shares reserved for future employees. Always created before investment (dilutes founders, not investors). Negotiate to create the minimum required.</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Liquidation Preference</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Investors get their money back first in an exit before founders. 1× non-participating is standard and acceptable. Anything above 1× or participating is founder-hostile — push back hard.</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Board seats</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Standard for Seed: 3-seat board — 2 founders, 1 investor. Series A: 5-seat — 2 founders, 2 investors, 1 independent. Do not give away board control before Series A.</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Legal cost</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₹3L–₹8L in legal fees for a priced round. Use a startup-specialized law firm: Trilegal, Khaitan &amp; Co, AZB, or IndiaLaw. Do not use a family lawyer for venture transactions.</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2563EB"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06</w:t>
            </w:r>
          </w:p>
        </w:tc>
        <w:tc>
          <w:tcPr>
            <w:tcW w:type="dxa" w:w="8400"/>
            <w:tcBorders>
              <w:top w:val="none" w:color="FFFFFF" w:sz="0"/>
              <w:left w:val="none" w:color="FFFFFF" w:sz="0"/>
              <w:bottom w:val="none" w:color="FFFFFF" w:sz="0"/>
              <w:right w:val="none" w:color="FFFFFF" w:sz="0"/>
            </w:tcBorders>
            <w:shd w:fill="2563EB"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Investor Targeting &amp; Outreach</w:t>
            </w:r>
          </w:p>
          <w:p>
            <w:pPr>
              <w:spacing w:before="0" w:after="0"/>
            </w:pPr>
            <w:r>
              <w:rPr>
                <w:rFonts w:ascii="Arial" w:cs="Arial" w:eastAsia="Arial" w:hAnsi="Arial"/>
                <w:color w:val="BBCCDD"/>
                <w:sz w:val="18"/>
                <w:szCs w:val="18"/>
              </w:rPr>
              <w:t xml:space="preserve">Who to approach, how to reach them, and what to say</w:t>
            </w:r>
          </w:p>
        </w:tc>
      </w:tr>
    </w:tbl>
    <w:p>
      <w:pPr>
        <w:spacing w:before="120" w:after="120"/>
      </w:pPr>
      <w:r>
        <w:t xml:space="preserve"/>
      </w:r>
    </w:p>
    <w:p>
      <w:pPr>
        <w:spacing w:before="360" w:after="60"/>
      </w:pPr>
      <w:r>
        <w:rPr>
          <w:rFonts w:ascii="Arial" w:cs="Arial" w:eastAsia="Arial" w:hAnsi="Arial"/>
          <w:b/>
          <w:bCs/>
          <w:caps/>
          <w:color w:val="2563EB"/>
          <w:sz w:val="16"/>
          <w:szCs w:val="16"/>
        </w:rPr>
        <w:t xml:space="preserve">PART 6 — INVESTOR TARGETING</w:t>
      </w:r>
    </w:p>
    <w:p>
      <w:pPr>
        <w:pStyle w:val="Heading1"/>
        <w:spacing w:before="40" w:after="120"/>
      </w:pPr>
      <w:r>
        <w:rPr>
          <w:rFonts w:ascii="Arial" w:cs="Arial" w:eastAsia="Arial" w:hAnsi="Arial"/>
          <w:b/>
          <w:bCs/>
          <w:color w:val="0D1117"/>
          <w:sz w:val="40"/>
          <w:szCs w:val="40"/>
        </w:rPr>
        <w:t xml:space="preserve">Investor Targeting &amp; Outreach Strategy</w:t>
      </w:r>
    </w:p>
    <w:p>
      <w:pPr>
        <w:pBdr>
          <w:bottom w:val="single" w:color="2563EB" w:sz="6" w:space="1"/>
        </w:pBdr>
        <w:spacing w:before="0" w:after="200"/>
      </w:pPr>
      <w:r>
        <w:t xml:space="preserve"/>
      </w:r>
    </w:p>
    <w:p>
      <w:pPr>
        <w:spacing w:before="60" w:after="60"/>
      </w:pPr>
      <w:r>
        <w:t xml:space="preserve"/>
      </w:r>
    </w:p>
    <w:p>
      <w:pPr>
        <w:spacing w:before="40" w:after="140"/>
      </w:pPr>
      <w:r>
        <w:rPr>
          <w:rFonts w:ascii="Arial" w:cs="Arial" w:eastAsia="Arial" w:hAnsi="Arial"/>
          <w:color w:val="0F172A"/>
          <w:sz w:val="20"/>
          <w:szCs w:val="20"/>
        </w:rPr>
        <w:t xml:space="preserve">Sending a cold pitch deck to 200 investors is the worst possible strategy. Warm introductions and strategic targeting are 10× more effective. You need to be in the right rooms before you need the money.</w:t>
      </w:r>
    </w:p>
    <w:p>
      <w:pPr>
        <w:spacing w:before="80" w:after="80"/>
      </w:pPr>
      <w:r>
        <w:t xml:space="preserve"/>
      </w:r>
    </w:p>
    <w:p>
      <w:pPr>
        <w:pStyle w:val="Heading2"/>
        <w:spacing w:before="280" w:after="100"/>
      </w:pPr>
      <w:r>
        <w:rPr>
          <w:rFonts w:ascii="Arial" w:cs="Arial" w:eastAsia="Arial" w:hAnsi="Arial"/>
          <w:b/>
          <w:bCs/>
          <w:color w:val="0D1117"/>
          <w:sz w:val="26"/>
          <w:szCs w:val="26"/>
        </w:rPr>
        <w:t xml:space="preserve">6.1  Investor Landscape for Youth/EdTech/Productivity Apps in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510"/>
        <w:gridCol w:w="2340"/>
        <w:gridCol w:w="1950"/>
      </w:tblGrid>
      <w:tr>
        <w:tc>
          <w:tcPr>
            <w:tcW w:type="dxa" w:w="156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Investor Type</w:t>
            </w:r>
          </w:p>
        </w:tc>
        <w:tc>
          <w:tcPr>
            <w:tcW w:type="dxa" w:w="351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Names / Funds</w:t>
            </w:r>
          </w:p>
        </w:tc>
        <w:tc>
          <w:tcPr>
            <w:tcW w:type="dxa" w:w="234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Typical Cheque</w:t>
            </w:r>
          </w:p>
        </w:tc>
        <w:tc>
          <w:tcPr>
            <w:tcW w:type="dxa" w:w="195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What They Look For</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Angel Networks</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Indian Angel Network, Mumbai Angels, Lead Angels, ah! Ventures, Ah! Angels</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₹25L–₹2Cr</w:t>
            </w:r>
          </w:p>
        </w:tc>
        <w:tc>
          <w:tcPr>
            <w:tcW w:type="dxa" w:w="195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Traction, team, referral from network member</w:t>
            </w:r>
          </w:p>
        </w:tc>
      </w:tr>
      <w:tr>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EdTech-focused Angels</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Byju Raveendran (angel), Ronnie Screwvala (RSVP), Krishna Kumar (Simplilearn founder), Sumeet Mehta (Leverage Edu)</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₹50L–₹5Cr</w:t>
            </w:r>
          </w:p>
        </w:tc>
        <w:tc>
          <w:tcPr>
            <w:tcW w:type="dxa" w:w="195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EdTech angle, student market, India scale</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Pre-Seed Funds</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Antler India, Venture Catalysts, 100X.VC, Inflection Point Ventures, LetsVenture</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₹50L–₹3Cr</w:t>
            </w:r>
          </w:p>
        </w:tc>
        <w:tc>
          <w:tcPr>
            <w:tcW w:type="dxa" w:w="195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Early traction, strong founder, large market</w:t>
            </w:r>
          </w:p>
        </w:tc>
      </w:tr>
      <w:tr>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Seed Funds</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Blume Ventures, Elevation Capital, Chiratae Ventures, Matrix India, Nexus Venture Partners</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₹2Cr–₹15Cr</w:t>
            </w:r>
          </w:p>
        </w:tc>
        <w:tc>
          <w:tcPr>
            <w:tcW w:type="dxa" w:w="195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PMF signals, MoM growth, strong unit economics</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Consumer Internet focus</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Stellaris, Fireside Ventures, Fundamentum, Kalaari Capital</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₹3Cr–₹30Cr</w:t>
            </w:r>
          </w:p>
        </w:tc>
        <w:tc>
          <w:tcPr>
            <w:tcW w:type="dxa" w:w="195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Consumer behavior change, D2C potential, brand</w:t>
            </w:r>
          </w:p>
        </w:tc>
      </w:tr>
      <w:tr>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Global Accelerators</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Y Combinator (apply online), Techstars, Entrepreneur First India</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$125K–$250K</w:t>
            </w:r>
          </w:p>
        </w:tc>
        <w:tc>
          <w:tcPr>
            <w:tcW w:type="dxa" w:w="195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Team, idea, early signal. YC acceptance = instant credibility</w:t>
            </w:r>
          </w:p>
        </w:tc>
      </w:tr>
    </w:tbl>
    <w:p>
      <w:pPr>
        <w:spacing w:before="120" w:after="120"/>
      </w:pPr>
      <w:r>
        <w:t xml:space="preserve"/>
      </w:r>
    </w:p>
    <w:p>
      <w:pPr>
        <w:pStyle w:val="Heading2"/>
        <w:spacing w:before="280" w:after="100"/>
      </w:pPr>
      <w:r>
        <w:rPr>
          <w:rFonts w:ascii="Arial" w:cs="Arial" w:eastAsia="Arial" w:hAnsi="Arial"/>
          <w:b/>
          <w:bCs/>
          <w:color w:val="0D1117"/>
          <w:sz w:val="26"/>
          <w:szCs w:val="26"/>
        </w:rPr>
        <w:t xml:space="preserve">6.2  The Warm Outreach Playbook</w:t>
      </w:r>
    </w:p>
    <w:p>
      <w:pPr>
        <w:spacing w:before="40" w:after="140"/>
      </w:pPr>
      <w:r>
        <w:rPr>
          <w:rFonts w:ascii="Arial" w:cs="Arial" w:eastAsia="Arial" w:hAnsi="Arial"/>
          <w:color w:val="0F172A"/>
          <w:sz w:val="20"/>
          <w:szCs w:val="20"/>
        </w:rPr>
        <w:t xml:space="preserve">Cold emails to VCs have a &lt; 1% response rate. Warm introductions have a &gt; 30% meeting conversion. Spend 80% of your outreach energy building pathways to warm intros.</w:t>
      </w:r>
    </w:p>
    <w:p>
      <w:pPr>
        <w:spacing w:before="60" w:after="60"/>
      </w:pPr>
      <w:r>
        <w:t xml:space="preserve"/>
      </w:r>
    </w:p>
    <w:p>
      <w:pPr>
        <w:pStyle w:val="Heading3"/>
        <w:spacing w:before="180" w:after="80"/>
      </w:pPr>
      <w:r>
        <w:rPr>
          <w:rFonts w:ascii="Arial" w:cs="Arial" w:eastAsia="Arial" w:hAnsi="Arial"/>
          <w:b/>
          <w:bCs/>
          <w:color w:val="334155"/>
          <w:sz w:val="21"/>
          <w:szCs w:val="21"/>
        </w:rPr>
        <w:t xml:space="preserve">Step 1 — Map Your Second-Degree Network</w:t>
      </w:r>
    </w:p>
    <w:p>
      <w:pPr>
        <w:pStyle w:val="ListParagraph"/>
        <w:numPr>
          <w:ilvl w:val="0"/>
          <w:numId w:val="2"/>
        </w:numPr>
        <w:spacing w:before="40" w:after="60"/>
      </w:pPr>
      <w:r>
        <w:rPr>
          <w:rFonts w:ascii="Arial" w:cs="Arial" w:eastAsia="Arial" w:hAnsi="Arial"/>
          <w:b w:val="false"/>
          <w:bCs w:val="false"/>
          <w:color w:val="0F172A"/>
          <w:sz w:val="20"/>
          <w:szCs w:val="20"/>
        </w:rPr>
        <w:t xml:space="preserve">List every investor you want to reach. Search LinkedIn: 'Partner at [Fund Name]'.</w:t>
      </w:r>
    </w:p>
    <w:p>
      <w:pPr>
        <w:pStyle w:val="ListParagraph"/>
        <w:numPr>
          <w:ilvl w:val="0"/>
          <w:numId w:val="2"/>
        </w:numPr>
        <w:spacing w:before="40" w:after="60"/>
      </w:pPr>
      <w:r>
        <w:rPr>
          <w:rFonts w:ascii="Arial" w:cs="Arial" w:eastAsia="Arial" w:hAnsi="Arial"/>
          <w:b w:val="false"/>
          <w:bCs w:val="false"/>
          <w:color w:val="0F172A"/>
          <w:sz w:val="20"/>
          <w:szCs w:val="20"/>
        </w:rPr>
        <w:t xml:space="preserve">For each investor, search: 'People who also viewed [Investor Name]' — find founders who have been funded by them.</w:t>
      </w:r>
    </w:p>
    <w:p>
      <w:pPr>
        <w:pStyle w:val="ListParagraph"/>
        <w:numPr>
          <w:ilvl w:val="0"/>
          <w:numId w:val="2"/>
        </w:numPr>
        <w:spacing w:before="40" w:after="60"/>
      </w:pPr>
      <w:r>
        <w:rPr>
          <w:rFonts w:ascii="Arial" w:cs="Arial" w:eastAsia="Arial" w:hAnsi="Arial"/>
          <w:b w:val="false"/>
          <w:bCs w:val="false"/>
          <w:color w:val="0F172A"/>
          <w:sz w:val="20"/>
          <w:szCs w:val="20"/>
        </w:rPr>
        <w:t xml:space="preserve">Find mutual connections. Request a warm intro from the mutual: 'I'm building X, would you be open to a quick intro to [Investor]? Happy to share a note you can forward.'</w:t>
      </w:r>
    </w:p>
    <w:p>
      <w:pPr>
        <w:spacing w:before="60" w:after="60"/>
      </w:pPr>
      <w:r>
        <w:t xml:space="preserve"/>
      </w:r>
    </w:p>
    <w:p>
      <w:pPr>
        <w:pStyle w:val="Heading3"/>
        <w:spacing w:before="180" w:after="80"/>
      </w:pPr>
      <w:r>
        <w:rPr>
          <w:rFonts w:ascii="Arial" w:cs="Arial" w:eastAsia="Arial" w:hAnsi="Arial"/>
          <w:b/>
          <w:bCs/>
          <w:color w:val="334155"/>
          <w:sz w:val="21"/>
          <w:szCs w:val="21"/>
        </w:rPr>
        <w:t xml:space="preserve">Step 2 — The Forwardable Email</w:t>
      </w:r>
    </w:p>
    <w:p>
      <w:pPr>
        <w:spacing w:before="40" w:after="140"/>
      </w:pPr>
      <w:r>
        <w:rPr>
          <w:rFonts w:ascii="Arial" w:cs="Arial" w:eastAsia="Arial" w:hAnsi="Arial"/>
          <w:color w:val="0F172A"/>
          <w:sz w:val="20"/>
          <w:szCs w:val="20"/>
        </w:rPr>
        <w:t xml:space="preserve">When asking for an intro, always include a short, polished 'forwardable note' the mutual can send directly. Make it effortless for the introducer.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40"/>
              <w:left w:type="dxa" w:w="200"/>
              <w:bottom w:type="dxa" w:w="40"/>
              <w:right w:type="dxa" w:w="200"/>
            </w:tcMar>
          </w:tcPr>
          <w:p>
            <w:r>
              <w:rPr>
                <w:rFonts w:ascii="Courier New" w:cs="Courier New" w:eastAsia="Courier New" w:hAnsi="Courier New"/>
                <w:color w:val="A8D8A8"/>
                <w:sz w:val="18"/>
                <w:szCs w:val="18"/>
              </w:rPr>
              <w:t xml:space="preserve">  Subject: Intro request — [Your Name] / [App Name]</w:t>
            </w:r>
          </w:p>
        </w:tc>
      </w:tr>
      <w:tr>
        <w:tc>
          <w:tcPr>
            <w:tcW w:type="dxa" w:w="9360"/>
            <w:tcBorders>
              <w:top w:val="none" w:color="FFFFFF" w:sz="0"/>
              <w:left w:val="none" w:color="FFFFFF" w:sz="0"/>
              <w:bottom w:val="none" w:color="FFFFFF" w:sz="0"/>
              <w:right w:val="none" w:color="FFFFFF" w:sz="0"/>
            </w:tcBorders>
            <w:shd w:fill="0D1117" w:val="clear"/>
            <w:tcMar>
              <w:top w:type="dxa" w:w="40"/>
              <w:left w:type="dxa" w:w="200"/>
              <w:bottom w:type="dxa" w:w="40"/>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40"/>
              <w:left w:type="dxa" w:w="200"/>
              <w:bottom w:type="dxa" w:w="40"/>
              <w:right w:type="dxa" w:w="200"/>
            </w:tcMar>
          </w:tcPr>
          <w:p>
            <w:r>
              <w:rPr>
                <w:rFonts w:ascii="Courier New" w:cs="Courier New" w:eastAsia="Courier New" w:hAnsi="Courier New"/>
                <w:color w:val="A8D8A8"/>
                <w:sz w:val="18"/>
                <w:szCs w:val="18"/>
              </w:rPr>
              <w:t xml:space="preserve">  Hi [Mutual],</w:t>
            </w:r>
          </w:p>
        </w:tc>
      </w:tr>
      <w:tr>
        <w:tc>
          <w:tcPr>
            <w:tcW w:type="dxa" w:w="9360"/>
            <w:tcBorders>
              <w:top w:val="none" w:color="FFFFFF" w:sz="0"/>
              <w:left w:val="none" w:color="FFFFFF" w:sz="0"/>
              <w:bottom w:val="none" w:color="FFFFFF" w:sz="0"/>
              <w:right w:val="none" w:color="FFFFFF" w:sz="0"/>
            </w:tcBorders>
            <w:shd w:fill="0D1117" w:val="clear"/>
            <w:tcMar>
              <w:top w:type="dxa" w:w="40"/>
              <w:left w:type="dxa" w:w="200"/>
              <w:bottom w:type="dxa" w:w="40"/>
              <w:right w:type="dxa" w:w="200"/>
            </w:tcMar>
          </w:tcPr>
          <w:p>
            <w:r>
              <w:rPr>
                <w:rFonts w:ascii="Courier New" w:cs="Courier New" w:eastAsia="Courier New" w:hAnsi="Courier New"/>
                <w:color w:val="A8D8A8"/>
                <w:sz w:val="18"/>
                <w:szCs w:val="18"/>
              </w:rPr>
              <w:t xml:space="preserve">  I know you're connected to [Investor] at [Fund].</w:t>
            </w:r>
          </w:p>
        </w:tc>
      </w:tr>
      <w:tr>
        <w:tc>
          <w:tcPr>
            <w:tcW w:type="dxa" w:w="9360"/>
            <w:tcBorders>
              <w:top w:val="none" w:color="FFFFFF" w:sz="0"/>
              <w:left w:val="none" w:color="FFFFFF" w:sz="0"/>
              <w:bottom w:val="none" w:color="FFFFFF" w:sz="0"/>
              <w:right w:val="none" w:color="FFFFFF" w:sz="0"/>
            </w:tcBorders>
            <w:shd w:fill="0D1117" w:val="clear"/>
            <w:tcMar>
              <w:top w:type="dxa" w:w="40"/>
              <w:left w:type="dxa" w:w="200"/>
              <w:bottom w:type="dxa" w:w="40"/>
              <w:right w:type="dxa" w:w="200"/>
            </w:tcMar>
          </w:tcPr>
          <w:p>
            <w:r>
              <w:rPr>
                <w:rFonts w:ascii="Courier New" w:cs="Courier New" w:eastAsia="Courier New" w:hAnsi="Courier New"/>
                <w:color w:val="A8D8A8"/>
                <w:sz w:val="18"/>
                <w:szCs w:val="18"/>
              </w:rPr>
              <w:t xml:space="preserve">  I'm building [App] — a goal execution app for youth, currently at</w:t>
            </w:r>
          </w:p>
        </w:tc>
      </w:tr>
      <w:tr>
        <w:tc>
          <w:tcPr>
            <w:tcW w:type="dxa" w:w="9360"/>
            <w:tcBorders>
              <w:top w:val="none" w:color="FFFFFF" w:sz="0"/>
              <w:left w:val="none" w:color="FFFFFF" w:sz="0"/>
              <w:bottom w:val="none" w:color="FFFFFF" w:sz="0"/>
              <w:right w:val="none" w:color="FFFFFF" w:sz="0"/>
            </w:tcBorders>
            <w:shd w:fill="0D1117" w:val="clear"/>
            <w:tcMar>
              <w:top w:type="dxa" w:w="40"/>
              <w:left w:type="dxa" w:w="200"/>
              <w:bottom w:type="dxa" w:w="40"/>
              <w:right w:type="dxa" w:w="200"/>
            </w:tcMar>
          </w:tcPr>
          <w:p>
            <w:r>
              <w:rPr>
                <w:rFonts w:ascii="Courier New" w:cs="Courier New" w:eastAsia="Courier New" w:hAnsi="Courier New"/>
                <w:color w:val="A8D8A8"/>
                <w:sz w:val="18"/>
                <w:szCs w:val="18"/>
              </w:rPr>
              <w:t xml:space="preserve">  [X] MAU with [Y]% Day-30 retention. Raising [₹Xcr] pre-seed.</w:t>
            </w:r>
          </w:p>
        </w:tc>
      </w:tr>
      <w:tr>
        <w:tc>
          <w:tcPr>
            <w:tcW w:type="dxa" w:w="9360"/>
            <w:tcBorders>
              <w:top w:val="none" w:color="FFFFFF" w:sz="0"/>
              <w:left w:val="none" w:color="FFFFFF" w:sz="0"/>
              <w:bottom w:val="none" w:color="FFFFFF" w:sz="0"/>
              <w:right w:val="none" w:color="FFFFFF" w:sz="0"/>
            </w:tcBorders>
            <w:shd w:fill="0D1117" w:val="clear"/>
            <w:tcMar>
              <w:top w:type="dxa" w:w="40"/>
              <w:left w:type="dxa" w:w="200"/>
              <w:bottom w:type="dxa" w:w="40"/>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40"/>
              <w:left w:type="dxa" w:w="200"/>
              <w:bottom w:type="dxa" w:w="40"/>
              <w:right w:type="dxa" w:w="200"/>
            </w:tcMar>
          </w:tcPr>
          <w:p>
            <w:r>
              <w:rPr>
                <w:rFonts w:ascii="Courier New" w:cs="Courier New" w:eastAsia="Courier New" w:hAnsi="Courier New"/>
                <w:color w:val="A8D8A8"/>
                <w:sz w:val="18"/>
                <w:szCs w:val="18"/>
              </w:rPr>
              <w:t xml:space="preserve">  Would you be open to forwarding the note below?</w:t>
            </w:r>
          </w:p>
        </w:tc>
      </w:tr>
      <w:tr>
        <w:tc>
          <w:tcPr>
            <w:tcW w:type="dxa" w:w="9360"/>
            <w:tcBorders>
              <w:top w:val="none" w:color="FFFFFF" w:sz="0"/>
              <w:left w:val="none" w:color="FFFFFF" w:sz="0"/>
              <w:bottom w:val="none" w:color="FFFFFF" w:sz="0"/>
              <w:right w:val="none" w:color="FFFFFF" w:sz="0"/>
            </w:tcBorders>
            <w:shd w:fill="0D1117" w:val="clear"/>
            <w:tcMar>
              <w:top w:type="dxa" w:w="40"/>
              <w:left w:type="dxa" w:w="200"/>
              <w:bottom w:type="dxa" w:w="40"/>
              <w:right w:type="dxa" w:w="200"/>
            </w:tcMar>
          </w:tcPr>
          <w:p>
            <w:r>
              <w:rPr>
                <w:rFonts w:ascii="Courier New" w:cs="Courier New" w:eastAsia="Courier New" w:hAnsi="Courier New"/>
                <w:color w:val="A8D8A8"/>
                <w:sz w:val="18"/>
                <w:szCs w:val="18"/>
              </w:rPr>
              <w:t xml:space="preserve">  I'll make it easy — here's a one-paragraph intro you can send:</w:t>
            </w:r>
          </w:p>
        </w:tc>
      </w:tr>
      <w:tr>
        <w:tc>
          <w:tcPr>
            <w:tcW w:type="dxa" w:w="9360"/>
            <w:tcBorders>
              <w:top w:val="none" w:color="FFFFFF" w:sz="0"/>
              <w:left w:val="none" w:color="FFFFFF" w:sz="0"/>
              <w:bottom w:val="none" w:color="FFFFFF" w:sz="0"/>
              <w:right w:val="none" w:color="FFFFFF" w:sz="0"/>
            </w:tcBorders>
            <w:shd w:fill="0D1117" w:val="clear"/>
            <w:tcMar>
              <w:top w:type="dxa" w:w="40"/>
              <w:left w:type="dxa" w:w="200"/>
              <w:bottom w:type="dxa" w:w="40"/>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40"/>
              <w:left w:type="dxa" w:w="200"/>
              <w:bottom w:type="dxa" w:w="40"/>
              <w:right w:type="dxa" w:w="200"/>
            </w:tcMar>
          </w:tcPr>
          <w:p>
            <w:r>
              <w:rPr>
                <w:rFonts w:ascii="Courier New" w:cs="Courier New" w:eastAsia="Courier New" w:hAnsi="Courier New"/>
                <w:color w:val="A8D8A8"/>
                <w:sz w:val="18"/>
                <w:szCs w:val="18"/>
              </w:rPr>
              <w:t xml:space="preserve">  --- Forward from here ---</w:t>
            </w:r>
          </w:p>
        </w:tc>
      </w:tr>
      <w:tr>
        <w:tc>
          <w:tcPr>
            <w:tcW w:type="dxa" w:w="9360"/>
            <w:tcBorders>
              <w:top w:val="none" w:color="FFFFFF" w:sz="0"/>
              <w:left w:val="none" w:color="FFFFFF" w:sz="0"/>
              <w:bottom w:val="none" w:color="FFFFFF" w:sz="0"/>
              <w:right w:val="none" w:color="FFFFFF" w:sz="0"/>
            </w:tcBorders>
            <w:shd w:fill="0D1117" w:val="clear"/>
            <w:tcMar>
              <w:top w:type="dxa" w:w="40"/>
              <w:left w:type="dxa" w:w="200"/>
              <w:bottom w:type="dxa" w:w="40"/>
              <w:right w:type="dxa" w:w="200"/>
            </w:tcMar>
          </w:tcPr>
          <w:p>
            <w:r>
              <w:rPr>
                <w:rFonts w:ascii="Courier New" w:cs="Courier New" w:eastAsia="Courier New" w:hAnsi="Courier New"/>
                <w:color w:val="A8D8A8"/>
                <w:sz w:val="18"/>
                <w:szCs w:val="18"/>
              </w:rPr>
              <w:t xml:space="preserve">  [Investor], wanted to connect you with [Your Name], founder of</w:t>
            </w:r>
          </w:p>
        </w:tc>
      </w:tr>
      <w:tr>
        <w:tc>
          <w:tcPr>
            <w:tcW w:type="dxa" w:w="9360"/>
            <w:tcBorders>
              <w:top w:val="none" w:color="FFFFFF" w:sz="0"/>
              <w:left w:val="none" w:color="FFFFFF" w:sz="0"/>
              <w:bottom w:val="none" w:color="FFFFFF" w:sz="0"/>
              <w:right w:val="none" w:color="FFFFFF" w:sz="0"/>
            </w:tcBorders>
            <w:shd w:fill="0D1117" w:val="clear"/>
            <w:tcMar>
              <w:top w:type="dxa" w:w="40"/>
              <w:left w:type="dxa" w:w="200"/>
              <w:bottom w:type="dxa" w:w="40"/>
              <w:right w:type="dxa" w:w="200"/>
            </w:tcMar>
          </w:tcPr>
          <w:p>
            <w:r>
              <w:rPr>
                <w:rFonts w:ascii="Courier New" w:cs="Courier New" w:eastAsia="Courier New" w:hAnsi="Courier New"/>
                <w:color w:val="A8D8A8"/>
                <w:sz w:val="18"/>
                <w:szCs w:val="18"/>
              </w:rPr>
              <w:t xml:space="preserve">  [App]. They are building [one-line description] with early traction</w:t>
            </w:r>
          </w:p>
        </w:tc>
      </w:tr>
      <w:tr>
        <w:tc>
          <w:tcPr>
            <w:tcW w:type="dxa" w:w="9360"/>
            <w:tcBorders>
              <w:top w:val="none" w:color="FFFFFF" w:sz="0"/>
              <w:left w:val="none" w:color="FFFFFF" w:sz="0"/>
              <w:bottom w:val="none" w:color="FFFFFF" w:sz="0"/>
              <w:right w:val="none" w:color="FFFFFF" w:sz="0"/>
            </w:tcBorders>
            <w:shd w:fill="0D1117" w:val="clear"/>
            <w:tcMar>
              <w:top w:type="dxa" w:w="40"/>
              <w:left w:type="dxa" w:w="200"/>
              <w:bottom w:type="dxa" w:w="40"/>
              <w:right w:type="dxa" w:w="200"/>
            </w:tcMar>
          </w:tcPr>
          <w:p>
            <w:r>
              <w:rPr>
                <w:rFonts w:ascii="Courier New" w:cs="Courier New" w:eastAsia="Courier New" w:hAnsi="Courier New"/>
                <w:color w:val="A8D8A8"/>
                <w:sz w:val="18"/>
                <w:szCs w:val="18"/>
              </w:rPr>
              <w:t xml:space="preserve">  ([metric]). Worth a 20-min call. [Your Name] → [your email]</w:t>
            </w:r>
          </w:p>
        </w:tc>
      </w:tr>
      <w:tr>
        <w:tc>
          <w:tcPr>
            <w:tcW w:type="dxa" w:w="9360"/>
            <w:tcBorders>
              <w:top w:val="none" w:color="FFFFFF" w:sz="0"/>
              <w:left w:val="none" w:color="FFFFFF" w:sz="0"/>
              <w:bottom w:val="none" w:color="FFFFFF" w:sz="0"/>
              <w:right w:val="none" w:color="FFFFFF" w:sz="0"/>
            </w:tcBorders>
            <w:shd w:fill="0D1117" w:val="clear"/>
            <w:tcMar>
              <w:top w:type="dxa" w:w="40"/>
              <w:left w:type="dxa" w:w="200"/>
              <w:bottom w:type="dxa" w:w="40"/>
              <w:right w:type="dxa" w:w="200"/>
            </w:tcMar>
          </w:tcPr>
          <w:p>
            <w:r>
              <w:rPr>
                <w:rFonts w:ascii="Courier New" w:cs="Courier New" w:eastAsia="Courier New" w:hAnsi="Courier New"/>
                <w:color w:val="A8D8A8"/>
                <w:sz w:val="18"/>
                <w:szCs w:val="18"/>
              </w:rPr>
              <w:t xml:space="preserve">  --- End forward ---</w:t>
            </w:r>
          </w:p>
        </w:tc>
      </w:tr>
      <w:tr>
        <w:tc>
          <w:tcPr>
            <w:tcW w:type="dxa" w:w="9360"/>
            <w:tcBorders>
              <w:top w:val="none" w:color="FFFFFF" w:sz="0"/>
              <w:left w:val="none" w:color="FFFFFF" w:sz="0"/>
              <w:bottom w:val="none" w:color="FFFFFF" w:sz="0"/>
              <w:right w:val="none" w:color="FFFFFF" w:sz="0"/>
            </w:tcBorders>
            <w:shd w:fill="0D1117" w:val="clear"/>
            <w:tcMar>
              <w:top w:type="dxa" w:w="40"/>
              <w:left w:type="dxa" w:w="200"/>
              <w:bottom w:type="dxa" w:w="40"/>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40"/>
              <w:left w:type="dxa" w:w="200"/>
              <w:bottom w:type="dxa" w:w="40"/>
              <w:right w:type="dxa" w:w="200"/>
            </w:tcMar>
          </w:tcPr>
          <w:p>
            <w:r>
              <w:rPr>
                <w:rFonts w:ascii="Courier New" w:cs="Courier New" w:eastAsia="Courier New" w:hAnsi="Courier New"/>
                <w:color w:val="A8D8A8"/>
                <w:sz w:val="18"/>
                <w:szCs w:val="18"/>
              </w:rPr>
              <w:t xml:space="preserve">  Thank you, [Your Name]</w:t>
            </w:r>
          </w:p>
        </w:tc>
      </w:tr>
    </w:tbl>
    <w:p>
      <w:pPr>
        <w:spacing w:before="120" w:after="120"/>
      </w:pPr>
      <w:r>
        <w:t xml:space="preserve"/>
      </w:r>
    </w:p>
    <w:p>
      <w:pPr>
        <w:pStyle w:val="Heading2"/>
        <w:spacing w:before="280" w:after="100"/>
      </w:pPr>
      <w:r>
        <w:rPr>
          <w:rFonts w:ascii="Arial" w:cs="Arial" w:eastAsia="Arial" w:hAnsi="Arial"/>
          <w:b/>
          <w:bCs/>
          <w:color w:val="0D1117"/>
          <w:sz w:val="26"/>
          <w:szCs w:val="26"/>
        </w:rPr>
        <w:t xml:space="preserve">6.3  Cold Outreach (When Warm Is Not Possible)</w:t>
      </w:r>
    </w:p>
    <w:p>
      <w:pPr>
        <w:spacing w:before="40" w:after="140"/>
      </w:pPr>
      <w:r>
        <w:rPr>
          <w:rFonts w:ascii="Arial" w:cs="Arial" w:eastAsia="Arial" w:hAnsi="Arial"/>
          <w:color w:val="0F172A"/>
          <w:sz w:val="20"/>
          <w:szCs w:val="20"/>
        </w:rPr>
        <w:t xml:space="preserve">If you have no warm path, a great cold email can still get a meeting. It must be under 100 words and hook in the first line.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40"/>
              <w:left w:type="dxa" w:w="200"/>
              <w:bottom w:type="dxa" w:w="40"/>
              <w:right w:type="dxa" w:w="200"/>
            </w:tcMar>
          </w:tcPr>
          <w:p>
            <w:r>
              <w:rPr>
                <w:rFonts w:ascii="Courier New" w:cs="Courier New" w:eastAsia="Courier New" w:hAnsi="Courier New"/>
                <w:color w:val="A8D8A8"/>
                <w:sz w:val="18"/>
                <w:szCs w:val="18"/>
              </w:rPr>
              <w:t xml:space="preserve">  Subject: [App] — [X] MAU, [Y]% D30 retention, raising pre-seed</w:t>
            </w:r>
          </w:p>
        </w:tc>
      </w:tr>
      <w:tr>
        <w:tc>
          <w:tcPr>
            <w:tcW w:type="dxa" w:w="9360"/>
            <w:tcBorders>
              <w:top w:val="none" w:color="FFFFFF" w:sz="0"/>
              <w:left w:val="none" w:color="FFFFFF" w:sz="0"/>
              <w:bottom w:val="none" w:color="FFFFFF" w:sz="0"/>
              <w:right w:val="none" w:color="FFFFFF" w:sz="0"/>
            </w:tcBorders>
            <w:shd w:fill="0D1117" w:val="clear"/>
            <w:tcMar>
              <w:top w:type="dxa" w:w="40"/>
              <w:left w:type="dxa" w:w="200"/>
              <w:bottom w:type="dxa" w:w="40"/>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40"/>
              <w:left w:type="dxa" w:w="200"/>
              <w:bottom w:type="dxa" w:w="40"/>
              <w:right w:type="dxa" w:w="200"/>
            </w:tcMar>
          </w:tcPr>
          <w:p>
            <w:r>
              <w:rPr>
                <w:rFonts w:ascii="Courier New" w:cs="Courier New" w:eastAsia="Courier New" w:hAnsi="Courier New"/>
                <w:color w:val="A8D8A8"/>
                <w:sz w:val="18"/>
                <w:szCs w:val="18"/>
              </w:rPr>
              <w:t xml:space="preserve">  Hi [First Name],</w:t>
            </w:r>
          </w:p>
        </w:tc>
      </w:tr>
      <w:tr>
        <w:tc>
          <w:tcPr>
            <w:tcW w:type="dxa" w:w="9360"/>
            <w:tcBorders>
              <w:top w:val="none" w:color="FFFFFF" w:sz="0"/>
              <w:left w:val="none" w:color="FFFFFF" w:sz="0"/>
              <w:bottom w:val="none" w:color="FFFFFF" w:sz="0"/>
              <w:right w:val="none" w:color="FFFFFF" w:sz="0"/>
            </w:tcBorders>
            <w:shd w:fill="0D1117" w:val="clear"/>
            <w:tcMar>
              <w:top w:type="dxa" w:w="40"/>
              <w:left w:type="dxa" w:w="200"/>
              <w:bottom w:type="dxa" w:w="40"/>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40"/>
              <w:left w:type="dxa" w:w="200"/>
              <w:bottom w:type="dxa" w:w="40"/>
              <w:right w:type="dxa" w:w="200"/>
            </w:tcMar>
          </w:tcPr>
          <w:p>
            <w:r>
              <w:rPr>
                <w:rFonts w:ascii="Courier New" w:cs="Courier New" w:eastAsia="Courier New" w:hAnsi="Courier New"/>
                <w:color w:val="A8D8A8"/>
                <w:sz w:val="18"/>
                <w:szCs w:val="18"/>
              </w:rPr>
              <w:t xml:space="preserve">  I'm [Name], founder of [App] — a goal execution app for</w:t>
            </w:r>
          </w:p>
        </w:tc>
      </w:tr>
      <w:tr>
        <w:tc>
          <w:tcPr>
            <w:tcW w:type="dxa" w:w="9360"/>
            <w:tcBorders>
              <w:top w:val="none" w:color="FFFFFF" w:sz="0"/>
              <w:left w:val="none" w:color="FFFFFF" w:sz="0"/>
              <w:bottom w:val="none" w:color="FFFFFF" w:sz="0"/>
              <w:right w:val="none" w:color="FFFFFF" w:sz="0"/>
            </w:tcBorders>
            <w:shd w:fill="0D1117" w:val="clear"/>
            <w:tcMar>
              <w:top w:type="dxa" w:w="40"/>
              <w:left w:type="dxa" w:w="200"/>
              <w:bottom w:type="dxa" w:w="40"/>
              <w:right w:type="dxa" w:w="200"/>
            </w:tcMar>
          </w:tcPr>
          <w:p>
            <w:r>
              <w:rPr>
                <w:rFonts w:ascii="Courier New" w:cs="Courier New" w:eastAsia="Courier New" w:hAnsi="Courier New"/>
                <w:color w:val="A8D8A8"/>
                <w:sz w:val="18"/>
                <w:szCs w:val="18"/>
              </w:rPr>
              <w:t xml:space="preserve">  students and young professionals.</w:t>
            </w:r>
          </w:p>
        </w:tc>
      </w:tr>
      <w:tr>
        <w:tc>
          <w:tcPr>
            <w:tcW w:type="dxa" w:w="9360"/>
            <w:tcBorders>
              <w:top w:val="none" w:color="FFFFFF" w:sz="0"/>
              <w:left w:val="none" w:color="FFFFFF" w:sz="0"/>
              <w:bottom w:val="none" w:color="FFFFFF" w:sz="0"/>
              <w:right w:val="none" w:color="FFFFFF" w:sz="0"/>
            </w:tcBorders>
            <w:shd w:fill="0D1117" w:val="clear"/>
            <w:tcMar>
              <w:top w:type="dxa" w:w="40"/>
              <w:left w:type="dxa" w:w="200"/>
              <w:bottom w:type="dxa" w:w="40"/>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40"/>
              <w:left w:type="dxa" w:w="200"/>
              <w:bottom w:type="dxa" w:w="40"/>
              <w:right w:type="dxa" w:w="200"/>
            </w:tcMar>
          </w:tcPr>
          <w:p>
            <w:r>
              <w:rPr>
                <w:rFonts w:ascii="Courier New" w:cs="Courier New" w:eastAsia="Courier New" w:hAnsi="Courier New"/>
                <w:color w:val="A8D8A8"/>
                <w:sz w:val="18"/>
                <w:szCs w:val="18"/>
              </w:rPr>
              <w:t xml:space="preserve">  In [X months]: [MAU] monthly active users, [X]% Day-30 retention,</w:t>
            </w:r>
          </w:p>
        </w:tc>
      </w:tr>
      <w:tr>
        <w:tc>
          <w:tcPr>
            <w:tcW w:type="dxa" w:w="9360"/>
            <w:tcBorders>
              <w:top w:val="none" w:color="FFFFFF" w:sz="0"/>
              <w:left w:val="none" w:color="FFFFFF" w:sz="0"/>
              <w:bottom w:val="none" w:color="FFFFFF" w:sz="0"/>
              <w:right w:val="none" w:color="FFFFFF" w:sz="0"/>
            </w:tcBorders>
            <w:shd w:fill="0D1117" w:val="clear"/>
            <w:tcMar>
              <w:top w:type="dxa" w:w="40"/>
              <w:left w:type="dxa" w:w="200"/>
              <w:bottom w:type="dxa" w:w="40"/>
              <w:right w:type="dxa" w:w="200"/>
            </w:tcMar>
          </w:tcPr>
          <w:p>
            <w:r>
              <w:rPr>
                <w:rFonts w:ascii="Courier New" w:cs="Courier New" w:eastAsia="Courier New" w:hAnsi="Courier New"/>
                <w:color w:val="A8D8A8"/>
                <w:sz w:val="18"/>
                <w:szCs w:val="18"/>
              </w:rPr>
              <w:t xml:space="preserve">  ₹[X]L MRR. Growing [X]% MoM. Raising ₹[X]Cr pre-seed.</w:t>
            </w:r>
          </w:p>
        </w:tc>
      </w:tr>
      <w:tr>
        <w:tc>
          <w:tcPr>
            <w:tcW w:type="dxa" w:w="9360"/>
            <w:tcBorders>
              <w:top w:val="none" w:color="FFFFFF" w:sz="0"/>
              <w:left w:val="none" w:color="FFFFFF" w:sz="0"/>
              <w:bottom w:val="none" w:color="FFFFFF" w:sz="0"/>
              <w:right w:val="none" w:color="FFFFFF" w:sz="0"/>
            </w:tcBorders>
            <w:shd w:fill="0D1117" w:val="clear"/>
            <w:tcMar>
              <w:top w:type="dxa" w:w="40"/>
              <w:left w:type="dxa" w:w="200"/>
              <w:bottom w:type="dxa" w:w="40"/>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40"/>
              <w:left w:type="dxa" w:w="200"/>
              <w:bottom w:type="dxa" w:w="40"/>
              <w:right w:type="dxa" w:w="200"/>
            </w:tcMar>
          </w:tcPr>
          <w:p>
            <w:r>
              <w:rPr>
                <w:rFonts w:ascii="Courier New" w:cs="Courier New" w:eastAsia="Courier New" w:hAnsi="Courier New"/>
                <w:color w:val="A8D8A8"/>
                <w:sz w:val="18"/>
                <w:szCs w:val="18"/>
              </w:rPr>
              <w:t xml:space="preserve">  We are specifically solving [one-line problem] for the [X] million</w:t>
            </w:r>
          </w:p>
        </w:tc>
      </w:tr>
      <w:tr>
        <w:tc>
          <w:tcPr>
            <w:tcW w:type="dxa" w:w="9360"/>
            <w:tcBorders>
              <w:top w:val="none" w:color="FFFFFF" w:sz="0"/>
              <w:left w:val="none" w:color="FFFFFF" w:sz="0"/>
              <w:bottom w:val="none" w:color="FFFFFF" w:sz="0"/>
              <w:right w:val="none" w:color="FFFFFF" w:sz="0"/>
            </w:tcBorders>
            <w:shd w:fill="0D1117" w:val="clear"/>
            <w:tcMar>
              <w:top w:type="dxa" w:w="40"/>
              <w:left w:type="dxa" w:w="200"/>
              <w:bottom w:type="dxa" w:w="40"/>
              <w:right w:type="dxa" w:w="200"/>
            </w:tcMar>
          </w:tcPr>
          <w:p>
            <w:r>
              <w:rPr>
                <w:rFonts w:ascii="Courier New" w:cs="Courier New" w:eastAsia="Courier New" w:hAnsi="Courier New"/>
                <w:color w:val="A8D8A8"/>
                <w:sz w:val="18"/>
                <w:szCs w:val="18"/>
              </w:rPr>
              <w:t xml:space="preserve">  [students/youth] in India who [one-line pain point].</w:t>
            </w:r>
          </w:p>
        </w:tc>
      </w:tr>
      <w:tr>
        <w:tc>
          <w:tcPr>
            <w:tcW w:type="dxa" w:w="9360"/>
            <w:tcBorders>
              <w:top w:val="none" w:color="FFFFFF" w:sz="0"/>
              <w:left w:val="none" w:color="FFFFFF" w:sz="0"/>
              <w:bottom w:val="none" w:color="FFFFFF" w:sz="0"/>
              <w:right w:val="none" w:color="FFFFFF" w:sz="0"/>
            </w:tcBorders>
            <w:shd w:fill="0D1117" w:val="clear"/>
            <w:tcMar>
              <w:top w:type="dxa" w:w="40"/>
              <w:left w:type="dxa" w:w="200"/>
              <w:bottom w:type="dxa" w:w="40"/>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40"/>
              <w:left w:type="dxa" w:w="200"/>
              <w:bottom w:type="dxa" w:w="40"/>
              <w:right w:type="dxa" w:w="200"/>
            </w:tcMar>
          </w:tcPr>
          <w:p>
            <w:r>
              <w:rPr>
                <w:rFonts w:ascii="Courier New" w:cs="Courier New" w:eastAsia="Courier New" w:hAnsi="Courier New"/>
                <w:color w:val="A8D8A8"/>
                <w:sz w:val="18"/>
                <w:szCs w:val="18"/>
              </w:rPr>
              <w:t xml:space="preserve">  Deck: [link]. Happy to send numbers.</w:t>
            </w:r>
          </w:p>
        </w:tc>
      </w:tr>
      <w:tr>
        <w:tc>
          <w:tcPr>
            <w:tcW w:type="dxa" w:w="9360"/>
            <w:tcBorders>
              <w:top w:val="none" w:color="FFFFFF" w:sz="0"/>
              <w:left w:val="none" w:color="FFFFFF" w:sz="0"/>
              <w:bottom w:val="none" w:color="FFFFFF" w:sz="0"/>
              <w:right w:val="none" w:color="FFFFFF" w:sz="0"/>
            </w:tcBorders>
            <w:shd w:fill="0D1117" w:val="clear"/>
            <w:tcMar>
              <w:top w:type="dxa" w:w="40"/>
              <w:left w:type="dxa" w:w="200"/>
              <w:bottom w:type="dxa" w:w="40"/>
              <w:right w:type="dxa" w:w="200"/>
            </w:tcMar>
          </w:tcPr>
          <w:p>
            <w:r>
              <w:rPr>
                <w:rFonts w:ascii="Courier New" w:cs="Courier New" w:eastAsia="Courier New" w:hAnsi="Courier New"/>
                <w:color w:val="A8D8A8"/>
                <w:sz w:val="18"/>
                <w:szCs w:val="18"/>
              </w:rPr>
              <w:t xml:space="preserve">  15-min call this week or next?</w:t>
            </w:r>
          </w:p>
        </w:tc>
      </w:tr>
      <w:tr>
        <w:tc>
          <w:tcPr>
            <w:tcW w:type="dxa" w:w="9360"/>
            <w:tcBorders>
              <w:top w:val="none" w:color="FFFFFF" w:sz="0"/>
              <w:left w:val="none" w:color="FFFFFF" w:sz="0"/>
              <w:bottom w:val="none" w:color="FFFFFF" w:sz="0"/>
              <w:right w:val="none" w:color="FFFFFF" w:sz="0"/>
            </w:tcBorders>
            <w:shd w:fill="0D1117" w:val="clear"/>
            <w:tcMar>
              <w:top w:type="dxa" w:w="40"/>
              <w:left w:type="dxa" w:w="200"/>
              <w:bottom w:type="dxa" w:w="40"/>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40"/>
              <w:left w:type="dxa" w:w="200"/>
              <w:bottom w:type="dxa" w:w="40"/>
              <w:right w:type="dxa" w:w="200"/>
            </w:tcMar>
          </w:tcPr>
          <w:p>
            <w:r>
              <w:rPr>
                <w:rFonts w:ascii="Courier New" w:cs="Courier New" w:eastAsia="Courier New" w:hAnsi="Courier New"/>
                <w:color w:val="A8D8A8"/>
                <w:sz w:val="18"/>
                <w:szCs w:val="18"/>
              </w:rPr>
              <w:t xml:space="preserve">  [Name]</w:t>
            </w:r>
          </w:p>
        </w:tc>
      </w:tr>
    </w:tbl>
    <w:p>
      <w:pPr>
        <w:spacing w:before="120" w:after="120"/>
      </w:pPr>
      <w:r>
        <w:t xml:space="preserve"/>
      </w:r>
    </w:p>
    <w:p>
      <w:pPr>
        <w:pStyle w:val="Heading2"/>
        <w:spacing w:before="280" w:after="100"/>
      </w:pPr>
      <w:r>
        <w:rPr>
          <w:rFonts w:ascii="Arial" w:cs="Arial" w:eastAsia="Arial" w:hAnsi="Arial"/>
          <w:b/>
          <w:bCs/>
          <w:color w:val="0D1117"/>
          <w:sz w:val="26"/>
          <w:szCs w:val="26"/>
        </w:rPr>
        <w:t xml:space="preserve">6.4  Investor Meeting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Preparation Item</w:t>
            </w:r>
          </w:p>
        </w:tc>
        <w:tc>
          <w:tcPr>
            <w:tcW w:type="dxa" w:w="624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What to Do</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Research the investor deeply</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Read every public interview, Twitter/LinkedIn post, and podcast appearance. Know their investment thesis, portfolio companies, and stated interest areas. Reference one specific thing they have said in your opening.</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Prepare your numbers cold</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Know from memory: MAU, DAU/MAU ratio, D7 and D30 retention, MRR, MoM growth, CAC, LTV, burn rate, runway. You will be asked all of these. Looking them up in the meeting destroys credibility.</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Prepare your story</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Practice 3 versions: 30-second elevator pitch, 3-minute overview, 20-minute full deck. The 30-second version is the most important — it is how the investor describes you to their partners.</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Prepare the hard questions</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'Why will you win against Notion/Todoist?' 'What happens if Google enters this space?' 'What is your unfair advantage?' 'Why are YOU the right founder for this?' Prepare clear, confident answers.</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Send materials in advance</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Email the 10-slide teaser deck 24 hours before the meeting. Attach: deck (PDF), one-pager (PDF), and optionally a product demo video (&lt; 3 minutes, unlisted YouTube link).</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Prepare your ask clearly</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Know your exact ask: amount, instrument (SAFE / equity), valuation cap, and what you will use the money for. Vague asks signal lack of planning and destroy investor confidence.</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DC2626"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07</w:t>
            </w:r>
          </w:p>
        </w:tc>
        <w:tc>
          <w:tcPr>
            <w:tcW w:type="dxa" w:w="8400"/>
            <w:tcBorders>
              <w:top w:val="none" w:color="FFFFFF" w:sz="0"/>
              <w:left w:val="none" w:color="FFFFFF" w:sz="0"/>
              <w:bottom w:val="none" w:color="FFFFFF" w:sz="0"/>
              <w:right w:val="none" w:color="FFFFFF" w:sz="0"/>
            </w:tcBorders>
            <w:shd w:fill="DC2626"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Due Diligence Document Pack</w:t>
            </w:r>
          </w:p>
          <w:p>
            <w:pPr>
              <w:spacing w:before="0" w:after="0"/>
            </w:pPr>
            <w:r>
              <w:rPr>
                <w:rFonts w:ascii="Arial" w:cs="Arial" w:eastAsia="Arial" w:hAnsi="Arial"/>
                <w:color w:val="BBCCDD"/>
                <w:sz w:val="18"/>
                <w:szCs w:val="18"/>
              </w:rPr>
              <w:t xml:space="preserve">Every document investors will request — prepare them all before your first meeting</w:t>
            </w:r>
          </w:p>
        </w:tc>
      </w:tr>
    </w:tbl>
    <w:p>
      <w:pPr>
        <w:spacing w:before="120" w:after="120"/>
      </w:pPr>
      <w:r>
        <w:t xml:space="preserve"/>
      </w:r>
    </w:p>
    <w:p>
      <w:pPr>
        <w:spacing w:before="360" w:after="60"/>
      </w:pPr>
      <w:r>
        <w:rPr>
          <w:rFonts w:ascii="Arial" w:cs="Arial" w:eastAsia="Arial" w:hAnsi="Arial"/>
          <w:b/>
          <w:bCs/>
          <w:caps/>
          <w:color w:val="2563EB"/>
          <w:sz w:val="16"/>
          <w:szCs w:val="16"/>
        </w:rPr>
        <w:t xml:space="preserve">PART 7 — DUE DILIGENCE</w:t>
      </w:r>
    </w:p>
    <w:p>
      <w:pPr>
        <w:pStyle w:val="Heading1"/>
        <w:spacing w:before="40" w:after="120"/>
      </w:pPr>
      <w:r>
        <w:rPr>
          <w:rFonts w:ascii="Arial" w:cs="Arial" w:eastAsia="Arial" w:hAnsi="Arial"/>
          <w:b/>
          <w:bCs/>
          <w:color w:val="0D1117"/>
          <w:sz w:val="40"/>
          <w:szCs w:val="40"/>
        </w:rPr>
        <w:t xml:space="preserve">Due Diligence Document Pack</w:t>
      </w:r>
    </w:p>
    <w:p>
      <w:pPr>
        <w:pBdr>
          <w:bottom w:val="single" w:color="DC2626" w:sz="6" w:space="1"/>
        </w:pBdr>
        <w:spacing w:before="0" w:after="200"/>
      </w:pPr>
      <w:r>
        <w:t xml:space="preserve"/>
      </w:r>
    </w:p>
    <w:p>
      <w:pPr>
        <w:spacing w:before="60" w:after="60"/>
      </w:pPr>
      <w:r>
        <w:t xml:space="preserve"/>
      </w:r>
    </w:p>
    <w:p>
      <w:pPr>
        <w:spacing w:before="40" w:after="140"/>
      </w:pPr>
      <w:r>
        <w:rPr>
          <w:rFonts w:ascii="Arial" w:cs="Arial" w:eastAsia="Arial" w:hAnsi="Arial"/>
          <w:color w:val="0F172A"/>
          <w:sz w:val="20"/>
          <w:szCs w:val="20"/>
        </w:rPr>
        <w:t xml:space="preserve">When an investor says 'we are interested,' they will immediately request a due diligence data room. Having all documents ready signals professionalism and accelerates closing. Investors walk away from deals that take too long to close.</w:t>
      </w:r>
    </w:p>
    <w:p>
      <w:pPr>
        <w:spacing w:before="80" w:after="80"/>
      </w:pPr>
      <w:r>
        <w:t xml:space="preserve"/>
      </w:r>
    </w:p>
    <w:p>
      <w:pPr>
        <w:pStyle w:val="Heading2"/>
        <w:spacing w:before="280" w:after="100"/>
      </w:pPr>
      <w:r>
        <w:rPr>
          <w:rFonts w:ascii="Arial" w:cs="Arial" w:eastAsia="Arial" w:hAnsi="Arial"/>
          <w:b/>
          <w:bCs/>
          <w:color w:val="0D1117"/>
          <w:sz w:val="26"/>
          <w:szCs w:val="26"/>
        </w:rPr>
        <w:t xml:space="preserve">7.1  Complete Document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c>
          <w:tcPr>
            <w:tcW w:type="dxa" w:w="312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Document</w:t>
            </w:r>
          </w:p>
        </w:tc>
        <w:tc>
          <w:tcPr>
            <w:tcW w:type="dxa" w:w="468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What It Contains</w:t>
            </w:r>
          </w:p>
        </w:tc>
        <w:tc>
          <w:tcPr>
            <w:tcW w:type="dxa" w:w="156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Cap Table (Capitalization Table)</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Full equity ownership breakdown: every founder, investor, advisor, and ESOP pool. Show pre-money and post-money ownership percentages for the proposed round.</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DC2626"/>
                <w:sz w:val="20"/>
                <w:szCs w:val="20"/>
              </w:rPr>
              <w:t xml:space="preserve">Critical</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12-Month Financial Model</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Monthly P&amp;L projections, revenue by tier, burn rate, headcount plan, cash flow statement, key assumptions documented. Build in Excel or Google Sheets.</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DC2626"/>
                <w:sz w:val="20"/>
                <w:szCs w:val="20"/>
              </w:rPr>
              <w:t xml:space="preserve">Critical</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Certificate of Incorporation</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Company registration documents, MOA (Memorandum of Association), AOA (Articles of Association). Issued by MCA at time of registration.</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DC2626"/>
                <w:sz w:val="20"/>
                <w:szCs w:val="20"/>
              </w:rPr>
              <w:t xml:space="preserve">Critical</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Founders Agreement</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Equity split, vesting schedule, IP assignment, roles, non-compete, and buyback rights if a founder exits.</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DC2626"/>
                <w:sz w:val="20"/>
                <w:szCs w:val="20"/>
              </w:rPr>
              <w:t xml:space="preserve">Critical</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IP Assignment Agreements</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Signed by every founder and any contractor who has written code. Transfers all IP to the company. Without this, the company does not legally own its own product.</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DC2626"/>
                <w:sz w:val="20"/>
                <w:szCs w:val="20"/>
              </w:rPr>
              <w:t xml:space="preserve">Critical</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Audited Financials (if available)</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For companies &gt;12 months old. Bank statements for last 6 months minimum. GST returns if applicable.</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High</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Product Roadmap (12 months)</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What you plan to build, in what order, and why. Quarterly milestones. Connect roadmap features to metric improvement hypothesis.</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High</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User Metrics Dashboard</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Export from PostHog/Mixpanel: install chart, DAU/MAU, D7/D30 retention curve, conversion funnel, MRR chart. Screenshots or live access.</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High</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Team CVs / LinkedIn</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Concise 1-page profile per founder/key hire: education, relevant experience, why this company.</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Medium</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Reference User Interviews</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3–5 recorded or transcribed interviews with power users explaining why they love the app and what problem it solves. The best investor communication is a user talking.</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Medium</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Competitive Analysis</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Detailed comparison with top 5 competitors: features, pricing, user reviews, funding, and your differentiation.</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Medium</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Previous funding documents</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All signed SAFEs, convertible notes, or share purchase agreements from prior rounds. Investors need to see the full cap table history.</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If applicable</w:t>
            </w:r>
          </w:p>
        </w:tc>
      </w:tr>
    </w:tbl>
    <w:p>
      <w:pPr>
        <w:spacing w:before="120" w:after="120"/>
      </w:pPr>
      <w:r>
        <w:t xml:space="preserve"/>
      </w:r>
    </w:p>
    <w:p>
      <w:pPr>
        <w:pStyle w:val="Heading2"/>
        <w:spacing w:before="280" w:after="100"/>
      </w:pPr>
      <w:r>
        <w:rPr>
          <w:rFonts w:ascii="Arial" w:cs="Arial" w:eastAsia="Arial" w:hAnsi="Arial"/>
          <w:b/>
          <w:bCs/>
          <w:color w:val="0D1117"/>
          <w:sz w:val="26"/>
          <w:szCs w:val="26"/>
        </w:rPr>
        <w:t xml:space="preserve">7.2  Data Room Setup</w:t>
      </w:r>
    </w:p>
    <w:p>
      <w:pPr>
        <w:pStyle w:val="ListParagraph"/>
        <w:numPr>
          <w:ilvl w:val="0"/>
          <w:numId w:val="2"/>
        </w:numPr>
        <w:spacing w:before="40" w:after="60"/>
      </w:pPr>
      <w:r>
        <w:rPr>
          <w:rFonts w:ascii="Arial" w:cs="Arial" w:eastAsia="Arial" w:hAnsi="Arial"/>
          <w:b w:val="false"/>
          <w:bCs w:val="false"/>
          <w:color w:val="0F172A"/>
          <w:sz w:val="20"/>
          <w:szCs w:val="20"/>
        </w:rPr>
        <w:t xml:space="preserve">Use Google Drive (organized folders) or Notion for small rounds. Use Docsend for larger rounds — tracks who views what and for how long, giving you negotiation intelligence.</w:t>
      </w:r>
    </w:p>
    <w:p>
      <w:pPr>
        <w:pStyle w:val="ListParagraph"/>
        <w:numPr>
          <w:ilvl w:val="0"/>
          <w:numId w:val="2"/>
        </w:numPr>
        <w:spacing w:before="40" w:after="60"/>
      </w:pPr>
      <w:r>
        <w:rPr>
          <w:rFonts w:ascii="Arial" w:cs="Arial" w:eastAsia="Arial" w:hAnsi="Arial"/>
          <w:b w:val="false"/>
          <w:bCs w:val="false"/>
          <w:color w:val="0F172A"/>
          <w:sz w:val="20"/>
          <w:szCs w:val="20"/>
        </w:rPr>
        <w:t xml:space="preserve">Folder structure: /Company Docs / /Financials / /Product / /Team / /Legal / /Metrics</w:t>
      </w:r>
    </w:p>
    <w:p>
      <w:pPr>
        <w:pStyle w:val="ListParagraph"/>
        <w:numPr>
          <w:ilvl w:val="0"/>
          <w:numId w:val="2"/>
        </w:numPr>
        <w:spacing w:before="40" w:after="60"/>
      </w:pPr>
      <w:r>
        <w:rPr>
          <w:rFonts w:ascii="Arial" w:cs="Arial" w:eastAsia="Arial" w:hAnsi="Arial"/>
          <w:b w:val="false"/>
          <w:bCs w:val="false"/>
          <w:color w:val="0F172A"/>
          <w:sz w:val="20"/>
          <w:szCs w:val="20"/>
        </w:rPr>
        <w:t xml:space="preserve">Never send individual attachments over email. Always share a link to the data room with view-only access. This lets you revoke access if a deal falls through.</w:t>
      </w:r>
    </w:p>
    <w:p>
      <w:pPr>
        <w:pStyle w:val="ListParagraph"/>
        <w:numPr>
          <w:ilvl w:val="0"/>
          <w:numId w:val="2"/>
        </w:numPr>
        <w:spacing w:before="40" w:after="60"/>
      </w:pPr>
      <w:r>
        <w:rPr>
          <w:rFonts w:ascii="Arial" w:cs="Arial" w:eastAsia="Arial" w:hAnsi="Arial"/>
          <w:b w:val="false"/>
          <w:bCs w:val="false"/>
          <w:color w:val="0F172A"/>
          <w:sz w:val="20"/>
          <w:szCs w:val="20"/>
        </w:rPr>
        <w:t xml:space="preserve">Watermark sensitive documents with the investor's name — it signals confidentiality and deters unauthorized sharing.</w:t>
      </w:r>
    </w:p>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59669"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08</w:t>
            </w:r>
          </w:p>
        </w:tc>
        <w:tc>
          <w:tcPr>
            <w:tcW w:type="dxa" w:w="8400"/>
            <w:tcBorders>
              <w:top w:val="none" w:color="FFFFFF" w:sz="0"/>
              <w:left w:val="none" w:color="FFFFFF" w:sz="0"/>
              <w:bottom w:val="none" w:color="FFFFFF" w:sz="0"/>
              <w:right w:val="none" w:color="FFFFFF" w:sz="0"/>
            </w:tcBorders>
            <w:shd w:fill="059669"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Accelerators, Grants &amp; Free Money</w:t>
            </w:r>
          </w:p>
          <w:p>
            <w:pPr>
              <w:spacing w:before="0" w:after="0"/>
            </w:pPr>
            <w:r>
              <w:rPr>
                <w:rFonts w:ascii="Arial" w:cs="Arial" w:eastAsia="Arial" w:hAnsi="Arial"/>
                <w:color w:val="BBCCDD"/>
                <w:sz w:val="18"/>
                <w:szCs w:val="18"/>
              </w:rPr>
              <w:t xml:space="preserve">Non-dilutive funding and accelerator programs that help before Series A</w:t>
            </w:r>
          </w:p>
        </w:tc>
      </w:tr>
    </w:tbl>
    <w:p>
      <w:pPr>
        <w:spacing w:before="120" w:after="120"/>
      </w:pPr>
      <w:r>
        <w:t xml:space="preserve"/>
      </w:r>
    </w:p>
    <w:p>
      <w:pPr>
        <w:spacing w:before="360" w:after="60"/>
      </w:pPr>
      <w:r>
        <w:rPr>
          <w:rFonts w:ascii="Arial" w:cs="Arial" w:eastAsia="Arial" w:hAnsi="Arial"/>
          <w:b/>
          <w:bCs/>
          <w:caps/>
          <w:color w:val="2563EB"/>
          <w:sz w:val="16"/>
          <w:szCs w:val="16"/>
        </w:rPr>
        <w:t xml:space="preserve">PART 8 — NON-DILUTIVE FUNDING</w:t>
      </w:r>
    </w:p>
    <w:p>
      <w:pPr>
        <w:pStyle w:val="Heading1"/>
        <w:spacing w:before="40" w:after="120"/>
      </w:pPr>
      <w:r>
        <w:rPr>
          <w:rFonts w:ascii="Arial" w:cs="Arial" w:eastAsia="Arial" w:hAnsi="Arial"/>
          <w:b/>
          <w:bCs/>
          <w:color w:val="0D1117"/>
          <w:sz w:val="40"/>
          <w:szCs w:val="40"/>
        </w:rPr>
        <w:t xml:space="preserve">Accelerators, Grants &amp; Government Funding</w:t>
      </w:r>
    </w:p>
    <w:p>
      <w:pPr>
        <w:pBdr>
          <w:bottom w:val="single" w:color="059669" w:sz="6" w:space="1"/>
        </w:pBdr>
        <w:spacing w:before="0" w:after="200"/>
      </w:pPr>
      <w:r>
        <w:t xml:space="preserve"/>
      </w:r>
    </w:p>
    <w:p>
      <w:pPr>
        <w:spacing w:before="60" w:after="60"/>
      </w:pPr>
      <w:r>
        <w:t xml:space="preserve"/>
      </w:r>
    </w:p>
    <w:p>
      <w:pPr>
        <w:spacing w:before="40" w:after="140"/>
      </w:pPr>
      <w:r>
        <w:rPr>
          <w:rFonts w:ascii="Arial" w:cs="Arial" w:eastAsia="Arial" w:hAnsi="Arial"/>
          <w:color w:val="0F172A"/>
          <w:sz w:val="20"/>
          <w:szCs w:val="20"/>
        </w:rPr>
        <w:t xml:space="preserve">Before diluting equity with investor funding, exhaust all non-dilutive options. Grants and accelerators provide capital, credibility, and networks with zero or minimal equity cost. These are your bridge to traction.</w:t>
      </w:r>
    </w:p>
    <w:p>
      <w:pPr>
        <w:spacing w:before="80" w:after="80"/>
      </w:pPr>
      <w:r>
        <w:t xml:space="preserve"/>
      </w:r>
    </w:p>
    <w:p>
      <w:pPr>
        <w:pStyle w:val="Heading2"/>
        <w:spacing w:before="280" w:after="100"/>
      </w:pPr>
      <w:r>
        <w:rPr>
          <w:rFonts w:ascii="Arial" w:cs="Arial" w:eastAsia="Arial" w:hAnsi="Arial"/>
          <w:b/>
          <w:bCs/>
          <w:color w:val="0D1117"/>
          <w:sz w:val="26"/>
          <w:szCs w:val="26"/>
        </w:rPr>
        <w:t xml:space="preserve">8.1  Government Grants &amp; Schemes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Scheme</w:t>
            </w:r>
          </w:p>
        </w:tc>
        <w:tc>
          <w:tcPr>
            <w:tcW w:type="dxa" w:w="156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Amount</w:t>
            </w:r>
          </w:p>
        </w:tc>
        <w:tc>
          <w:tcPr>
            <w:tcW w:type="dxa" w:w="546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What to Apply For</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Startup India Seed Fund (SISFS)</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Up to ₹20L</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Grant for proof-of-concept, prototype development, and product trials. Apply via startupindia.gov.in. Requires DPIIT recognition. Disbursed via incubators.</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MeitY Startup Hub</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₹5L–₹25L</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Technology innovation grants for EdTech and productivity tools. Apply via msins.in. Strong alignment with your product category.</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NASSCOM Startup Program</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₹1L + benefits</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Cloud credits, mentorship, and investor network access. Free to apply. Provides AWS/Azure credits worth ₹5L+, reducing your infrastructure cost significantly.</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AIM — Atal Innovation Mission</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Up to ₹50L</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For technology startups with innovation component. Incubation support + grant funding. Apply via aim.gov.in.</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iCreate (GUSEC, IIM Ahmedabad)</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₹2L–₹10L</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IIM-A backed incubator with grant funding for youth-focused tech startups. Prestigious alumni network and investor access.</w:t>
            </w:r>
          </w:p>
        </w:tc>
      </w:tr>
    </w:tbl>
    <w:p>
      <w:pPr>
        <w:spacing w:before="120" w:after="120"/>
      </w:pPr>
      <w:r>
        <w:t xml:space="preserve"/>
      </w:r>
    </w:p>
    <w:p>
      <w:pPr>
        <w:pStyle w:val="Heading2"/>
        <w:spacing w:before="280" w:after="100"/>
      </w:pPr>
      <w:r>
        <w:rPr>
          <w:rFonts w:ascii="Arial" w:cs="Arial" w:eastAsia="Arial" w:hAnsi="Arial"/>
          <w:b/>
          <w:bCs/>
          <w:color w:val="0D1117"/>
          <w:sz w:val="26"/>
          <w:szCs w:val="26"/>
        </w:rPr>
        <w:t xml:space="preserve">8.2  Cloud &amp; Infrastructure Credits (Free Runway Extension)</w:t>
      </w:r>
    </w:p>
    <w:p>
      <w:pPr>
        <w:spacing w:before="40" w:after="140"/>
      </w:pPr>
      <w:r>
        <w:rPr>
          <w:rFonts w:ascii="Arial" w:cs="Arial" w:eastAsia="Arial" w:hAnsi="Arial"/>
          <w:color w:val="0F172A"/>
          <w:sz w:val="20"/>
          <w:szCs w:val="20"/>
        </w:rPr>
        <w:t xml:space="preserve">Cloud costs are often the largest expense for an early-stage app. These credits can save ₹5L–₹30L in infrastructure costs in Year 1 — equivalent to investor funding with zero dilution.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Program</w:t>
            </w:r>
          </w:p>
        </w:tc>
        <w:tc>
          <w:tcPr>
            <w:tcW w:type="dxa" w:w="156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Credits Value</w:t>
            </w:r>
          </w:p>
        </w:tc>
        <w:tc>
          <w:tcPr>
            <w:tcW w:type="dxa" w:w="546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How to Apply</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AWS Activate Founders</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$5,000–$100K</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Apply at aws.amazon.com/activate. Startups in qualified accelerators get up to $100K. Standalone startups get $5K. Applies to EC2, RDS, and all AWS services.</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Google Cloud for Startups</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$2,000–$200K</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cloud.google.com/startup. Includes Firebase, Cloud Run, and BigQuery credits. Apply with your incorporation certificate.</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Supabase for Startups</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6 months Pro free</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supabase.com/blog/supabase-for-startups. Pro plan ($25/month) free for 6 months. Contact startup@supabase.io.</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Razorpay Credits</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₹50K in credits</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Razorpay startup program offers processing fee waivers and partner credits. Apply via their startup program page.</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Notion for Startups</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6 months Plus free</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notion.com/startups. Team workspace for internal documentation and product management.</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OpenAI for Startups</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$2,500 in API credits</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Apply via OpenAI's startup program. Critical for AI coaching features. Reduces AI API cost to near-zero for first 6 months.</w:t>
            </w:r>
          </w:p>
        </w:tc>
      </w:tr>
    </w:tbl>
    <w:p>
      <w:pPr>
        <w:spacing w:before="120" w:after="120"/>
      </w:pPr>
      <w:r>
        <w:t xml:space="preserve"/>
      </w:r>
    </w:p>
    <w:p>
      <w:pPr>
        <w:pStyle w:val="Heading2"/>
        <w:spacing w:before="280" w:after="100"/>
      </w:pPr>
      <w:r>
        <w:rPr>
          <w:rFonts w:ascii="Arial" w:cs="Arial" w:eastAsia="Arial" w:hAnsi="Arial"/>
          <w:b/>
          <w:bCs/>
          <w:color w:val="0D1117"/>
          <w:sz w:val="26"/>
          <w:szCs w:val="26"/>
        </w:rPr>
        <w:t xml:space="preserve">8.3  Accelerator Programs (Equity for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Accelerator</w:t>
            </w:r>
          </w:p>
        </w:tc>
        <w:tc>
          <w:tcPr>
            <w:tcW w:type="dxa" w:w="156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Equity Taken</w:t>
            </w:r>
          </w:p>
        </w:tc>
        <w:tc>
          <w:tcPr>
            <w:tcW w:type="dxa" w:w="546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What You Get</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Y Combinator</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7% for $500K</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$500K SAFE, 3-month program in SF, best startup network in the world, Demo Day with top-tier investors, YC brand = credibility multiplier. Apply online. 2% acceptance rate. Worth applying multiple batches.</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Antler India</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10–11% for ~₹50L</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Residency program, co-founder matching, seed investment, 10-week curriculum, strong Indian investor network. Best for pre-PMF founders.</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Entrepreneur First India</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~10%</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Pre-idea or early-stage founder program. 12-week program with stipend. Strong focus on deep tech but accepts consumer startups with differentiated approach.</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100X.VC</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2% for ₹25L</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India-focused, early stage. Low equity ask. Fast process. Invests in 100 companies per cohort — broad exposure. Good for first institutional cheque.</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IIMA CIIE</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2–5% equity</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IIM Ahmedabad incubator. Strong EdTech and social impact focus. Academic credibility + mentor network + small grant funding.</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D97706"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09</w:t>
            </w:r>
          </w:p>
        </w:tc>
        <w:tc>
          <w:tcPr>
            <w:tcW w:type="dxa" w:w="8400"/>
            <w:tcBorders>
              <w:top w:val="none" w:color="FFFFFF" w:sz="0"/>
              <w:left w:val="none" w:color="FFFFFF" w:sz="0"/>
              <w:bottom w:val="none" w:color="FFFFFF" w:sz="0"/>
              <w:right w:val="none" w:color="FFFFFF" w:sz="0"/>
            </w:tcBorders>
            <w:shd w:fill="D97706"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Post-Funding Execution Plan</w:t>
            </w:r>
          </w:p>
          <w:p>
            <w:pPr>
              <w:spacing w:before="0" w:after="0"/>
            </w:pPr>
            <w:r>
              <w:rPr>
                <w:rFonts w:ascii="Arial" w:cs="Arial" w:eastAsia="Arial" w:hAnsi="Arial"/>
                <w:color w:val="BBCCDD"/>
                <w:sz w:val="18"/>
                <w:szCs w:val="18"/>
              </w:rPr>
              <w:t xml:space="preserve">What to do the week after you close — before you spend a single rupee</w:t>
            </w:r>
          </w:p>
        </w:tc>
      </w:tr>
    </w:tbl>
    <w:p>
      <w:pPr>
        <w:spacing w:before="120" w:after="120"/>
      </w:pPr>
      <w:r>
        <w:t xml:space="preserve"/>
      </w:r>
    </w:p>
    <w:p>
      <w:pPr>
        <w:spacing w:before="360" w:after="60"/>
      </w:pPr>
      <w:r>
        <w:rPr>
          <w:rFonts w:ascii="Arial" w:cs="Arial" w:eastAsia="Arial" w:hAnsi="Arial"/>
          <w:b/>
          <w:bCs/>
          <w:caps/>
          <w:color w:val="2563EB"/>
          <w:sz w:val="16"/>
          <w:szCs w:val="16"/>
        </w:rPr>
        <w:t xml:space="preserve">PART 9 — POST-FUNDING</w:t>
      </w:r>
    </w:p>
    <w:p>
      <w:pPr>
        <w:pStyle w:val="Heading1"/>
        <w:spacing w:before="40" w:after="120"/>
      </w:pPr>
      <w:r>
        <w:rPr>
          <w:rFonts w:ascii="Arial" w:cs="Arial" w:eastAsia="Arial" w:hAnsi="Arial"/>
          <w:b/>
          <w:bCs/>
          <w:color w:val="0D1117"/>
          <w:sz w:val="40"/>
          <w:szCs w:val="40"/>
        </w:rPr>
        <w:t xml:space="preserve">Post-Funding Execution Plan</w:t>
      </w:r>
    </w:p>
    <w:p>
      <w:pPr>
        <w:pBdr>
          <w:bottom w:val="single" w:color="D97706" w:sz="6" w:space="1"/>
        </w:pBdr>
        <w:spacing w:before="0" w:after="200"/>
      </w:pPr>
      <w:r>
        <w:t xml:space="preserve"/>
      </w:r>
    </w:p>
    <w:p>
      <w:pPr>
        <w:spacing w:before="60" w:after="60"/>
      </w:pPr>
      <w:r>
        <w:t xml:space="preserve"/>
      </w:r>
    </w:p>
    <w:p>
      <w:pPr>
        <w:spacing w:before="40" w:after="140"/>
      </w:pPr>
      <w:r>
        <w:rPr>
          <w:rFonts w:ascii="Arial" w:cs="Arial" w:eastAsia="Arial" w:hAnsi="Arial"/>
          <w:color w:val="0F172A"/>
          <w:sz w:val="20"/>
          <w:szCs w:val="20"/>
        </w:rPr>
        <w:t xml:space="preserve">Most startups that fail do not fail for lack of funding — they fail by spending the funding on the wrong things after raising. This section defines exactly how to deploy capital and manage investor relationships.</w:t>
      </w:r>
    </w:p>
    <w:p>
      <w:pPr>
        <w:spacing w:before="80" w:after="80"/>
      </w:pPr>
      <w:r>
        <w:t xml:space="preserve"/>
      </w:r>
    </w:p>
    <w:p>
      <w:pPr>
        <w:pStyle w:val="Heading2"/>
        <w:spacing w:before="280" w:after="100"/>
      </w:pPr>
      <w:r>
        <w:rPr>
          <w:rFonts w:ascii="Arial" w:cs="Arial" w:eastAsia="Arial" w:hAnsi="Arial"/>
          <w:b/>
          <w:bCs/>
          <w:color w:val="0D1117"/>
          <w:sz w:val="26"/>
          <w:szCs w:val="26"/>
        </w:rPr>
        <w:t xml:space="preserve">9.1  Standard Use of Funds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Category</w:t>
            </w:r>
          </w:p>
        </w:tc>
        <w:tc>
          <w:tcPr>
            <w:tcW w:type="dxa" w:w="156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 of Round</w:t>
            </w:r>
          </w:p>
        </w:tc>
        <w:tc>
          <w:tcPr>
            <w:tcW w:type="dxa" w:w="546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What to Spend On</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Product &amp; Engineering</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35–40%</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First full-time developer hire (if technical co-founder absent), infrastructure costs, tools, and V2 feature development. Do NOT outsource core product — build in-house.</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Growth &amp; Marketing</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25–30%</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Creator partnerships, community building, paid UA experiments (small tests only), Play Store ASO tools. No TV/print advertising.</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Team</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20–25%</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Founder salaries (market minimum only — do not over-pay yourself in early stage), first 2–3 key hires: product designer, growth person, or customer success.</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Operations &amp; Legal</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5–10%</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Accounting, legal (compliance, new contracts), office space (avoid — work remotely until Series A), government filings.</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Reserve / Buffer</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10%</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Never deploy 100% of capital against a plan. Keep 10% as runway extension buffer. Plans change. Markets shift. Buffer saves the company.</w:t>
            </w:r>
          </w:p>
        </w:tc>
      </w:tr>
    </w:tbl>
    <w:p>
      <w:pPr>
        <w:spacing w:before="120" w:after="120"/>
      </w:pPr>
      <w:r>
        <w:t xml:space="preserve"/>
      </w:r>
    </w:p>
    <w:p>
      <w:pPr>
        <w:pStyle w:val="Heading2"/>
        <w:spacing w:before="280" w:after="100"/>
      </w:pPr>
      <w:r>
        <w:rPr>
          <w:rFonts w:ascii="Arial" w:cs="Arial" w:eastAsia="Arial" w:hAnsi="Arial"/>
          <w:b/>
          <w:bCs/>
          <w:color w:val="0D1117"/>
          <w:sz w:val="26"/>
          <w:szCs w:val="26"/>
        </w:rPr>
        <w:t xml:space="preserve">9.2  The First 90 Days Post-Funding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6240"/>
      </w:tblGrid>
      <w:tr>
        <w:tc>
          <w:tcPr>
            <w:tcW w:type="dxa" w:w="78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Week</w:t>
            </w:r>
          </w:p>
        </w:tc>
        <w:tc>
          <w:tcPr>
            <w:tcW w:type="dxa" w:w="234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624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Actions</w:t>
            </w:r>
          </w:p>
        </w:tc>
      </w:tr>
      <w:tr>
        <w:tc>
          <w:tcPr>
            <w:tcW w:type="dxa" w:w="7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Week 1</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Close and protect</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Receive funds to company account. Sign all closing documents. Update cap table. Brief all team members. Do NOT announce funding publicly yet.</w:t>
            </w:r>
          </w:p>
        </w:tc>
      </w:tr>
      <w:tr>
        <w:tc>
          <w:tcPr>
            <w:tcW w:type="dxa" w:w="7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Week 2–3</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Set up operations</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Open payroll, set up accounting in Zoho Books, activate all cloud credits, sign first hires, establish weekly investor update cadence.</w:t>
            </w:r>
          </w:p>
        </w:tc>
      </w:tr>
      <w:tr>
        <w:tc>
          <w:tcPr>
            <w:tcW w:type="dxa" w:w="7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Week 4</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Announce</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Write and publish funding announcement on LinkedIn and TechCrunch India / YourStory. Announce gives credibility, attracts talent, and accelerates community growth. Tag investors in post.</w:t>
            </w:r>
          </w:p>
        </w:tc>
      </w:tr>
      <w:tr>
        <w:tc>
          <w:tcPr>
            <w:tcW w:type="dxa" w:w="7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Month 2</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Double down on what works</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Analyze every acquisition channel from pre-funding period. Identify top 2 by CAC and retention quality. Allocate 70% of marketing budget to these two channels only.</w:t>
            </w:r>
          </w:p>
        </w:tc>
      </w:tr>
      <w:tr>
        <w:tc>
          <w:tcPr>
            <w:tcW w:type="dxa" w:w="7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Month 3</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Hit the next milestone</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Define the single metric that signals readiness for the next funding round. Orient every team member around this number. Review weekly.</w:t>
            </w:r>
          </w:p>
        </w:tc>
      </w:tr>
    </w:tbl>
    <w:p>
      <w:pPr>
        <w:spacing w:before="120" w:after="120"/>
      </w:pPr>
      <w:r>
        <w:t xml:space="preserve"/>
      </w:r>
    </w:p>
    <w:p>
      <w:pPr>
        <w:pStyle w:val="Heading2"/>
        <w:spacing w:before="280" w:after="100"/>
      </w:pPr>
      <w:r>
        <w:rPr>
          <w:rFonts w:ascii="Arial" w:cs="Arial" w:eastAsia="Arial" w:hAnsi="Arial"/>
          <w:b/>
          <w:bCs/>
          <w:color w:val="0D1117"/>
          <w:sz w:val="26"/>
          <w:szCs w:val="26"/>
        </w:rPr>
        <w:t xml:space="preserve">9.3  Investor Relationship Management</w:t>
      </w:r>
    </w:p>
    <w:p>
      <w:pPr>
        <w:spacing w:before="40" w:after="140"/>
      </w:pPr>
      <w:r>
        <w:rPr>
          <w:rFonts w:ascii="Arial" w:cs="Arial" w:eastAsia="Arial" w:hAnsi="Arial"/>
          <w:color w:val="0F172A"/>
          <w:sz w:val="20"/>
          <w:szCs w:val="20"/>
        </w:rPr>
        <w:t xml:space="preserve">Your investors are your best resource — access their network, experience, and credibility. Most founders underuse their investors after closing. Manage these relationships deliberately.</w:t>
      </w:r>
    </w:p>
    <w:p>
      <w:pPr>
        <w:spacing w:before="60" w:after="60"/>
      </w:pPr>
      <w:r>
        <w:t xml:space="preserve"/>
      </w:r>
    </w:p>
    <w:p>
      <w:pPr>
        <w:pStyle w:val="ListParagraph"/>
        <w:numPr>
          <w:ilvl w:val="0"/>
          <w:numId w:val="2"/>
        </w:numPr>
        <w:spacing w:before="40" w:after="60"/>
      </w:pPr>
      <w:r>
        <w:rPr>
          <w:rFonts w:ascii="Arial" w:cs="Arial" w:eastAsia="Arial" w:hAnsi="Arial"/>
          <w:b/>
          <w:bCs/>
          <w:color w:val="0F172A"/>
          <w:sz w:val="20"/>
          <w:szCs w:val="20"/>
        </w:rPr>
        <w:t xml:space="preserve">Send a monthly investor update — every single month without exception. Investors who do not hear from you assume the worst.</w:t>
      </w:r>
    </w:p>
    <w:p>
      <w:pPr>
        <w:pStyle w:val="ListParagraph"/>
        <w:numPr>
          <w:ilvl w:val="0"/>
          <w:numId w:val="2"/>
        </w:numPr>
        <w:spacing w:before="40" w:after="60"/>
      </w:pPr>
      <w:r>
        <w:rPr>
          <w:rFonts w:ascii="Arial" w:cs="Arial" w:eastAsia="Arial" w:hAnsi="Arial"/>
          <w:b w:val="false"/>
          <w:bCs w:val="false"/>
          <w:color w:val="0F172A"/>
          <w:sz w:val="20"/>
          <w:szCs w:val="20"/>
        </w:rPr>
        <w:t xml:space="preserve">Monthly update format: 3 metrics (MRR, MAU, burn), 3 wins, 2 challenges, 1 specific ask (intro to X, advice on Y).</w:t>
      </w:r>
    </w:p>
    <w:p>
      <w:pPr>
        <w:pStyle w:val="ListParagraph"/>
        <w:numPr>
          <w:ilvl w:val="0"/>
          <w:numId w:val="2"/>
        </w:numPr>
        <w:spacing w:before="40" w:after="60"/>
      </w:pPr>
      <w:r>
        <w:rPr>
          <w:rFonts w:ascii="Arial" w:cs="Arial" w:eastAsia="Arial" w:hAnsi="Arial"/>
          <w:b w:val="false"/>
          <w:bCs w:val="false"/>
          <w:color w:val="0F172A"/>
          <w:sz w:val="20"/>
          <w:szCs w:val="20"/>
        </w:rPr>
        <w:t xml:space="preserve">Never surprise investors with bad news. If something goes wrong, call them before they see it. Founders who communicate proactively in tough times build trust. Founders who hide bad news lose trust permanently.</w:t>
      </w:r>
    </w:p>
    <w:p>
      <w:pPr>
        <w:pStyle w:val="ListParagraph"/>
        <w:numPr>
          <w:ilvl w:val="0"/>
          <w:numId w:val="2"/>
        </w:numPr>
        <w:spacing w:before="40" w:after="60"/>
      </w:pPr>
      <w:r>
        <w:rPr>
          <w:rFonts w:ascii="Arial" w:cs="Arial" w:eastAsia="Arial" w:hAnsi="Arial"/>
          <w:b w:val="false"/>
          <w:bCs w:val="false"/>
          <w:color w:val="0F172A"/>
          <w:sz w:val="20"/>
          <w:szCs w:val="20"/>
        </w:rPr>
        <w:t xml:space="preserve">Use investor network actively: ask for introductions to enterprise clients, key hires, and next-round investors. Investors expect these asks. Not asking wastes the relationship.</w:t>
      </w:r>
    </w:p>
    <w:p>
      <w:pPr>
        <w:pStyle w:val="ListParagraph"/>
        <w:numPr>
          <w:ilvl w:val="0"/>
          <w:numId w:val="2"/>
        </w:numPr>
        <w:spacing w:before="40" w:after="60"/>
      </w:pPr>
      <w:r>
        <w:rPr>
          <w:rFonts w:ascii="Arial" w:cs="Arial" w:eastAsia="Arial" w:hAnsi="Arial"/>
          <w:b w:val="false"/>
          <w:bCs w:val="false"/>
          <w:color w:val="0F172A"/>
          <w:sz w:val="20"/>
          <w:szCs w:val="20"/>
        </w:rPr>
        <w:t xml:space="preserve">Prepare a Board Pack before every board meeting: metrics dashboard, financial statements, product update, hiring status, fundraising status. Send 48 hours before the meeting.</w:t>
      </w:r>
    </w:p>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7C3AED"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10</w:t>
            </w:r>
          </w:p>
        </w:tc>
        <w:tc>
          <w:tcPr>
            <w:tcW w:type="dxa" w:w="8400"/>
            <w:tcBorders>
              <w:top w:val="none" w:color="FFFFFF" w:sz="0"/>
              <w:left w:val="none" w:color="FFFFFF" w:sz="0"/>
              <w:bottom w:val="none" w:color="FFFFFF" w:sz="0"/>
              <w:right w:val="none" w:color="FFFFFF" w:sz="0"/>
            </w:tcBorders>
            <w:shd w:fill="7C3AED"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Team Building for Early Stage</w:t>
            </w:r>
          </w:p>
          <w:p>
            <w:pPr>
              <w:spacing w:before="0" w:after="0"/>
            </w:pPr>
            <w:r>
              <w:rPr>
                <w:rFonts w:ascii="Arial" w:cs="Arial" w:eastAsia="Arial" w:hAnsi="Arial"/>
                <w:color w:val="BBCCDD"/>
                <w:sz w:val="18"/>
                <w:szCs w:val="18"/>
              </w:rPr>
              <w:t xml:space="preserve">The exact hires that matter — and the ones that can wait</w:t>
            </w:r>
          </w:p>
        </w:tc>
      </w:tr>
    </w:tbl>
    <w:p>
      <w:pPr>
        <w:spacing w:before="120" w:after="120"/>
      </w:pPr>
      <w:r>
        <w:t xml:space="preserve"/>
      </w:r>
    </w:p>
    <w:p>
      <w:pPr>
        <w:spacing w:before="360" w:after="60"/>
      </w:pPr>
      <w:r>
        <w:rPr>
          <w:rFonts w:ascii="Arial" w:cs="Arial" w:eastAsia="Arial" w:hAnsi="Arial"/>
          <w:b/>
          <w:bCs/>
          <w:caps/>
          <w:color w:val="2563EB"/>
          <w:sz w:val="16"/>
          <w:szCs w:val="16"/>
        </w:rPr>
        <w:t xml:space="preserve">PART 10 — TEAM</w:t>
      </w:r>
    </w:p>
    <w:p>
      <w:pPr>
        <w:pStyle w:val="Heading1"/>
        <w:spacing w:before="40" w:after="120"/>
      </w:pPr>
      <w:r>
        <w:rPr>
          <w:rFonts w:ascii="Arial" w:cs="Arial" w:eastAsia="Arial" w:hAnsi="Arial"/>
          <w:b/>
          <w:bCs/>
          <w:color w:val="0D1117"/>
          <w:sz w:val="40"/>
          <w:szCs w:val="40"/>
        </w:rPr>
        <w:t xml:space="preserve">Founding Team &amp; Early Hires</w:t>
      </w:r>
    </w:p>
    <w:p>
      <w:pPr>
        <w:pBdr>
          <w:bottom w:val="single" w:color="7C3AED" w:sz="6" w:space="1"/>
        </w:pBdr>
        <w:spacing w:before="0" w:after="200"/>
      </w:pPr>
      <w:r>
        <w:t xml:space="preserve"/>
      </w:r>
    </w:p>
    <w:p>
      <w:pPr>
        <w:spacing w:before="60" w:after="60"/>
      </w:pPr>
      <w:r>
        <w:t xml:space="preserve"/>
      </w:r>
    </w:p>
    <w:p>
      <w:pPr>
        <w:spacing w:before="40" w:after="140"/>
      </w:pPr>
      <w:r>
        <w:rPr>
          <w:rFonts w:ascii="Arial" w:cs="Arial" w:eastAsia="Arial" w:hAnsi="Arial"/>
          <w:color w:val="0F172A"/>
          <w:sz w:val="20"/>
          <w:szCs w:val="20"/>
        </w:rPr>
        <w:t xml:space="preserve">Investors back teams more than ideas. A great team with a mediocre idea will pivot and succeed. A mediocre team with a great idea will execute poorly and fail. Build the team before you need it — not after.</w:t>
      </w:r>
    </w:p>
    <w:p>
      <w:pPr>
        <w:spacing w:before="80" w:after="80"/>
      </w:pPr>
      <w:r>
        <w:t xml:space="preserve"/>
      </w:r>
    </w:p>
    <w:p>
      <w:pPr>
        <w:pStyle w:val="Heading2"/>
        <w:spacing w:before="280" w:after="100"/>
      </w:pPr>
      <w:r>
        <w:rPr>
          <w:rFonts w:ascii="Arial" w:cs="Arial" w:eastAsia="Arial" w:hAnsi="Arial"/>
          <w:b/>
          <w:bCs/>
          <w:color w:val="0D1117"/>
          <w:sz w:val="26"/>
          <w:szCs w:val="26"/>
        </w:rPr>
        <w:t xml:space="preserve">10.1  The Ideal Founding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Role</w:t>
            </w:r>
          </w:p>
        </w:tc>
        <w:tc>
          <w:tcPr>
            <w:tcW w:type="dxa" w:w="468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Responsibilities</w:t>
            </w:r>
          </w:p>
        </w:tc>
        <w:tc>
          <w:tcPr>
            <w:tcW w:type="dxa" w:w="234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Must-Have Credential</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CEO / Product</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Vision, fundraising, investor relations, partnerships, product strategy. The public face of the company.</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Domain obsession + storytelling ability. User empathy above all.</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CTO / Engineering</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Technical architecture, development velocity, infrastructure, hiring engineers, technical decisions.</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Has shipped a production mobile app. Knows React Native or Flutter deeply.</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Growth / Marketing</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User acquisition, ASO, community building, creator partnerships, referral mechanics, analytics.</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Has achieved measurable user growth at a previous company or project. Data-driven.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6"/>
              <w:bottom w:val="single" w:color="7C3AED" w:sz="1"/>
              <w:right w:val="single" w:color="7C3AED" w:sz="1"/>
            </w:tcBorders>
            <w:shd w:fill="F5F3FF" w:val="clear"/>
            <w:tcMar>
              <w:top w:type="dxa" w:w="120"/>
              <w:left w:type="dxa" w:w="240"/>
              <w:bottom w:type="dxa" w:w="120"/>
              <w:right w:type="dxa" w:w="200"/>
            </w:tcMar>
          </w:tcPr>
          <w:p>
            <w:pPr>
              <w:spacing w:before="0" w:after="60"/>
            </w:pPr>
            <w:r>
              <w:rPr>
                <w:rFonts w:ascii="Arial" w:cs="Arial" w:eastAsia="Arial" w:hAnsi="Arial"/>
                <w:b/>
                <w:bCs/>
                <w:color w:val="7C3AED"/>
                <w:sz w:val="20"/>
                <w:szCs w:val="20"/>
              </w:rPr>
              <w:t xml:space="preserve">The Solo Founder Question</w:t>
            </w:r>
          </w:p>
          <w:p>
            <w:pPr>
              <w:spacing w:before="0" w:after="0"/>
            </w:pPr>
            <w:r>
              <w:rPr>
                <w:rFonts w:ascii="Arial" w:cs="Arial" w:eastAsia="Arial" w:hAnsi="Arial"/>
                <w:color w:val="334155"/>
                <w:sz w:val="19"/>
                <w:szCs w:val="19"/>
              </w:rPr>
              <w:t xml:space="preserve">Investors prefer 2–3 co-founders over solo founders for consumer apps. The reasoning: product + growth is a full-time job for each person. Solo founders burn out faster and have higher execution risk. If you are building solo, your first hire should be a co-founder (not an employee) — ideally technical if you are non-technical, or growth-focused if you are technical.</w:t>
            </w:r>
          </w:p>
        </w:tc>
      </w:tr>
    </w:tbl>
    <w:p>
      <w:pPr>
        <w:spacing w:before="120" w:after="120"/>
      </w:pPr>
      <w:r>
        <w:t xml:space="preserve"/>
      </w:r>
    </w:p>
    <w:p>
      <w:pPr>
        <w:pStyle w:val="Heading2"/>
        <w:spacing w:before="280" w:after="100"/>
      </w:pPr>
      <w:r>
        <w:rPr>
          <w:rFonts w:ascii="Arial" w:cs="Arial" w:eastAsia="Arial" w:hAnsi="Arial"/>
          <w:b/>
          <w:bCs/>
          <w:color w:val="0D1117"/>
          <w:sz w:val="26"/>
          <w:szCs w:val="26"/>
        </w:rPr>
        <w:t xml:space="preserve">10.2  First 5 Hires (Post Pre-Seed Funding)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340"/>
        <w:gridCol w:w="2340"/>
        <w:gridCol w:w="4160"/>
      </w:tblGrid>
      <w:tr>
        <w:tc>
          <w:tcPr>
            <w:tcW w:type="dxa" w:w="56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Hire</w:t>
            </w:r>
          </w:p>
        </w:tc>
        <w:tc>
          <w:tcPr>
            <w:tcW w:type="dxa" w:w="234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Role</w:t>
            </w:r>
          </w:p>
        </w:tc>
        <w:tc>
          <w:tcPr>
            <w:tcW w:type="dxa" w:w="234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When to Hire</w:t>
            </w:r>
          </w:p>
        </w:tc>
        <w:tc>
          <w:tcPr>
            <w:tcW w:type="dxa" w:w="416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What to Pay (India)</w:t>
            </w:r>
          </w:p>
        </w:tc>
      </w:tr>
      <w:tr>
        <w:tc>
          <w:tcPr>
            <w:tcW w:type="dxa" w:w="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1</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Senior React Native Developer</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Month 1 post-funding</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₹12L–₹20L CTC + 0.5–1% ESOP. Find via LinkedIn, Cutshort, or AngelList India. Look for portfolio apps on Play Store.</w:t>
            </w:r>
          </w:p>
        </w:tc>
      </w:tr>
      <w:tr>
        <w:tc>
          <w:tcPr>
            <w:tcW w:type="dxa" w:w="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2</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UI/UX Designer (mobile specialist)</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Month 2</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₹8L–₹14L CTC + 0.25–0.5% ESOP. Must have portfolio with 3+ shipped mobile apps. Figma proficiency essential.</w:t>
            </w:r>
          </w:p>
        </w:tc>
      </w:tr>
      <w:tr>
        <w:tc>
          <w:tcPr>
            <w:tcW w:type="dxa" w:w="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3</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Community &amp; Growth Manager</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Month 2</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₹6L–₹10L CTC. Hire from your own user base — a passionate user who understands the product is worth 3× a generalist marketer.</w:t>
            </w:r>
          </w:p>
        </w:tc>
      </w:tr>
      <w:tr>
        <w:tc>
          <w:tcPr>
            <w:tcW w:type="dxa" w:w="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4</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Customer Success / User Research</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Month 3</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₹5L–₹8L CTC. Talks to users daily, surfaces product issues, runs NPS surveys, manages reviews. Most underrated early hire.</w:t>
            </w:r>
          </w:p>
        </w:tc>
      </w:tr>
      <w:tr>
        <w:tc>
          <w:tcPr>
            <w:tcW w:type="dxa" w:w="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5</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Backend / Data Engineer</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Month 4–5</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₹12L–₹18L CTC + 0.5% ESOP. Needed when analytics, AI coach, and real-time features require production-grade backend work.</w:t>
            </w:r>
          </w:p>
        </w:tc>
      </w:tr>
    </w:tbl>
    <w:p>
      <w:pPr>
        <w:spacing w:before="200" w:after="200"/>
      </w:pPr>
      <w:r>
        <w:t xml:space="preserve"/>
      </w:r>
    </w:p>
    <w:p>
      <w:pPr>
        <w:spacing w:before="360" w:after="60"/>
      </w:pPr>
      <w:r>
        <w:rPr>
          <w:rFonts w:ascii="Arial" w:cs="Arial" w:eastAsia="Arial" w:hAnsi="Arial"/>
          <w:b/>
          <w:bCs/>
          <w:caps/>
          <w:color w:val="2563EB"/>
          <w:sz w:val="16"/>
          <w:szCs w:val="16"/>
        </w:rPr>
        <w:t xml:space="preserve">MASTER SUMMARY</w:t>
      </w:r>
    </w:p>
    <w:p>
      <w:pPr>
        <w:pStyle w:val="Heading1"/>
        <w:spacing w:before="40" w:after="120"/>
      </w:pPr>
      <w:r>
        <w:rPr>
          <w:rFonts w:ascii="Arial" w:cs="Arial" w:eastAsia="Arial" w:hAnsi="Arial"/>
          <w:b/>
          <w:bCs/>
          <w:color w:val="0D1117"/>
          <w:sz w:val="40"/>
          <w:szCs w:val="40"/>
        </w:rPr>
        <w:t xml:space="preserve">The Complete Launch &amp; Funding Checklist</w:t>
      </w:r>
    </w:p>
    <w:p>
      <w:pPr>
        <w:pBdr>
          <w:bottom w:val="single" w:color="2563EB" w:sz="6" w:space="1"/>
        </w:pBdr>
        <w:spacing w:before="0" w:after="200"/>
      </w:pPr>
      <w:r>
        <w:t xml:space="preserve"/>
      </w:r>
    </w:p>
    <w:p>
      <w:pPr>
        <w:spacing w:before="60" w:after="60"/>
      </w:pPr>
      <w:r>
        <w:t xml:space="preserve"/>
      </w:r>
    </w:p>
    <w:p>
      <w:pPr>
        <w:spacing w:before="40" w:after="140"/>
      </w:pPr>
      <w:r>
        <w:rPr>
          <w:rFonts w:ascii="Arial" w:cs="Arial" w:eastAsia="Arial" w:hAnsi="Arial"/>
          <w:color w:val="0F172A"/>
          <w:sz w:val="21"/>
          <w:szCs w:val="21"/>
        </w:rPr>
        <w:t xml:space="preserve">Use this as your single reference. Every item below must be checked before claiming you are ready to launch or raise.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200"/>
        <w:gridCol w:w="2600"/>
      </w:tblGrid>
      <w:tr>
        <w:tc>
          <w:tcPr>
            <w:tcW w:type="dxa" w:w="156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Phase</w:t>
            </w:r>
          </w:p>
        </w:tc>
        <w:tc>
          <w:tcPr>
            <w:tcW w:type="dxa" w:w="520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Milestone</w:t>
            </w:r>
          </w:p>
        </w:tc>
        <w:tc>
          <w:tcPr>
            <w:tcW w:type="dxa" w:w="2600"/>
            <w:tcBorders>
              <w:top w:val="single" w:color="E2E8F0" w:sz="1"/>
              <w:left w:val="single" w:color="E2E8F0" w:sz="1"/>
              <w:bottom w:val="single" w:color="E2E8F0" w:sz="1"/>
              <w:right w:val="single" w:color="E2E8F0" w:sz="1"/>
            </w:tcBorders>
            <w:shd w:fill="0D111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Timeline</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2563EB"/>
                <w:sz w:val="20"/>
                <w:szCs w:val="20"/>
              </w:rPr>
              <w:t xml:space="preserve">Legal</w:t>
            </w:r>
          </w:p>
        </w:tc>
        <w:tc>
          <w:tcPr>
            <w:tcW w:type="dxa" w:w="5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Company registered (Pvt Ltd) + DPIIT recognition + trademark filed</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Months -3 to -2</w:t>
            </w:r>
          </w:p>
        </w:tc>
      </w:tr>
      <w:tr>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2563EB"/>
                <w:sz w:val="20"/>
                <w:szCs w:val="20"/>
              </w:rPr>
              <w:t xml:space="preserve">Legal</w:t>
            </w:r>
          </w:p>
        </w:tc>
        <w:tc>
          <w:tcPr>
            <w:tcW w:type="dxa" w:w="5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Privacy Policy + Terms of Service live + Founders Agreement signed + IP assigned</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Month -2</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59669"/>
                <w:sz w:val="20"/>
                <w:szCs w:val="20"/>
              </w:rPr>
              <w:t xml:space="preserve">Financial</w:t>
            </w:r>
          </w:p>
        </w:tc>
        <w:tc>
          <w:tcPr>
            <w:tcW w:type="dxa" w:w="5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Company bank account + accounting software + financial model built</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Month -2</w:t>
            </w:r>
          </w:p>
        </w:tc>
      </w:tr>
      <w:tr>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7C3AED"/>
                <w:sz w:val="20"/>
                <w:szCs w:val="20"/>
              </w:rPr>
              <w:t xml:space="preserve">Product</w:t>
            </w:r>
          </w:p>
        </w:tc>
        <w:tc>
          <w:tcPr>
            <w:tcW w:type="dxa" w:w="5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MVP feature set complete + tested on budget Android + 100 beta users with NPS &gt;30</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Month -1</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891B2"/>
                <w:sz w:val="20"/>
                <w:szCs w:val="20"/>
              </w:rPr>
              <w:t xml:space="preserve">Technical</w:t>
            </w:r>
          </w:p>
        </w:tc>
        <w:tc>
          <w:tcPr>
            <w:tcW w:type="dxa" w:w="5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Sentry live + Analytics live + Billing tested + Play Store listing complete + Data Safety form filed</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Week -2</w:t>
            </w:r>
          </w:p>
        </w:tc>
      </w:tr>
      <w:tr>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D97706"/>
                <w:sz w:val="20"/>
                <w:szCs w:val="20"/>
              </w:rPr>
              <w:t xml:space="preserve">Launch</w:t>
            </w:r>
          </w:p>
        </w:tc>
        <w:tc>
          <w:tcPr>
            <w:tcW w:type="dxa" w:w="5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Public Play Store release + community posts + creator posts + first institution onboarded</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Day 0</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DC2626"/>
                <w:sz w:val="20"/>
                <w:szCs w:val="20"/>
              </w:rPr>
              <w:t xml:space="preserve">Traction</w:t>
            </w:r>
          </w:p>
        </w:tc>
        <w:tc>
          <w:tcPr>
            <w:tcW w:type="dxa" w:w="5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1,000 installs + D7 retention &gt;20% + MoM growth &gt;15% for 2 consecutive months</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Months 1–3</w:t>
            </w:r>
          </w:p>
        </w:tc>
      </w:tr>
      <w:tr>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2563EB"/>
                <w:sz w:val="20"/>
                <w:szCs w:val="20"/>
              </w:rPr>
              <w:t xml:space="preserve">Funding Prep</w:t>
            </w:r>
          </w:p>
        </w:tc>
        <w:tc>
          <w:tcPr>
            <w:tcW w:type="dxa" w:w="5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Pitch deck (12 slides) + Due diligence data room + Financial model updated + investor list built</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Month 2–4</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59669"/>
                <w:sz w:val="20"/>
                <w:szCs w:val="20"/>
              </w:rPr>
              <w:t xml:space="preserve">Outreach</w:t>
            </w:r>
          </w:p>
        </w:tc>
        <w:tc>
          <w:tcPr>
            <w:tcW w:type="dxa" w:w="5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30 warm intro requests sent + 10 accelerator applications submitted + 5 grant applications filed</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Month 3–5</w:t>
            </w:r>
          </w:p>
        </w:tc>
      </w:tr>
      <w:tr>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7C3AED"/>
                <w:sz w:val="20"/>
                <w:szCs w:val="20"/>
              </w:rPr>
              <w:t xml:space="preserve">Raise</w:t>
            </w:r>
          </w:p>
        </w:tc>
        <w:tc>
          <w:tcPr>
            <w:tcW w:type="dxa" w:w="5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First term sheet received + legal review + signed + funds in bank account</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Month 6–9</w:t>
            </w:r>
          </w:p>
        </w:tc>
      </w:tr>
    </w:tbl>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6"/>
              <w:bottom w:val="single" w:color="2563EB" w:sz="1"/>
              <w:right w:val="single" w:color="2563EB" w:sz="1"/>
            </w:tcBorders>
            <w:shd w:fill="EFF6FF" w:val="clear"/>
            <w:tcMar>
              <w:top w:type="dxa" w:w="120"/>
              <w:left w:type="dxa" w:w="240"/>
              <w:bottom w:type="dxa" w:w="120"/>
              <w:right w:type="dxa" w:w="200"/>
            </w:tcMar>
          </w:tcPr>
          <w:p>
            <w:pPr>
              <w:spacing w:before="0" w:after="60"/>
            </w:pPr>
            <w:r>
              <w:rPr>
                <w:rFonts w:ascii="Arial" w:cs="Arial" w:eastAsia="Arial" w:hAnsi="Arial"/>
                <w:b/>
                <w:bCs/>
                <w:color w:val="2563EB"/>
                <w:sz w:val="20"/>
                <w:szCs w:val="20"/>
              </w:rPr>
              <w:t xml:space="preserve">The Founding Truth</w:t>
            </w:r>
          </w:p>
          <w:p>
            <w:pPr>
              <w:spacing w:before="0" w:after="0"/>
            </w:pPr>
            <w:r>
              <w:rPr>
                <w:rFonts w:ascii="Arial" w:cs="Arial" w:eastAsia="Arial" w:hAnsi="Arial"/>
                <w:color w:val="334155"/>
                <w:sz w:val="19"/>
                <w:szCs w:val="19"/>
              </w:rPr>
              <w:t xml:space="preserve">You will be told to build more features, raise more money, hire faster, and move slower. Ignore all of it. The only thing that matters in the first 12 months is this: build something 1,000 people love deeply — not something 1,000,000 people tolerate. Deep love scales. Tolerance does not. Find your 1,000. Serve them obsessively. The funding will follow the love.</w:t>
            </w:r>
          </w:p>
        </w:tc>
      </w:tr>
    </w:tbl>
    <w:p>
      <w:pPr>
        <w:spacing w:before="200" w:after="20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right" w:pos="9026"/>
      </w:tabs>
      <w:spacing w:before="120" w:after="0"/>
    </w:pPr>
    <w:r>
      <w:rPr>
        <w:rFonts w:ascii="Arial" w:cs="Arial" w:eastAsia="Arial" w:hAnsi="Arial"/>
        <w:color w:val="64748B"/>
        <w:sz w:val="16"/>
        <w:szCs w:val="16"/>
      </w:rPr>
      <w:t xml:space="preserve">Confidential — Founder Playbook</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spacing w:before="0" w:after="120"/>
    </w:pPr>
    <w:r>
      <w:rPr>
        <w:rFonts w:ascii="Arial" w:cs="Arial" w:eastAsia="Arial" w:hAnsi="Arial"/>
        <w:color w:val="64748B"/>
        <w:sz w:val="16"/>
        <w:szCs w:val="16"/>
      </w:rPr>
      <w:t xml:space="preserve">Life OS — Launch &amp; Fundraising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 w:after="120"/>
      <w:outlineLvl w:val="0"/>
    </w:pPr>
    <w:rPr>
      <w:rFonts w:ascii="Arial" w:cs="Arial" w:eastAsia="Arial" w:hAnsi="Arial"/>
      <w:b/>
      <w:bCs/>
      <w:color w:val="0D1117"/>
      <w:sz w:val="40"/>
      <w:szCs w:val="40"/>
    </w:rPr>
  </w:style>
  <w:style w:type="paragraph" w:styleId="Heading2">
    <w:name w:val="Heading 2"/>
    <w:basedOn w:val="Normal"/>
    <w:next w:val="Normal"/>
    <w:qFormat/>
    <w:pPr>
      <w:spacing w:before="280" w:after="100"/>
      <w:outlineLvl w:val="1"/>
    </w:pPr>
    <w:rPr>
      <w:rFonts w:ascii="Arial" w:cs="Arial" w:eastAsia="Arial" w:hAnsi="Arial"/>
      <w:b/>
      <w:bCs/>
      <w:color w:val="0D1117"/>
      <w:sz w:val="26"/>
      <w:szCs w:val="26"/>
    </w:rPr>
  </w:style>
  <w:style w:type="paragraph" w:styleId="Heading3">
    <w:name w:val="Heading 3"/>
    <w:basedOn w:val="Normal"/>
    <w:next w:val="Normal"/>
    <w:qFormat/>
    <w:pPr>
      <w:spacing w:before="180" w:after="80"/>
      <w:outlineLvl w:val="2"/>
    </w:pPr>
    <w:rPr>
      <w:rFonts w:ascii="Arial" w:cs="Arial" w:eastAsia="Arial" w:hAnsi="Arial"/>
      <w:b/>
      <w:bCs/>
      <w:color w:val="3341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2026-03-10T06:27:36.733Z</dcterms:created>
  <dcterms:modified xsi:type="dcterms:W3CDTF">2026-03-10T06:27:36.734Z</dcterms:modified>
</cp:coreProperties>
</file>

<file path=docProps/custom.xml><?xml version="1.0" encoding="utf-8"?>
<Properties xmlns="http://schemas.openxmlformats.org/officeDocument/2006/custom-properties" xmlns:vt="http://schemas.openxmlformats.org/officeDocument/2006/docPropsVTypes"/>
</file>