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jc w:val="both"/>
        <w:rPr>
          <w:b/>
        </w:rPr>
      </w:pPr>
      <w:r>
        <w:rPr>
          <w:rFonts w:ascii="Verdana" w:hAnsi="Verdana" w:cs="Verdana"/>
          <w:sz w:val="22"/>
          <w:szCs w:val="22"/>
          <w:b/>
        </w:rPr>
        <w:t xml:space="preserve">EXCELENTÍSSIMO(A) SENHOR(A) DOUTOR(A) JUIZ(A) DA 1ª VARA DO TRABALHO DE JACAREÍ - SP</w:t>
      </w:r>
    </w:p>
    <w:p>
      <w:pPr>
        <w:spacing w:before="0" w:after="0" w:line="360" w:lineRule="auto"/>
        <w:jc w:val="both"/>
        <w:rPr>
          <w:b/>
        </w:rPr>
      </w:pPr>
      <w:r>
        <w:rPr>
          <w:rFonts w:ascii="Verdana" w:hAnsi="Verdana" w:cs="Verdana"/>
          <w:sz w:val="22"/>
          <w:szCs w:val="22"/>
          <w:b/>
        </w:rPr>
        <w:t xml:space="preserve">PROCESSO Nº 0010613-94.2025.5.15.0023</w:t>
      </w:r>
    </w:p>
    <w:p>
      <w:pPr>
        <w:spacing w:before="0" w:after="120" w:line="360" w:lineRule="auto"/>
        <w:ind w:firstLine="1701"/>
        <w:jc w:val="both"/>
      </w:pPr>
      <w:r>
        <w:rPr>
          <w:rFonts w:ascii="Verdana" w:hAnsi="Verdana" w:cs="Verdana"/>
          <w:sz w:val="22"/>
          <w:szCs w:val="22"/>
        </w:rPr>
        <w:t xml:space="preserve">DEVANIU SEPULBEDA NAVARRO, reclamante já devidamente qualificado nos autos da reclamação trabalhista que move em face de JSL S/A e WHITE MARTINS GASES INDUSTRIAIS LTDA., por seus advogados que esta subscrevem, vem, tempestivamente, à presença de Vossa Excelência apresentar suas CONTRARRAZÕES ao Recurso Ordinário interposto pela 2ª reclamada, requerendo o recebimento e a posterior remessa dos autos ao Egrégio Tribunal Regional do Trabalho da 15ª Região.</w:t>
      </w:r>
    </w:p>
    <w:p>
      <w:pPr>
        <w:spacing w:before="0" w:after="120" w:line="360" w:lineRule="auto"/>
        <w:ind w:firstLine="1701"/>
        <w:jc w:val="both"/>
      </w:pPr>
      <w:r>
        <w:rPr>
          <w:rFonts w:ascii="Verdana" w:hAnsi="Verdana" w:cs="Verdana"/>
          <w:sz w:val="22"/>
          <w:szCs w:val="22"/>
        </w:rPr>
        <w:t xml:space="preserve">Nestes termos,</w:t>
      </w:r>
    </w:p>
    <w:p>
      <w:pPr>
        <w:spacing w:before="0" w:after="120" w:line="360" w:lineRule="auto"/>
        <w:ind w:firstLine="1701"/>
        <w:jc w:val="both"/>
      </w:pPr>
      <w:r>
        <w:rPr>
          <w:rFonts w:ascii="Verdana" w:hAnsi="Verdana" w:cs="Verdana"/>
          <w:sz w:val="22"/>
          <w:szCs w:val="22"/>
        </w:rPr>
        <w:t xml:space="preserve">Pede deferimento.</w:t>
      </w:r>
    </w:p>
    <w:p>
      <w:pPr>
        <w:spacing w:before="360" w:after="360" w:line="360" w:lineRule="auto"/>
        <w:jc w:val="right"/>
      </w:pPr>
      <w:r>
        <w:rPr>
          <w:rFonts w:ascii="Verdana" w:hAnsi="Verdana" w:cs="Verdana"/>
          <w:sz w:val="22"/>
          <w:szCs w:val="22"/>
        </w:rPr>
        <w:t xml:space="preserve">Sorocaba, [FALTA: data do protocolo].</w:t>
      </w:r>
    </w:p>
    <w:p>
      <w:pPr>
        <w:spacing w:before="0" w:after="0" w:line="360" w:lineRule="auto"/>
        <w:jc w:val="center"/>
        <w:rPr>
          <w:b/>
        </w:rPr>
      </w:pPr>
      <w:r>
        <w:rPr>
          <w:rFonts w:ascii="Verdana" w:hAnsi="Verdana" w:cs="Verdana"/>
          <w:sz w:val="22"/>
          <w:szCs w:val="22"/>
          <w:b/>
        </w:rPr>
        <w:t xml:space="preserve">Alexandre Pascoal Marques</w:t>
      </w:r>
    </w:p>
    <w:p>
      <w:pPr>
        <w:spacing w:before="0" w:after="0" w:line="360" w:lineRule="auto"/>
        <w:jc w:val="center"/>
        <w:rPr>
          <w:b/>
        </w:rPr>
      </w:pPr>
      <w:r>
        <w:rPr>
          <w:rFonts w:ascii="Verdana" w:hAnsi="Verdana" w:cs="Verdana"/>
          <w:sz w:val="22"/>
          <w:szCs w:val="22"/>
          <w:b/>
        </w:rPr>
        <w:t xml:space="preserve">OAB/SP 270.924</w:t>
      </w:r>
    </w:p>
    <w:p>
      <w:pPr>
        <w:spacing w:before="0" w:after="0" w:line="360" w:lineRule="auto"/>
        <w:jc w:val="center"/>
        <w:rPr>
          <w:b/>
        </w:rPr>
      </w:pPr>
      <w:r>
        <w:rPr>
          <w:rFonts w:ascii="Verdana" w:hAnsi="Verdana" w:cs="Verdana"/>
          <w:sz w:val="22"/>
          <w:szCs w:val="22"/>
          <w:b/>
        </w:rPr>
        <w:t xml:space="preserve">Flávia Dyandra da Silva</w:t>
      </w:r>
    </w:p>
    <w:p>
      <w:pPr>
        <w:spacing w:before="0" w:after="0" w:line="360" w:lineRule="auto"/>
        <w:jc w:val="center"/>
        <w:rPr>
          <w:b/>
        </w:rPr>
      </w:pPr>
      <w:r>
        <w:rPr>
          <w:rFonts w:ascii="Verdana" w:hAnsi="Verdana" w:cs="Verdana"/>
          <w:sz w:val="22"/>
          <w:szCs w:val="22"/>
          <w:b/>
        </w:rPr>
        <w:t xml:space="preserve">OAB/SP 352.455</w:t>
      </w:r>
    </w:p>
    <w:p>
      <w:pPr>
        <w:spacing w:before="0" w:after="0" w:line="360" w:lineRule="auto"/>
        <w:jc w:val="center"/>
        <w:rPr>
          <w:b/>
        </w:rPr>
      </w:pPr>
      <w:r>
        <w:rPr>
          <w:rFonts w:ascii="Verdana" w:hAnsi="Verdana" w:cs="Verdana"/>
          <w:sz w:val="22"/>
          <w:szCs w:val="22"/>
          <w:b/>
        </w:rPr>
        <w:t xml:space="preserve">Regiane de Oliveira</w:t>
      </w:r>
    </w:p>
    <w:p>
      <w:pPr>
        <w:spacing w:before="0" w:after="0" w:line="360" w:lineRule="auto"/>
        <w:jc w:val="center"/>
        <w:rPr>
          <w:b/>
        </w:rPr>
      </w:pPr>
      <w:r>
        <w:rPr>
          <w:rFonts w:ascii="Verdana" w:hAnsi="Verdana" w:cs="Verdana"/>
          <w:sz w:val="22"/>
          <w:szCs w:val="22"/>
          <w:b/>
        </w:rPr>
        <w:t xml:space="preserve">OAB/SP 429.472</w:t>
      </w:r>
    </w:p>
    <w:p>
      <w:r>
        <w:br w:type="page"/>
      </w:r>
    </w:p>
    <w:p>
      <w:pPr>
        <w:spacing w:before="280" w:after="200" w:line="360" w:lineRule="auto"/>
        <w:jc w:val="center"/>
        <w:rPr>
          <w:b/>
        </w:rPr>
      </w:pPr>
      <w:r>
        <w:rPr>
          <w:rFonts w:ascii="Verdana" w:hAnsi="Verdana" w:cs="Verdana"/>
          <w:sz w:val="22"/>
          <w:szCs w:val="22"/>
          <w:b/>
        </w:rPr>
        <w:t xml:space="preserve">CONTRARRAZÕES AO RECURSO ORDINÁRIO</w:t>
      </w:r>
    </w:p>
    <w:p>
      <w:pPr>
        <w:spacing w:before="0" w:after="0" w:line="360" w:lineRule="auto"/>
        <w:jc w:val="both"/>
      </w:pPr>
      <w:r>
        <w:rPr>
          <w:rFonts w:ascii="Verdana" w:hAnsi="Verdana" w:cs="Verdana"/>
          <w:sz w:val="22"/>
          <w:szCs w:val="22"/>
        </w:rPr>
        <w:t xml:space="preserve">Origem: 1ª VARA DO TRABALHO DE JACAREÍ - SP</w:t>
      </w:r>
    </w:p>
    <w:p>
      <w:pPr>
        <w:spacing w:before="0" w:after="0" w:line="360" w:lineRule="auto"/>
        <w:jc w:val="both"/>
      </w:pPr>
      <w:r>
        <w:rPr>
          <w:rFonts w:ascii="Verdana" w:hAnsi="Verdana" w:cs="Verdana"/>
          <w:sz w:val="22"/>
          <w:szCs w:val="22"/>
        </w:rPr>
        <w:t xml:space="preserve">Processo nº: 0010613-94.2025.5.15.0023</w:t>
      </w:r>
    </w:p>
    <w:p>
      <w:pPr>
        <w:spacing w:before="0" w:after="0" w:line="360" w:lineRule="auto"/>
        <w:jc w:val="both"/>
      </w:pPr>
      <w:r>
        <w:rPr>
          <w:rFonts w:ascii="Verdana" w:hAnsi="Verdana" w:cs="Verdana"/>
          <w:sz w:val="22"/>
          <w:szCs w:val="22"/>
        </w:rPr>
        <w:t xml:space="preserve">Recorrente: WHITE MARTINS GASES INDUSTRIAIS LTDA.</w:t>
      </w:r>
    </w:p>
    <w:p>
      <w:pPr>
        <w:spacing w:before="0" w:after="0" w:line="360" w:lineRule="auto"/>
        <w:jc w:val="both"/>
      </w:pPr>
      <w:r>
        <w:rPr>
          <w:rFonts w:ascii="Verdana" w:hAnsi="Verdana" w:cs="Verdana"/>
          <w:sz w:val="22"/>
          <w:szCs w:val="22"/>
        </w:rPr>
        <w:t xml:space="preserve">Recorrido: DEVANIU SEPULBEDA NAVARRO</w:t>
      </w:r>
    </w:p>
    <w:p>
      <w:pPr>
        <w:spacing w:before="0" w:after="0" w:line="360" w:lineRule="auto"/>
        <w:jc w:val="both"/>
      </w:pPr>
      <w:r>
        <w:rPr>
          <w:rFonts w:ascii="Verdana" w:hAnsi="Verdana" w:cs="Verdana"/>
          <w:sz w:val="22"/>
          <w:szCs w:val="22"/>
        </w:rPr>
        <w:t xml:space="preserve">Egrégio Tribunal</w:t>
      </w:r>
    </w:p>
    <w:p>
      <w:pPr>
        <w:spacing w:before="0" w:after="0" w:line="360" w:lineRule="auto"/>
        <w:jc w:val="both"/>
      </w:pPr>
      <w:r>
        <w:rPr>
          <w:rFonts w:ascii="Verdana" w:hAnsi="Verdana" w:cs="Verdana"/>
          <w:sz w:val="22"/>
          <w:szCs w:val="22"/>
        </w:rPr>
        <w:t xml:space="preserve">Doutos Julgadores</w:t>
      </w:r>
    </w:p>
    <w:p>
      <w:pPr>
        <w:spacing w:before="0" w:after="120" w:line="360" w:lineRule="auto"/>
        <w:ind w:firstLine="1701"/>
        <w:jc w:val="both"/>
      </w:pPr>
      <w:r>
        <w:rPr>
          <w:rFonts w:ascii="Verdana" w:hAnsi="Verdana" w:cs="Verdana"/>
          <w:sz w:val="22"/>
          <w:szCs w:val="22"/>
        </w:rPr>
        <w:t xml:space="preserve">A r. sentença de origem, primorosamente fundamentada, julgou parcialmente procedentes os pedidos e declarou a responsabilidade subsidiária da ora recorrente. Inconformada, a 2ª reclamada interpôs Recurso Ordinário no qual, em síntese, pretende (i) a limitação da condenação aos valores da inicial; (ii) o afastamento da responsabilidade subsidiária; (iii) a exclusão da condenação em horas extras, adicional noturno e intervalo intrajornada; e (iv) a redução dos honorários sucumbenciais.</w:t>
      </w:r>
    </w:p>
    <w:p>
      <w:pPr>
        <w:spacing w:before="0" w:after="120" w:line="360" w:lineRule="auto"/>
        <w:ind w:firstLine="1701"/>
        <w:jc w:val="both"/>
      </w:pPr>
      <w:r>
        <w:rPr>
          <w:rFonts w:ascii="Verdana" w:hAnsi="Verdana" w:cs="Verdana"/>
          <w:sz w:val="22"/>
          <w:szCs w:val="22"/>
        </w:rPr>
        <w:t xml:space="preserve">Nenhuma das pretensões merece acolhida, e o apelo sequer ultrapassa o juízo de admissibilidade, como se passa a demonstrar.</w:t>
      </w:r>
    </w:p>
    <w:p>
      <w:pPr>
        <w:spacing w:before="280" w:after="200" w:line="360" w:lineRule="auto"/>
        <w:jc w:val="center"/>
        <w:rPr>
          <w:b/>
        </w:rPr>
      </w:pPr>
      <w:r>
        <w:rPr>
          <w:rFonts w:ascii="Verdana" w:hAnsi="Verdana" w:cs="Verdana"/>
          <w:sz w:val="22"/>
          <w:szCs w:val="22"/>
          <w:b/>
        </w:rPr>
        <w:t xml:space="preserve">PRELIMINARMENTE – DA DESERÇÃO DO RECURSO – AUSÊNCIA DE COMPROVAÇÃO DO RECOLHIMENTO DAS CUSTAS PROCESSUAIS</w:t>
      </w:r>
    </w:p>
    <w:p>
      <w:pPr>
        <w:spacing w:before="0" w:after="120" w:line="360" w:lineRule="auto"/>
        <w:ind w:firstLine="1701"/>
        <w:jc w:val="both"/>
      </w:pPr>
      <w:r>
        <w:rPr>
          <w:rFonts w:ascii="Verdana" w:hAnsi="Verdana" w:cs="Verdana"/>
          <w:sz w:val="22"/>
          <w:szCs w:val="22"/>
        </w:rPr>
        <w:t xml:space="preserve">A recorrente afirmou, na peça de interposição, que estariam "presentes todos os requisitos de admissibilidade para o seguimento do presente recurso, especialmente o que diz respeito ao preparo, o que se comprova pelas guias de depósito recursal e custas juntadas a este apelo".</w:t>
      </w:r>
    </w:p>
    <w:p>
      <w:pPr>
        <w:spacing w:before="0" w:after="120" w:line="360" w:lineRule="auto"/>
        <w:ind w:firstLine="1701"/>
        <w:jc w:val="both"/>
      </w:pPr>
      <w:r>
        <w:rPr>
          <w:rFonts w:ascii="Verdana" w:hAnsi="Verdana" w:cs="Verdana"/>
          <w:sz w:val="22"/>
          <w:szCs w:val="22"/>
        </w:rPr>
        <w:t xml:space="preserve">Ocorre que a afirmação não corresponde ao que efetivamente veio aos autos.</w:t>
      </w:r>
    </w:p>
    <w:p>
      <w:pPr>
        <w:spacing w:before="0" w:after="120" w:line="360" w:lineRule="auto"/>
        <w:ind w:firstLine="1701"/>
        <w:jc w:val="both"/>
      </w:pPr>
      <w:r>
        <w:rPr>
          <w:rFonts w:ascii="Verdana" w:hAnsi="Verdana" w:cs="Verdana"/>
          <w:sz w:val="22"/>
          <w:szCs w:val="22"/>
        </w:rPr>
        <w:t xml:space="preserve">Verifica-se que, quanto ao depósito recursal, a recorrente de fato juntou comprovante de pagamento no valor de R$ 14.411,57, quitado em 25/08/2026. Quanto às custas processuais, porém, arbitradas em R$ 1.400,00 pela r. sentença, a recorrente limitou-se a juntar a </w:t>
      </w:r>
      <w:r>
        <w:rPr>
          <w:rFonts w:ascii="Verdana" w:hAnsi="Verdana" w:cs="Verdana"/>
          <w:sz w:val="22"/>
          <w:szCs w:val="22"/>
          <w:b/>
        </w:rPr>
        <w:t xml:space="preserve">guia de arrecadação</w:t>
      </w:r>
      <w:r>
        <w:rPr>
          <w:rFonts w:ascii="Verdana" w:hAnsi="Verdana" w:cs="Verdana"/>
          <w:sz w:val="22"/>
          <w:szCs w:val="22"/>
        </w:rPr>
        <w:t xml:space="preserve">, na qual consta, em letras garrafais, a expressão "Aguardando realização do pagamento", com validade do código de recolhimento até 31/08/2026.</w:t>
      </w:r>
    </w:p>
    <w:p>
      <w:pPr>
        <w:spacing w:before="0" w:after="120" w:line="360" w:lineRule="auto"/>
        <w:ind w:firstLine="1701"/>
        <w:jc w:val="both"/>
      </w:pPr>
      <w:r>
        <w:rPr>
          <w:rFonts w:ascii="Verdana" w:hAnsi="Verdana" w:cs="Verdana"/>
          <w:sz w:val="22"/>
          <w:szCs w:val="22"/>
        </w:rPr>
        <w:t xml:space="preserve">Perceba-se, Excelência: guia emitida não é custa recolhida. O que os autos exibem é uma cobrança pendente, e não um pagamento realizado.</w:t>
      </w:r>
    </w:p>
    <w:p>
      <w:pPr>
        <w:spacing w:before="0" w:after="120" w:line="360" w:lineRule="auto"/>
        <w:ind w:firstLine="1701"/>
        <w:jc w:val="both"/>
      </w:pPr>
      <w:r>
        <w:rPr>
          <w:rFonts w:ascii="Verdana" w:hAnsi="Verdana" w:cs="Verdana"/>
          <w:sz w:val="22"/>
          <w:szCs w:val="22"/>
        </w:rPr>
        <w:t xml:space="preserve">O artigo 789, §1º, da CLT é categórico ao dispor que, no caso de recurso, "as custas serão pagas e comprovado o recolhimento dentro do prazo recursal". No mesmo sentido, por identidade de razão, a Súmula 245 do C. TST:</w:t>
      </w:r>
    </w:p>
    <w:p>
      <w:pPr>
        <w:spacing w:before="120" w:after="120" w:line="360" w:lineRule="auto"/>
        <w:ind w:left="2268"/>
        <w:jc w:val="both"/>
      </w:pPr>
      <w:r>
        <w:rPr>
          <w:rFonts w:ascii="Verdana" w:hAnsi="Verdana" w:cs="Verdana"/>
          <w:sz w:val="20"/>
          <w:szCs w:val="20"/>
          <w:i/>
        </w:rPr>
        <w:t xml:space="preserve">"Súmula 245 do TST - DEPÓSITO RECURSAL. PRAZO. O depósito recursal deve ser feito e comprovado no prazo alusivo ao recurso. A interposição antecipada deste não prejudica a dilação legal."</w:t>
      </w:r>
    </w:p>
    <w:p>
      <w:pPr>
        <w:spacing w:before="0" w:after="120" w:line="360" w:lineRule="auto"/>
        <w:ind w:firstLine="1701"/>
        <w:jc w:val="both"/>
      </w:pPr>
      <w:r>
        <w:rPr>
          <w:rFonts w:ascii="Verdana" w:hAnsi="Verdana" w:cs="Verdana"/>
          <w:sz w:val="22"/>
          <w:szCs w:val="22"/>
        </w:rPr>
        <w:t xml:space="preserve">Ressalte-se que não se trata aqui de recolhimento insuficiente, hipótese em que se abriria à parte o prazo de cinco dias previsto no artigo 1.007, §2º, do CPC, na forma da Orientação Jurisprudencial 140 da SDI-1 do C. TST. Trata-se de </w:t>
      </w:r>
      <w:r>
        <w:rPr>
          <w:rFonts w:ascii="Verdana" w:hAnsi="Verdana" w:cs="Verdana"/>
          <w:sz w:val="22"/>
          <w:szCs w:val="22"/>
          <w:b/>
        </w:rPr>
        <w:t xml:space="preserve">ausência integral de comprovação de recolhimento</w:t>
      </w:r>
      <w:r>
        <w:rPr>
          <w:rFonts w:ascii="Verdana" w:hAnsi="Verdana" w:cs="Verdana"/>
          <w:sz w:val="22"/>
          <w:szCs w:val="22"/>
        </w:rPr>
        <w:t xml:space="preserve"> de uma das parcelas do preparo, vício que não comporta saneamento após o esgotamento do prazo recursal, sob pena de se conferir à recorrente prazo em dobro que a lei não lhe garante.</w:t>
      </w:r>
    </w:p>
    <w:p>
      <w:pPr>
        <w:spacing w:before="0" w:after="120" w:line="360" w:lineRule="auto"/>
        <w:ind w:firstLine="1701"/>
        <w:jc w:val="both"/>
      </w:pPr>
      <w:r>
        <w:rPr>
          <w:rFonts w:ascii="Verdana" w:hAnsi="Verdana" w:cs="Verdana"/>
          <w:sz w:val="22"/>
          <w:szCs w:val="22"/>
        </w:rPr>
        <w:t xml:space="preserve">Frise-se, ainda, que o ônus é exclusivo da recorrente, empresa de porte mundial, assistida por quatro advogados subscritores, que dispôs de todo o prazo legal para providenciar e comprovar o recolhimento — e efetivamente o fez quanto ao depósito recursal, o que demonstra que a omissão quanto às custas não decorreu de impossibilidade material, mas de simples desídia processual.</w:t>
      </w:r>
    </w:p>
    <w:p>
      <w:pPr>
        <w:spacing w:before="0" w:after="120" w:line="360" w:lineRule="auto"/>
        <w:ind w:firstLine="1701"/>
        <w:jc w:val="both"/>
      </w:pPr>
      <w:r>
        <w:rPr>
          <w:rFonts w:ascii="Verdana" w:hAnsi="Verdana" w:cs="Verdana"/>
          <w:sz w:val="22"/>
          <w:szCs w:val="22"/>
        </w:rPr>
        <w:t xml:space="preserve">Isso posto, requer-se seja o Recurso Ordinário da 2ª reclamada declarado DESERTO e, por conseguinte, NÃO CONHECIDO, nos termos do artigo 789, §1º, da CLT.</w:t>
      </w:r>
    </w:p>
    <w:p>
      <w:pPr>
        <w:spacing w:before="280" w:after="200" w:line="360" w:lineRule="auto"/>
        <w:jc w:val="center"/>
        <w:rPr>
          <w:b/>
        </w:rPr>
      </w:pPr>
      <w:r>
        <w:rPr>
          <w:rFonts w:ascii="Verdana" w:hAnsi="Verdana" w:cs="Verdana"/>
          <w:sz w:val="22"/>
          <w:szCs w:val="22"/>
          <w:b/>
        </w:rPr>
        <w:t xml:space="preserve">DA ALEGADA LIMITAÇÃO DA CONDENAÇÃO AOS VALORES INDICADOS NA INICIAL</w:t>
      </w:r>
    </w:p>
    <w:p>
      <w:pPr>
        <w:spacing w:before="0" w:after="120" w:line="360" w:lineRule="auto"/>
        <w:ind w:firstLine="1701"/>
        <w:jc w:val="both"/>
      </w:pPr>
      <w:r>
        <w:rPr>
          <w:rFonts w:ascii="Verdana" w:hAnsi="Verdana" w:cs="Verdana"/>
          <w:sz w:val="22"/>
          <w:szCs w:val="22"/>
        </w:rPr>
        <w:t xml:space="preserve">Sustenta a recorrente que "os valores atribuídos não são meramente estimativos, mas exatos" e, mais adiante, que a parte autora teria deduzido tais valores "sem qualquer ressalva feita pela própria parte autora ao longo da instrução".</w:t>
      </w:r>
    </w:p>
    <w:p>
      <w:pPr>
        <w:spacing w:before="0" w:after="120" w:line="360" w:lineRule="auto"/>
        <w:ind w:firstLine="1701"/>
        <w:jc w:val="both"/>
      </w:pPr>
      <w:r>
        <w:rPr>
          <w:rFonts w:ascii="Verdana" w:hAnsi="Verdana" w:cs="Verdana"/>
          <w:sz w:val="22"/>
          <w:szCs w:val="22"/>
        </w:rPr>
        <w:t xml:space="preserve">Data venia, a afirmação é frontalmente desmentida pelos autos.</w:t>
      </w:r>
    </w:p>
    <w:p>
      <w:pPr>
        <w:spacing w:before="0" w:after="120" w:line="360" w:lineRule="auto"/>
        <w:ind w:firstLine="1701"/>
        <w:jc w:val="both"/>
      </w:pPr>
      <w:r>
        <w:rPr>
          <w:rFonts w:ascii="Verdana" w:hAnsi="Verdana" w:cs="Verdana"/>
          <w:sz w:val="22"/>
          <w:szCs w:val="22"/>
        </w:rPr>
        <w:t xml:space="preserve">Basta a leitura da petição inicial. Logo na abertura do quadro "RESUMO DOS PEDIDOS" (fls. 10), o recorrido consignou, literalmente, que a condenação deveria abranger as verbas ali arroladas, "nesse ato, calculadas por estimativa, haja vista que, serão oportunamente liquidadas em fase própria, acrescidas de juros e correção monetária".</w:t>
      </w:r>
    </w:p>
    <w:p>
      <w:pPr>
        <w:spacing w:before="0" w:after="120" w:line="360" w:lineRule="auto"/>
        <w:ind w:firstLine="1701"/>
        <w:jc w:val="both"/>
      </w:pPr>
      <w:r>
        <w:rPr>
          <w:rFonts w:ascii="Verdana" w:hAnsi="Verdana" w:cs="Verdana"/>
          <w:sz w:val="22"/>
          <w:szCs w:val="22"/>
        </w:rPr>
        <w:t xml:space="preserve">Note-se: a ressalva não é implícita, não é posterior, não é retórica. Ela está na própria exordial, no exato parágrafo que introduz o rol de pedidos que a recorrente diz ser "líquido e vinculante". O fundamento de fato do tópico recursal simplesmente não existe.</w:t>
      </w:r>
    </w:p>
    <w:p>
      <w:pPr>
        <w:spacing w:before="0" w:after="120" w:line="360" w:lineRule="auto"/>
        <w:ind w:firstLine="1701"/>
        <w:jc w:val="both"/>
      </w:pPr>
      <w:r>
        <w:rPr>
          <w:rFonts w:ascii="Verdana" w:hAnsi="Verdana" w:cs="Verdana"/>
          <w:sz w:val="22"/>
          <w:szCs w:val="22"/>
        </w:rPr>
        <w:t xml:space="preserve">No plano jurídico, a tese também não se sustenta. O artigo 840, §1º, da CLT exige que o pedido seja certo, determinado e com indicação de seu valor — exigência plenamente atendida —, mas não converte a estimativa inicial em teto de condenação. É o que estabelece, de forma expressa, o artigo 12, §2º, da Instrução Normativa nº 41/2018 do C. TST:</w:t>
      </w:r>
    </w:p>
    <w:p>
      <w:pPr>
        <w:spacing w:before="120" w:after="120" w:line="360" w:lineRule="auto"/>
        <w:ind w:left="2268"/>
        <w:jc w:val="both"/>
      </w:pPr>
      <w:r>
        <w:rPr>
          <w:rFonts w:ascii="Verdana" w:hAnsi="Verdana" w:cs="Verdana"/>
          <w:sz w:val="20"/>
          <w:szCs w:val="20"/>
          <w:i/>
        </w:rPr>
        <w:t xml:space="preserve">"Art. 12, §2º - Para fim do que dispõe o art. 840, §§ 1º e 2º, da CLT, o valor da causa será estimado, observando-se, no que couber, o disposto nos arts. 291 a 293 do Código de Processo Civil."</w:t>
      </w:r>
    </w:p>
    <w:p>
      <w:pPr>
        <w:spacing w:before="0" w:after="120" w:line="360" w:lineRule="auto"/>
        <w:ind w:firstLine="1701"/>
        <w:jc w:val="both"/>
      </w:pPr>
      <w:r>
        <w:rPr>
          <w:rFonts w:ascii="Verdana" w:hAnsi="Verdana" w:cs="Verdana"/>
          <w:sz w:val="22"/>
          <w:szCs w:val="22"/>
        </w:rPr>
        <w:t xml:space="preserve">Cumpre salientar que a apuração do quantum debeatur em regular liquidação de sentença, com juros e correção monetária, não configura julgamento ultra petita, mas simples consectário legal do provimento condenatório. Entendimento diverso imporia ao trabalhador o ônus de calcular, antes da instrução e sem acesso aos documentos que estão em poder do empregador, o valor exato de verbas cuja base de cálculo somente se revelará com a exibição dos controles de jornada e das fichas financeiras — exatamente o que ocorreu nestes autos.</w:t>
      </w:r>
    </w:p>
    <w:p>
      <w:pPr>
        <w:spacing w:before="0" w:after="120" w:line="360" w:lineRule="auto"/>
        <w:ind w:firstLine="1701"/>
        <w:jc w:val="both"/>
      </w:pPr>
      <w:r>
        <w:rPr>
          <w:rFonts w:ascii="Verdana" w:hAnsi="Verdana" w:cs="Verdana"/>
          <w:sz w:val="22"/>
          <w:szCs w:val="22"/>
        </w:rPr>
        <w:t xml:space="preserve">Não custa observar, ademais, que a r. sentença enfrentou o ponto de forma expressa e escorreita:</w:t>
      </w:r>
    </w:p>
    <w:p>
      <w:pPr>
        <w:spacing w:before="120" w:after="120" w:line="360" w:lineRule="auto"/>
        <w:ind w:left="2268"/>
        <w:jc w:val="both"/>
      </w:pPr>
      <w:r>
        <w:rPr>
          <w:rFonts w:ascii="Verdana" w:hAnsi="Verdana" w:cs="Verdana"/>
          <w:sz w:val="20"/>
          <w:szCs w:val="20"/>
          <w:i/>
        </w:rPr>
        <w:t xml:space="preserve">"O valor da condenação será apurado em regular liquidação de sentença, não estando restrito aos valores indicados aos pedidos pelo reclamante. O valor da causa ou aqueles apontados na petição inicial para cada pedido são apenas estimativos, traduzindo um montante aproximado para fins de adequação do rito processual, sendo certo que somente na fase de liquidação do julgado será possível aferir-se, com precisão, o importe devido de cada título."</w:t>
      </w:r>
    </w:p>
    <w:p>
      <w:pPr>
        <w:spacing w:before="0" w:after="120" w:line="360" w:lineRule="auto"/>
        <w:ind w:firstLine="1701"/>
        <w:jc w:val="both"/>
      </w:pPr>
      <w:r>
        <w:rPr>
          <w:rFonts w:ascii="Verdana" w:hAnsi="Verdana" w:cs="Verdana"/>
          <w:sz w:val="22"/>
          <w:szCs w:val="22"/>
        </w:rPr>
        <w:t xml:space="preserve">Isso posto, requer-se a manutenção integral da r. sentença nesse particular.</w:t>
      </w:r>
    </w:p>
    <w:p>
      <w:pPr>
        <w:spacing w:before="280" w:after="200" w:line="360" w:lineRule="auto"/>
        <w:jc w:val="center"/>
        <w:rPr>
          <w:b/>
        </w:rPr>
      </w:pPr>
      <w:r>
        <w:rPr>
          <w:rFonts w:ascii="Verdana" w:hAnsi="Verdana" w:cs="Verdana"/>
          <w:sz w:val="22"/>
          <w:szCs w:val="22"/>
          <w:b/>
        </w:rPr>
        <w:t xml:space="preserve">DA RESPONSABILIDADE SUBSIDIÁRIA DA RECORRENTE – DA INAPLICABILIDADE DO TEMA 59 DOS REPETITIVOS DO C. TST AO CASO CONCRETO</w:t>
      </w:r>
    </w:p>
    <w:p>
      <w:pPr>
        <w:spacing w:before="0" w:after="120" w:line="360" w:lineRule="auto"/>
        <w:ind w:firstLine="1701"/>
        <w:jc w:val="both"/>
      </w:pPr>
      <w:r>
        <w:rPr>
          <w:rFonts w:ascii="Verdana" w:hAnsi="Verdana" w:cs="Verdana"/>
          <w:sz w:val="22"/>
          <w:szCs w:val="22"/>
        </w:rPr>
        <w:t xml:space="preserve">Este é o capítulo central do apelo, e é justamente nele que a recorrente mais se afasta da prova dos autos.</w:t>
      </w:r>
    </w:p>
    <w:p>
      <w:pPr>
        <w:spacing w:before="0" w:after="120" w:line="360" w:lineRule="auto"/>
        <w:ind w:firstLine="1701"/>
        <w:jc w:val="both"/>
      </w:pPr>
      <w:r>
        <w:rPr>
          <w:rFonts w:ascii="Verdana" w:hAnsi="Verdana" w:cs="Verdana"/>
          <w:sz w:val="22"/>
          <w:szCs w:val="22"/>
        </w:rPr>
        <w:t xml:space="preserve">Sustenta a 2ª reclamada que manteve com a JSL S/A "APENAS E TÃO SOMENTE um contrato de transportes", de natureza estritamente comercial, que "jamais transferiu qualquer de suas atividades" e que "a contratante não exerce nenhum tipo de controle sobre a execução desse serviço". Invoca, para tanto, a tese firmada no Tema 59 dos Recursos Repetitivos do C. TST.</w:t>
      </w:r>
    </w:p>
    <w:p>
      <w:pPr>
        <w:spacing w:before="0" w:after="120" w:line="360" w:lineRule="auto"/>
        <w:ind w:firstLine="1701"/>
        <w:jc w:val="both"/>
      </w:pPr>
      <w:r>
        <w:rPr>
          <w:rFonts w:ascii="Verdana" w:hAnsi="Verdana" w:cs="Verdana"/>
          <w:sz w:val="22"/>
          <w:szCs w:val="22"/>
        </w:rPr>
        <w:t xml:space="preserve">Pois bem. A tese do Tema 59 existe e é conhecida. O que a recorrente omite é que ela pressupõe um contrato de transporte </w:t>
      </w:r>
      <w:r>
        <w:rPr>
          <w:rFonts w:ascii="Verdana" w:hAnsi="Verdana" w:cs="Verdana"/>
          <w:sz w:val="22"/>
          <w:szCs w:val="22"/>
          <w:b/>
        </w:rPr>
        <w:t xml:space="preserve">puro</w:t>
      </w:r>
      <w:r>
        <w:rPr>
          <w:rFonts w:ascii="Verdana" w:hAnsi="Verdana" w:cs="Verdana"/>
          <w:sz w:val="22"/>
          <w:szCs w:val="22"/>
        </w:rPr>
        <w:t xml:space="preserve"> — aquele em que a contratante entrega ao transportador um produto pronto e acabado, remunera-o por frete, e nada mais. Não é, nem de longe, o caso destes autos.</w:t>
      </w:r>
    </w:p>
    <w:p>
      <w:pPr>
        <w:spacing w:before="0" w:after="120" w:line="360" w:lineRule="auto"/>
        <w:ind w:firstLine="1701"/>
        <w:jc w:val="both"/>
      </w:pPr>
      <w:r>
        <w:rPr>
          <w:rFonts w:ascii="Verdana" w:hAnsi="Verdana" w:cs="Verdana"/>
          <w:sz w:val="22"/>
          <w:szCs w:val="22"/>
        </w:rPr>
        <w:t xml:space="preserve">Vejamos o que diz o próprio instrumento juntado pela recorrente (ID 05a515a, fls. 897 e seguintes), a começar por seu título:</w:t>
      </w:r>
    </w:p>
    <w:p>
      <w:pPr>
        <w:spacing w:before="120" w:after="120" w:line="360" w:lineRule="auto"/>
        <w:ind w:left="2268"/>
        <w:jc w:val="both"/>
      </w:pPr>
      <w:r>
        <w:rPr>
          <w:rFonts w:ascii="Verdana" w:hAnsi="Verdana" w:cs="Verdana"/>
          <w:sz w:val="20"/>
          <w:szCs w:val="20"/>
          <w:i/>
        </w:rPr>
        <w:t xml:space="preserve">"CONTRATO DE TRANSPORTE E COMODATO CELEBRADO ENTRE WHITE MARTINS GASES INDUSTRIAIS LTDA., WHITE MARTINS GASES INDUSTRIAIS DO NORDESTE LTDA., WHITE MARTINS GASES INDUSTRIAIS DO NORTE LTDA. E JSL S/A. EM 01/02/2022 - CDL Jacareí"</w:t>
      </w:r>
    </w:p>
    <w:p>
      <w:pPr>
        <w:spacing w:before="0" w:after="120" w:line="360" w:lineRule="auto"/>
        <w:ind w:firstLine="1701"/>
        <w:jc w:val="both"/>
      </w:pPr>
      <w:r>
        <w:rPr>
          <w:rFonts w:ascii="Verdana" w:hAnsi="Verdana" w:cs="Verdana"/>
          <w:sz w:val="22"/>
          <w:szCs w:val="22"/>
        </w:rPr>
        <w:t xml:space="preserve">Note-se, Excelência, que o próprio nome do ajuste já anuncia que ali há mais do que transporte. E o conteúdo confirma:</w:t>
      </w:r>
    </w:p>
    <w:p>
      <w:pPr>
        <w:spacing w:before="0" w:after="60" w:line="360" w:lineRule="auto"/>
        <w:ind w:firstLine="1701"/>
        <w:jc w:val="both"/>
      </w:pPr>
      <w:r>
        <w:rPr>
          <w:rFonts w:ascii="Verdana" w:hAnsi="Verdana" w:cs="Verdana"/>
          <w:sz w:val="22"/>
          <w:szCs w:val="22"/>
        </w:rPr>
        <w:t xml:space="preserve">(a) O objeto contratual (Cláusula Segunda, item 2.1) abrange, além do transporte, "o Comodato dos equipamentos referidos neste instrumento ou em seus termos aditivos e anexos" — e, curiosamente, </w:t>
      </w:r>
      <w:r>
        <w:rPr>
          <w:rFonts w:ascii="Verdana" w:hAnsi="Verdana" w:cs="Verdana"/>
          <w:sz w:val="22"/>
          <w:szCs w:val="22"/>
          <w:b/>
        </w:rPr>
        <w:t xml:space="preserve">exclui</w:t>
      </w:r>
      <w:r>
        <w:rPr>
          <w:rFonts w:ascii="Verdana" w:hAnsi="Verdana" w:cs="Verdana"/>
          <w:sz w:val="22"/>
          <w:szCs w:val="22"/>
        </w:rPr>
        <w:t xml:space="preserve"> do escopo do serviço as "atividades de carga e descarga dos GASES". Ou seja: pelo contrato, carga e descarga não são atividade da transportadora, mas da própria recorrente. E, no entanto, foi o motorista da JSL quem as executou, como incontroverso nos autos.</w:t>
      </w:r>
    </w:p>
    <w:p>
      <w:pPr>
        <w:spacing w:before="0" w:after="60" w:line="360" w:lineRule="auto"/>
        <w:ind w:firstLine="1701"/>
        <w:jc w:val="both"/>
      </w:pPr>
      <w:r>
        <w:rPr>
          <w:rFonts w:ascii="Verdana" w:hAnsi="Verdana" w:cs="Verdana"/>
          <w:sz w:val="22"/>
          <w:szCs w:val="22"/>
        </w:rPr>
        <w:t xml:space="preserve">(b) A recorrente obrigou-se a "ceder à TRANSPORTADORA os VEÍCULOS e EQUIPAMENTOS listados nos Anexos A" (Cláusula Terceira, item 3.1, alínea "c"). Frise-se: não apenas os equipamentos criogênicos, mas os próprios veículos. Uma transportadora que não fornece os veículos com que transporta é tudo, menos uma prestadora autônoma de obrigação de resultado.</w:t>
      </w:r>
    </w:p>
    <w:p>
      <w:pPr>
        <w:spacing w:before="0" w:after="60" w:line="360" w:lineRule="auto"/>
        <w:ind w:firstLine="1701"/>
        <w:jc w:val="both"/>
      </w:pPr>
      <w:r>
        <w:rPr>
          <w:rFonts w:ascii="Verdana" w:hAnsi="Verdana" w:cs="Verdana"/>
          <w:sz w:val="22"/>
          <w:szCs w:val="22"/>
        </w:rPr>
        <w:t xml:space="preserve">(c) A recorrente obrigou-se a ceder à JSL "cópia controlada das Normas Técnicas, Procedimentos e demais documentos que compõem o Sistema da Qualidade da WHITE MARTINS, para que a TRANSPORTADORA possa adotar as mesmas práticas de qualidade em serviços e atendimento aos CLIENTES da WHITE MARTINS" (item 3.1, alínea "d").</w:t>
      </w:r>
    </w:p>
    <w:p>
      <w:pPr>
        <w:spacing w:before="0" w:after="60" w:line="360" w:lineRule="auto"/>
        <w:ind w:firstLine="1701"/>
        <w:jc w:val="both"/>
      </w:pPr>
      <w:r>
        <w:rPr>
          <w:rFonts w:ascii="Verdana" w:hAnsi="Verdana" w:cs="Verdana"/>
          <w:sz w:val="22"/>
          <w:szCs w:val="22"/>
        </w:rPr>
        <w:t xml:space="preserve">(d) A recorrente obrigou-se a "realizar e referendar, formalmente, o treinamento e a capacitação dos motoristas da TRANSPORTADORA no tocante ao transporte dos GASES, aos conceitos de criogenia e de segurança da operação" (item 3.1, alínea "e"). Não é a empregadora quem capacita seus empregados: é a tomadora.</w:t>
      </w:r>
    </w:p>
    <w:p>
      <w:pPr>
        <w:spacing w:before="0" w:after="60" w:line="360" w:lineRule="auto"/>
        <w:ind w:firstLine="1701"/>
        <w:jc w:val="both"/>
      </w:pPr>
      <w:r>
        <w:rPr>
          <w:rFonts w:ascii="Verdana" w:hAnsi="Verdana" w:cs="Verdana"/>
          <w:sz w:val="22"/>
          <w:szCs w:val="22"/>
        </w:rPr>
        <w:t xml:space="preserve">(e) A recorrente obrigou-se a ceder em comodato, nos seus próprios Centros de Distribuição de Líquidos, "as áreas necessárias às MANUTENÇÕES LEVES dos VEÍCULOS e ao controle das operações dos serviços e alocamento da equipe da TRANSPORTADORA" (item 3.1, alínea "f"), bem como a "disponibilizar área para estacionamento dos VEÍCULOS em todos os CDLs" (alínea "k"). Eis a origem contratual da base da JSL no interior do estabelecimento da recorrente.</w:t>
      </w:r>
    </w:p>
    <w:p>
      <w:pPr>
        <w:spacing w:before="0" w:after="60" w:line="360" w:lineRule="auto"/>
        <w:ind w:firstLine="1701"/>
        <w:jc w:val="both"/>
      </w:pPr>
      <w:r>
        <w:rPr>
          <w:rFonts w:ascii="Verdana" w:hAnsi="Verdana" w:cs="Verdana"/>
          <w:sz w:val="22"/>
          <w:szCs w:val="22"/>
        </w:rPr>
        <w:t xml:space="preserve">(f) A "PROGRAMAÇÃO" definida na Cláusula Primeira é elaborada pela recorrente e contém "destinatário, volume e prazo de entrega, plano de rota, horário de recebimento do CLIENTE". Cai por terra, portanto, a assertiva recursal de que "quem define os locais de prestação de serviços do obreiro é a sua empregadora".</w:t>
      </w:r>
    </w:p>
    <w:p>
      <w:pPr>
        <w:spacing w:before="0" w:after="60" w:line="360" w:lineRule="auto"/>
        <w:ind w:firstLine="1701"/>
        <w:jc w:val="both"/>
      </w:pPr>
      <w:r>
        <w:rPr>
          <w:rFonts w:ascii="Verdana" w:hAnsi="Verdana" w:cs="Verdana"/>
          <w:sz w:val="22"/>
          <w:szCs w:val="22"/>
        </w:rPr>
        <w:t xml:space="preserve">(g) A mesma Cláusula Primeira define "PONTE" como a "troca de motoristas numa mesma viagem, de modo a evitar que o VEÍCULO fique parado devido à limitação de jornada de trabalho do motorista". Vale dizer: a jornada dos motoristas é objeto de disciplina no próprio contrato firmado pela recorrente — e ainda assim ela alega, no tópico seguinte de seu apelo, que "não possui ingerência acerca de seu labor".</w:t>
      </w:r>
    </w:p>
    <w:p>
      <w:pPr>
        <w:spacing w:before="0" w:after="60" w:line="360" w:lineRule="auto"/>
        <w:ind w:firstLine="1701"/>
        <w:jc w:val="both"/>
      </w:pPr>
      <w:r>
        <w:rPr>
          <w:rFonts w:ascii="Verdana" w:hAnsi="Verdana" w:cs="Verdana"/>
          <w:sz w:val="22"/>
          <w:szCs w:val="22"/>
        </w:rPr>
        <w:t xml:space="preserve">(h) A subcontratação depende de "prévia autorização formal da WHITE MARTINS" (Cláusula Quinta, item 5.1), sendo vedado, "em nenhuma hipótese", subcontratar motoristas autônomos (item 5.1.2).</w:t>
      </w:r>
    </w:p>
    <w:p>
      <w:pPr>
        <w:spacing w:before="0" w:after="60" w:line="360" w:lineRule="auto"/>
        <w:ind w:firstLine="1701"/>
        <w:jc w:val="both"/>
      </w:pPr>
      <w:r>
        <w:rPr>
          <w:rFonts w:ascii="Verdana" w:hAnsi="Verdana" w:cs="Verdana"/>
          <w:sz w:val="22"/>
          <w:szCs w:val="22"/>
        </w:rPr>
        <w:t xml:space="preserve">(i) Por fim, e de forma decisiva, a remuneração não é por frete. A Cláusula Sexta, item 6.1, estabelece "remuneração mensal (...) constituída em parte fixa e parte variável", sendo a parte variável "expressa em R$/Km (reais por quilômetro) efetivamente rodado". Ora, os próprios acórdãos que a recorrente transcreve em suas razões assentam que, no contrato de transporte, "cada transporte é uma execução única que é remunerado por frete". Não é o caso. Aqui há remuneração mensal, com parcela fixa, típica de prestação de serviços continuada.</w:t>
      </w:r>
    </w:p>
    <w:p>
      <w:pPr>
        <w:spacing w:before="0" w:after="120" w:line="360" w:lineRule="auto"/>
        <w:ind w:firstLine="1701"/>
        <w:jc w:val="both"/>
      </w:pPr>
      <w:r>
        <w:rPr>
          <w:rFonts w:ascii="Verdana" w:hAnsi="Verdana" w:cs="Verdana"/>
          <w:sz w:val="22"/>
          <w:szCs w:val="22"/>
        </w:rPr>
        <w:t xml:space="preserve">Como se vê, Excelência, a recorrente pede a aplicação de uma tese cujos pressupostos fáticos ela mesma afastou, cláusula por cláusula, no contrato que juntou aos autos.</w:t>
      </w:r>
    </w:p>
    <w:p>
      <w:pPr>
        <w:spacing w:before="0" w:after="120" w:line="360" w:lineRule="auto"/>
        <w:ind w:firstLine="1701"/>
        <w:jc w:val="both"/>
      </w:pPr>
      <w:r>
        <w:rPr>
          <w:rFonts w:ascii="Verdana" w:hAnsi="Verdana" w:cs="Verdana"/>
          <w:sz w:val="22"/>
          <w:szCs w:val="22"/>
        </w:rPr>
        <w:t xml:space="preserve">E a prova oral confirmou o quadro contratual. Consta da ata de 03/12/2025 que "as partes esclarecem que a JSL mantém uma base no interior do estabelecimento da White Martins, onde o reclamante retirava o veículo a ser conduzido". Em depoimento pessoal, o recorrido declarou que "sempre retirava o caminhão no estabelecimento da White Martins, onde a JSL possuía uma base; havia relógio de ponto na base; anotava os horários de entrada e saída; (...) o depoente voltava para a White Martins, onde fechava a jornada de trabalho". A própria testemunha convidada pelas reclamadas, Sr. Demerson Marcos de Oliveira, declarou ser "motorista instrutor desde o início da operação, em abril de 2014", referindo-se a "Capuava (estabelecimento da White Martins em Mauá)" entre os locais de parada.</w:t>
      </w:r>
    </w:p>
    <w:p>
      <w:pPr>
        <w:spacing w:before="0" w:after="120" w:line="360" w:lineRule="auto"/>
        <w:ind w:firstLine="1701"/>
        <w:jc w:val="both"/>
      </w:pPr>
      <w:r>
        <w:rPr>
          <w:rFonts w:ascii="Verdana" w:hAnsi="Verdana" w:cs="Verdana"/>
          <w:sz w:val="22"/>
          <w:szCs w:val="22"/>
        </w:rPr>
        <w:t xml:space="preserve">Disso conclui-se que o trabalhador iniciava e encerrava a jornada dentro do estabelecimento da recorrente, com veículo e equipamento da recorrente, treinado pela recorrente, seguindo plano de rota da recorrente, executando carga e descarga que o contrato expressamente excluiu do serviço de transporte. Chamar isso de "mero contrato comercial de transporte" é desafiar a primazia da realidade — princípio que, ironicamente, a própria recorrente invoca em seu apelo.</w:t>
      </w:r>
    </w:p>
    <w:p>
      <w:pPr>
        <w:spacing w:before="0" w:after="120" w:line="360" w:lineRule="auto"/>
        <w:ind w:firstLine="1701"/>
        <w:jc w:val="both"/>
      </w:pPr>
      <w:r>
        <w:rPr>
          <w:rFonts w:ascii="Verdana" w:hAnsi="Verdana" w:cs="Verdana"/>
          <w:sz w:val="22"/>
          <w:szCs w:val="22"/>
        </w:rPr>
        <w:t xml:space="preserve">A r. sentença captou a questão com precisão cirúrgica:</w:t>
      </w:r>
    </w:p>
    <w:p>
      <w:pPr>
        <w:spacing w:before="120" w:after="120" w:line="360" w:lineRule="auto"/>
        <w:ind w:left="2268"/>
        <w:jc w:val="both"/>
      </w:pPr>
      <w:r>
        <w:rPr>
          <w:rFonts w:ascii="Verdana" w:hAnsi="Verdana" w:cs="Verdana"/>
          <w:sz w:val="20"/>
          <w:szCs w:val="20"/>
          <w:i/>
        </w:rPr>
        <w:t xml:space="preserve">"No entanto, a situação concreta não se amolda à referida tese. Não há como negar que a empregadora do reclamante foi contratada pela White Martins para fazer o transporte dos produtos que comercializa. De outra parte, esses produtos possuem características muito específicas, capazes de fazer do transporte parte essencial da atividade empresarial. Como se lê no contrato celebrado entre as empresas, a transportadora se obrigou a utilizar equipamentos criogênicos cedidos pela própria White Martins, em regime de comodato. A White Martins, além de ceder os equipamentos, se obrigou a realizar capacitação dos motoristas. Isso porque a entrega do produto não se resume ao transporte, mas a operação sem a qual a atividade econômica fica inviabilizada."</w:t>
      </w:r>
    </w:p>
    <w:p>
      <w:pPr>
        <w:spacing w:before="0" w:after="120" w:line="360" w:lineRule="auto"/>
        <w:ind w:firstLine="1701"/>
        <w:jc w:val="both"/>
      </w:pPr>
      <w:r>
        <w:rPr>
          <w:rFonts w:ascii="Verdana" w:hAnsi="Verdana" w:cs="Verdana"/>
          <w:sz w:val="22"/>
          <w:szCs w:val="22"/>
        </w:rPr>
        <w:t xml:space="preserve">Registre-se, por fim, que a responsabilidade subsidiária encontra fundamento normativo expresso, independentemente da Súmula 331, IV, do C. TST, no artigo 5º-A, §5º, da Lei 6.019/74:</w:t>
      </w:r>
    </w:p>
    <w:p>
      <w:pPr>
        <w:spacing w:before="120" w:after="120" w:line="360" w:lineRule="auto"/>
        <w:ind w:left="2268"/>
        <w:jc w:val="both"/>
      </w:pPr>
      <w:r>
        <w:rPr>
          <w:rFonts w:ascii="Verdana" w:hAnsi="Verdana" w:cs="Verdana"/>
          <w:sz w:val="20"/>
          <w:szCs w:val="20"/>
          <w:i/>
        </w:rPr>
        <w:t xml:space="preserve">"Art. 5º-A, §5º - A empresa contratante é subsidiariamente responsável pelas obrigações trabalhistas referentes ao período em que ocorrer a prestação de serviços, e o recolhimento das contribuições previdenciárias observará o disposto no art. 31 da Lei nº 8.212, de 24 de julho de 1991."</w:t>
      </w:r>
    </w:p>
    <w:p>
      <w:pPr>
        <w:spacing w:before="0" w:after="120" w:line="360" w:lineRule="auto"/>
        <w:ind w:firstLine="1701"/>
        <w:jc w:val="both"/>
      </w:pPr>
      <w:r>
        <w:rPr>
          <w:rFonts w:ascii="Verdana" w:hAnsi="Verdana" w:cs="Verdana"/>
          <w:sz w:val="22"/>
          <w:szCs w:val="22"/>
        </w:rPr>
        <w:t xml:space="preserve">Isso posto, requer-se o desprovimento do apelo, com a integral manutenção da responsabilidade subsidiária da recorrente.</w:t>
      </w:r>
    </w:p>
    <w:p>
      <w:pPr>
        <w:spacing w:before="280" w:after="200" w:line="360" w:lineRule="auto"/>
        <w:jc w:val="center"/>
        <w:rPr>
          <w:b/>
        </w:rPr>
      </w:pPr>
      <w:r>
        <w:rPr>
          <w:rFonts w:ascii="Verdana" w:hAnsi="Verdana" w:cs="Verdana"/>
          <w:sz w:val="22"/>
          <w:szCs w:val="22"/>
          <w:b/>
        </w:rPr>
        <w:t xml:space="preserve">DAS HORAS EXTRAS, DO ADICIONAL NOTURNO E DO INTERVALO INTRAJORNADA – DA ALEGADA AUSÊNCIA DE INGERÊNCIA E DE PROVA</w:t>
      </w:r>
    </w:p>
    <w:p>
      <w:pPr>
        <w:spacing w:before="0" w:after="120" w:line="360" w:lineRule="auto"/>
        <w:ind w:firstLine="1701"/>
        <w:jc w:val="both"/>
      </w:pPr>
      <w:r>
        <w:rPr>
          <w:rFonts w:ascii="Verdana" w:hAnsi="Verdana" w:cs="Verdana"/>
          <w:sz w:val="22"/>
          <w:szCs w:val="22"/>
        </w:rPr>
        <w:t xml:space="preserve">Alega a recorrente que "não possui conhecimento acerca da jornada do Recorrente" e que a matéria seria "OBRIGAÇÃO DE CUNHO PERSONALÍSSIMO da 1ª reclamada", motivo pelo qual não poderia responder sequer subsidiariamente. Sustenta, ainda, que o recorrido "não trouxe elementos seguros" a demonstrar as diferenças deferidas.</w:t>
      </w:r>
    </w:p>
    <w:p>
      <w:pPr>
        <w:spacing w:before="0" w:after="120" w:line="360" w:lineRule="auto"/>
        <w:ind w:firstLine="1701"/>
        <w:jc w:val="both"/>
      </w:pPr>
      <w:r>
        <w:rPr>
          <w:rFonts w:ascii="Verdana" w:hAnsi="Verdana" w:cs="Verdana"/>
          <w:sz w:val="22"/>
          <w:szCs w:val="22"/>
        </w:rPr>
        <w:t xml:space="preserve">Ambas as alegações improcedem.</w:t>
      </w:r>
    </w:p>
    <w:p>
      <w:pPr>
        <w:spacing w:before="0" w:after="120" w:line="360" w:lineRule="auto"/>
        <w:ind w:firstLine="1701"/>
        <w:jc w:val="both"/>
      </w:pPr>
      <w:r>
        <w:rPr>
          <w:rFonts w:ascii="Verdana" w:hAnsi="Verdana" w:cs="Verdana"/>
          <w:sz w:val="22"/>
          <w:szCs w:val="22"/>
        </w:rPr>
        <w:t xml:space="preserve">Quanto à primeira, cabe salientar que a responsabilidade subsidiária, uma vez reconhecida, abrange a integralidade do objeto condenatório, e não apenas as parcelas que a tomadora repute de sua conveniência. É o que dispõe a Súmula 331, VI, do C. TST:</w:t>
      </w:r>
    </w:p>
    <w:p>
      <w:pPr>
        <w:spacing w:before="120" w:after="120" w:line="360" w:lineRule="auto"/>
        <w:ind w:left="2268"/>
        <w:jc w:val="both"/>
      </w:pPr>
      <w:r>
        <w:rPr>
          <w:rFonts w:ascii="Verdana" w:hAnsi="Verdana" w:cs="Verdana"/>
          <w:sz w:val="20"/>
          <w:szCs w:val="20"/>
          <w:i/>
        </w:rPr>
        <w:t xml:space="preserve">"Súmula 331 do TST, VI - A responsabilidade subsidiária do tomador de serviços abrange todas as verbas decorrentes da condenação referentes ao período da prestação laboral."</w:t>
      </w:r>
    </w:p>
    <w:p>
      <w:pPr>
        <w:spacing w:before="0" w:after="120" w:line="360" w:lineRule="auto"/>
        <w:ind w:firstLine="1701"/>
        <w:jc w:val="both"/>
      </w:pPr>
      <w:r>
        <w:rPr>
          <w:rFonts w:ascii="Verdana" w:hAnsi="Verdana" w:cs="Verdana"/>
          <w:sz w:val="22"/>
          <w:szCs w:val="22"/>
        </w:rPr>
        <w:t xml:space="preserve">A subsidiariedade decorre precisamente da culpa in eligendo e in vigilando: responde o tomador porque escolheu mal e fiscalizou mal o cumprimento das obrigações trabalhistas pela prestadora. Alegar desconhecimento da jornada, portanto, não é defesa — é confissão do exato fato que gera o dever de responder. E, no caso, o desconhecimento sequer é verossímil, à vista das cláusulas contratuais acima transcritas, que disciplinam programação, plano de rota, troca de motoristas por limitação de jornada e alocação da equipe da transportadora dentro dos CDLs da própria recorrente.</w:t>
      </w:r>
    </w:p>
    <w:p>
      <w:pPr>
        <w:spacing w:before="0" w:after="120" w:line="360" w:lineRule="auto"/>
        <w:ind w:firstLine="1701"/>
        <w:jc w:val="both"/>
      </w:pPr>
      <w:r>
        <w:rPr>
          <w:rFonts w:ascii="Verdana" w:hAnsi="Verdana" w:cs="Verdana"/>
          <w:sz w:val="22"/>
          <w:szCs w:val="22"/>
        </w:rPr>
        <w:t xml:space="preserve">Quanto à segunda alegação, a recorrente parte de premissa igualmente equivocada ao sugerir que a condenação teria decorrido de presunção. Não foi o que ocorreu.</w:t>
      </w:r>
    </w:p>
    <w:p>
      <w:pPr>
        <w:spacing w:before="0" w:after="120" w:line="360" w:lineRule="auto"/>
        <w:ind w:firstLine="1701"/>
        <w:jc w:val="both"/>
      </w:pPr>
      <w:r>
        <w:rPr>
          <w:rFonts w:ascii="Verdana" w:hAnsi="Verdana" w:cs="Verdana"/>
          <w:sz w:val="22"/>
          <w:szCs w:val="22"/>
        </w:rPr>
        <w:t xml:space="preserve">Vale observar que a r. sentença acolheu, como base de cálculo, </w:t>
      </w:r>
      <w:r>
        <w:rPr>
          <w:rFonts w:ascii="Verdana" w:hAnsi="Verdana" w:cs="Verdana"/>
          <w:sz w:val="22"/>
          <w:szCs w:val="22"/>
          <w:b/>
        </w:rPr>
        <w:t xml:space="preserve">os horários registrados pela própria empregadora</w:t>
      </w:r>
      <w:r>
        <w:rPr>
          <w:rFonts w:ascii="Verdana" w:hAnsi="Verdana" w:cs="Verdana"/>
          <w:sz w:val="22"/>
          <w:szCs w:val="22"/>
        </w:rPr>
        <w:t xml:space="preserve">, conforme expressamente consignado:</w:t>
      </w:r>
    </w:p>
    <w:p>
      <w:pPr>
        <w:spacing w:before="120" w:after="120" w:line="360" w:lineRule="auto"/>
        <w:ind w:left="2268"/>
        <w:jc w:val="both"/>
      </w:pPr>
      <w:r>
        <w:rPr>
          <w:rFonts w:ascii="Verdana" w:hAnsi="Verdana" w:cs="Verdana"/>
          <w:sz w:val="20"/>
          <w:szCs w:val="20"/>
          <w:i/>
        </w:rPr>
        <w:t xml:space="preserve">"a) os horários de início e término são aqueles consignados na folha simplificada. O reclamante reconheceu, em depoimento, que fazia esse registro. Além disso, o volume de horas e os dias trabalhados são coerentes à realidade descrita nos depoimentos, inclusive em relação a folgas, domingos e feriados trabalhados"</w:t>
      </w:r>
    </w:p>
    <w:p>
      <w:pPr>
        <w:spacing w:before="0" w:after="120" w:line="360" w:lineRule="auto"/>
        <w:ind w:firstLine="1701"/>
        <w:jc w:val="both"/>
      </w:pPr>
      <w:r>
        <w:rPr>
          <w:rFonts w:ascii="Verdana" w:hAnsi="Verdana" w:cs="Verdana"/>
          <w:sz w:val="22"/>
          <w:szCs w:val="22"/>
        </w:rPr>
        <w:t xml:space="preserve">Ou seja: a condenação em diferenças de horas extras e de adicional noturno resulta do confronto entre a jornada efetivamente registrada nos controles das rés e os valores efetivamente pagos nas fichas financeiras juntadas por elas próprias. Não há presunção alguma — há prova documental produzida pela parte adversa.</w:t>
      </w:r>
    </w:p>
    <w:p>
      <w:pPr>
        <w:spacing w:before="0" w:after="120" w:line="360" w:lineRule="auto"/>
        <w:ind w:firstLine="1701"/>
        <w:jc w:val="both"/>
      </w:pPr>
      <w:r>
        <w:rPr>
          <w:rFonts w:ascii="Verdana" w:hAnsi="Verdana" w:cs="Verdana"/>
          <w:sz w:val="22"/>
          <w:szCs w:val="22"/>
        </w:rPr>
        <w:t xml:space="preserve">Já quanto ao intervalo intrajornada, o ônus da prova da regular concessão é do empregador, na forma da Súmula 338 do C. TST e do artigo 74, §2º, da CLT, ônus do qual as rés não se desincumbiram. Ao contrário: a preposta da 1ª reclamada admitiu que "o rastreador não controlava parada específica para intervalo" e que "o bordo era manual", ao passo que as testemunhas ouvidas convergiram quanto à impossibilidade rotineira de fruição da pausa, tendo a própria testemunha patronal sido qualificada pelo juízo como contraditória.</w:t>
      </w:r>
    </w:p>
    <w:p>
      <w:pPr>
        <w:spacing w:before="0" w:after="120" w:line="360" w:lineRule="auto"/>
        <w:ind w:firstLine="1701"/>
        <w:jc w:val="both"/>
      </w:pPr>
      <w:r>
        <w:rPr>
          <w:rFonts w:ascii="Verdana" w:hAnsi="Verdana" w:cs="Verdana"/>
          <w:sz w:val="22"/>
          <w:szCs w:val="22"/>
        </w:rPr>
        <w:t xml:space="preserve">Isso posto, requer-se a manutenção da r. sentença nesse particular.</w:t>
      </w:r>
    </w:p>
    <w:p>
      <w:pPr>
        <w:spacing w:before="280" w:after="200" w:line="360" w:lineRule="auto"/>
        <w:jc w:val="center"/>
        <w:rPr>
          <w:b/>
        </w:rPr>
      </w:pPr>
      <w:r>
        <w:rPr>
          <w:rFonts w:ascii="Verdana" w:hAnsi="Verdana" w:cs="Verdana"/>
          <w:sz w:val="22"/>
          <w:szCs w:val="22"/>
          <w:b/>
        </w:rPr>
        <w:t xml:space="preserve">DA ALEGADA IMPOSSIBILIDADE DE CUMULAÇÃO ENTRE INTERVALO INTRAJORNADA E HORAS EXTRAS – DA INEXISTÊNCIA DE BIS IN IDEM</w:t>
      </w:r>
    </w:p>
    <w:p>
      <w:pPr>
        <w:spacing w:before="0" w:after="120" w:line="360" w:lineRule="auto"/>
        <w:ind w:firstLine="1701"/>
        <w:jc w:val="both"/>
      </w:pPr>
      <w:r>
        <w:rPr>
          <w:rFonts w:ascii="Verdana" w:hAnsi="Verdana" w:cs="Verdana"/>
          <w:sz w:val="22"/>
          <w:szCs w:val="22"/>
        </w:rPr>
        <w:t xml:space="preserve">Insiste a recorrente que a condenação simultânea em horas extras e em indenização pelo intervalo configuraria bis in idem e enriquecimento sem causa.</w:t>
      </w:r>
    </w:p>
    <w:p>
      <w:pPr>
        <w:spacing w:before="0" w:after="120" w:line="360" w:lineRule="auto"/>
        <w:ind w:firstLine="1701"/>
        <w:jc w:val="both"/>
      </w:pPr>
      <w:r>
        <w:rPr>
          <w:rFonts w:ascii="Verdana" w:hAnsi="Verdana" w:cs="Verdana"/>
          <w:sz w:val="22"/>
          <w:szCs w:val="22"/>
        </w:rPr>
        <w:t xml:space="preserve">O argumento não resiste à leitura do julgado.</w:t>
      </w:r>
    </w:p>
    <w:p>
      <w:pPr>
        <w:spacing w:before="0" w:after="120" w:line="360" w:lineRule="auto"/>
        <w:ind w:firstLine="1701"/>
        <w:jc w:val="both"/>
      </w:pPr>
      <w:r>
        <w:rPr>
          <w:rFonts w:ascii="Verdana" w:hAnsi="Verdana" w:cs="Verdana"/>
          <w:sz w:val="22"/>
          <w:szCs w:val="22"/>
        </w:rPr>
        <w:t xml:space="preserve">Em primeiro lugar, as duas verbas têm fato gerador distinto. As horas extras remuneram o labor prestado </w:t>
      </w:r>
      <w:r>
        <w:rPr>
          <w:rFonts w:ascii="Verdana" w:hAnsi="Verdana" w:cs="Verdana"/>
          <w:sz w:val="22"/>
          <w:szCs w:val="22"/>
          <w:b/>
        </w:rPr>
        <w:t xml:space="preserve">além da 8ª diária e da 44ª semanal</w:t>
      </w:r>
      <w:r>
        <w:rPr>
          <w:rFonts w:ascii="Verdana" w:hAnsi="Verdana" w:cs="Verdana"/>
          <w:sz w:val="22"/>
          <w:szCs w:val="22"/>
        </w:rPr>
        <w:t xml:space="preserve">. A indenização do artigo 71, §4º, da CLT sanciona a </w:t>
      </w:r>
      <w:r>
        <w:rPr>
          <w:rFonts w:ascii="Verdana" w:hAnsi="Verdana" w:cs="Verdana"/>
          <w:sz w:val="22"/>
          <w:szCs w:val="22"/>
          <w:b/>
        </w:rPr>
        <w:t xml:space="preserve">supressão do descanso intrajornada</w:t>
      </w:r>
      <w:r>
        <w:rPr>
          <w:rFonts w:ascii="Verdana" w:hAnsi="Verdana" w:cs="Verdana"/>
          <w:sz w:val="22"/>
          <w:szCs w:val="22"/>
        </w:rPr>
        <w:t xml:space="preserve">, e possui natureza indenizatória, e não remuneratória, por expressa dicção legal após a Lei 13.467/2017. São institutos diversos, com causas diversas.</w:t>
      </w:r>
    </w:p>
    <w:p>
      <w:pPr>
        <w:spacing w:before="0" w:after="120" w:line="360" w:lineRule="auto"/>
        <w:ind w:firstLine="1701"/>
        <w:jc w:val="both"/>
      </w:pPr>
      <w:r>
        <w:rPr>
          <w:rFonts w:ascii="Verdana" w:hAnsi="Verdana" w:cs="Verdana"/>
          <w:sz w:val="22"/>
          <w:szCs w:val="22"/>
        </w:rPr>
        <w:t xml:space="preserve">Em segundo lugar, e de forma dirimente, a r. sentença antecipou-se ao ponto e o resolveu expressamente, ao determinar que as horas extras fossem apuradas "considerando o intervalo reduzido" e ao vedar, quanto à indenização do intervalo, qualquer repercussão:</w:t>
      </w:r>
    </w:p>
    <w:p>
      <w:pPr>
        <w:spacing w:before="120" w:after="120" w:line="360" w:lineRule="auto"/>
        <w:ind w:left="2268"/>
        <w:jc w:val="both"/>
      </w:pPr>
      <w:r>
        <w:rPr>
          <w:rFonts w:ascii="Verdana" w:hAnsi="Verdana" w:cs="Verdana"/>
          <w:sz w:val="20"/>
          <w:szCs w:val="20"/>
          <w:i/>
        </w:rPr>
        <w:t xml:space="preserve">"Reconheço ao reclamante o direito de receber, como extraordinárias, as horas trabalhadas além da 8ª diária e 44ª semanal, considerando o intervalo reduzido. (...) No tocante ao intervalo intrajornada parcialmente suprimido, o contrato de trabalho vigorou sob vigência da atual redação do artigo 71, §4º, da CLT. Dessa forma, a par das horas extras reconhecidas, a cada dia de efetivo trabalho a reclamante fará jus a indenização correspondente ao salário de 30 minutos, acrescido de 50%, com exceção de seis dias por mês. Considerando a natureza jurídica da parcela, não há reflexos e incidências."</w:t>
      </w:r>
    </w:p>
    <w:p>
      <w:pPr>
        <w:spacing w:before="0" w:after="120" w:line="360" w:lineRule="auto"/>
        <w:ind w:firstLine="1701"/>
        <w:jc w:val="both"/>
      </w:pPr>
      <w:r>
        <w:rPr>
          <w:rFonts w:ascii="Verdana" w:hAnsi="Verdana" w:cs="Verdana"/>
          <w:sz w:val="22"/>
          <w:szCs w:val="22"/>
        </w:rPr>
        <w:t xml:space="preserve">Perceba-se que não há, no comando sentencial, qualquer duplicidade: o tempo do intervalo suprimido integra a jornada para fins de apuração das horas extras — como não poderia deixar de ser, pois é tempo à disposição —, e a indenização do §4º é devida a título autônomo e sem reflexos, exatamente para evitar a sobreposição que a recorrente teme.</w:t>
      </w:r>
    </w:p>
    <w:p>
      <w:pPr>
        <w:spacing w:before="0" w:after="120" w:line="360" w:lineRule="auto"/>
        <w:ind w:firstLine="1701"/>
        <w:jc w:val="both"/>
      </w:pPr>
      <w:r>
        <w:rPr>
          <w:rFonts w:ascii="Verdana" w:hAnsi="Verdana" w:cs="Verdana"/>
          <w:sz w:val="22"/>
          <w:szCs w:val="22"/>
        </w:rPr>
        <w:t xml:space="preserve">Cumpre consignar, ainda, que os julgados transcritos pela recorrente são todos anteriores à Lei 13.467/2017 e tratam de hipótese diversa da destes autos, qual seja, a </w:t>
      </w:r>
      <w:r>
        <w:rPr>
          <w:rFonts w:ascii="Verdana" w:hAnsi="Verdana" w:cs="Verdana"/>
          <w:sz w:val="22"/>
          <w:szCs w:val="22"/>
          <w:b/>
        </w:rPr>
        <w:t xml:space="preserve">integração do intervalo suprimido na base de cálculo</w:t>
      </w:r>
      <w:r>
        <w:rPr>
          <w:rFonts w:ascii="Verdana" w:hAnsi="Verdana" w:cs="Verdana"/>
          <w:sz w:val="22"/>
          <w:szCs w:val="22"/>
        </w:rPr>
        <w:t xml:space="preserve"> das horas extras e das horas dobradas — providência que a r. sentença não determinou. Um deles, aliás, é acórdão do TRT da 4ª Região de 2013 que, longe de socorrer a tese recursal, afirma justamente o pagamento integral de uma hora na hipótese de concessão parcial.</w:t>
      </w:r>
    </w:p>
    <w:p>
      <w:pPr>
        <w:spacing w:before="0" w:after="120" w:line="360" w:lineRule="auto"/>
        <w:ind w:firstLine="1701"/>
        <w:jc w:val="both"/>
      </w:pPr>
      <w:r>
        <w:rPr>
          <w:rFonts w:ascii="Verdana" w:hAnsi="Verdana" w:cs="Verdana"/>
          <w:sz w:val="22"/>
          <w:szCs w:val="22"/>
        </w:rPr>
        <w:t xml:space="preserve">Isso posto, requer-se a manutenção da r. sentença nesse particular.</w:t>
      </w:r>
    </w:p>
    <w:p>
      <w:pPr>
        <w:spacing w:before="280" w:after="200" w:line="360" w:lineRule="auto"/>
        <w:jc w:val="center"/>
        <w:rPr>
          <w:b/>
        </w:rPr>
      </w:pPr>
      <w:r>
        <w:rPr>
          <w:rFonts w:ascii="Verdana" w:hAnsi="Verdana" w:cs="Verdana"/>
          <w:sz w:val="22"/>
          <w:szCs w:val="22"/>
          <w:b/>
        </w:rPr>
        <w:t xml:space="preserve">DOS HONORÁRIOS ADVOCATÍCIOS DE SUCUMBÊNCIA</w:t>
      </w:r>
    </w:p>
    <w:p>
      <w:pPr>
        <w:spacing w:before="0" w:after="120" w:line="360" w:lineRule="auto"/>
        <w:ind w:firstLine="1701"/>
        <w:jc w:val="both"/>
      </w:pPr>
      <w:r>
        <w:rPr>
          <w:rFonts w:ascii="Verdana" w:hAnsi="Verdana" w:cs="Verdana"/>
          <w:sz w:val="22"/>
          <w:szCs w:val="22"/>
        </w:rPr>
        <w:t xml:space="preserve">Por fim, pretende a recorrente a redução dos honorários de 10% para 5%, ao argumento de que "os trabalhos efetuados pelos patronos não excederam a normalidade e o mínimo esperado dentro de sua atuação".</w:t>
      </w:r>
    </w:p>
    <w:p>
      <w:pPr>
        <w:spacing w:before="0" w:after="120" w:line="360" w:lineRule="auto"/>
        <w:ind w:firstLine="1701"/>
        <w:jc w:val="both"/>
      </w:pPr>
      <w:r>
        <w:rPr>
          <w:rFonts w:ascii="Verdana" w:hAnsi="Verdana" w:cs="Verdana"/>
          <w:sz w:val="22"/>
          <w:szCs w:val="22"/>
        </w:rPr>
        <w:t xml:space="preserve">A assertiva não honra os autos.</w:t>
      </w:r>
    </w:p>
    <w:p>
      <w:pPr>
        <w:spacing w:before="0" w:after="120" w:line="360" w:lineRule="auto"/>
        <w:ind w:firstLine="1701"/>
        <w:jc w:val="both"/>
      </w:pPr>
      <w:r>
        <w:rPr>
          <w:rFonts w:ascii="Verdana" w:hAnsi="Verdana" w:cs="Verdana"/>
          <w:sz w:val="22"/>
          <w:szCs w:val="22"/>
        </w:rPr>
        <w:t xml:space="preserve">Vale observar que o feito tramitou por mais de um ano e três meses, exigiu impugnação fundamentada ao laudo pericial, pedido de esclarecimentos ao expert, produção de prova emprestada, instrução com depoimentos pessoais e oitiva de três testemunhas, tendo os autos ultrapassado 1.100 folhas — extensão para a qual, diga-se, contribuíram substancialmente as próprias rés. O percentual de 10% fixado na origem situa-se no ponto médio da faixa legal do artigo 791-A, caput, da CLT e revela-se, se algum reparo comportasse, módico.</w:t>
      </w:r>
    </w:p>
    <w:p>
      <w:pPr>
        <w:spacing w:before="0" w:after="120" w:line="360" w:lineRule="auto"/>
        <w:ind w:firstLine="1701"/>
        <w:jc w:val="both"/>
      </w:pPr>
      <w:r>
        <w:rPr>
          <w:rFonts w:ascii="Verdana" w:hAnsi="Verdana" w:cs="Verdana"/>
          <w:sz w:val="22"/>
          <w:szCs w:val="22"/>
        </w:rPr>
        <w:t xml:space="preserve">Isso posto, requer-se a manutenção do percentual arbitrado na origem.</w:t>
      </w:r>
    </w:p>
    <w:p>
      <w:pPr>
        <w:spacing w:before="280" w:after="200" w:line="360" w:lineRule="auto"/>
        <w:jc w:val="center"/>
        <w:rPr>
          <w:b/>
        </w:rPr>
      </w:pPr>
      <w:r>
        <w:rPr>
          <w:rFonts w:ascii="Verdana" w:hAnsi="Verdana" w:cs="Verdana"/>
          <w:sz w:val="22"/>
          <w:szCs w:val="22"/>
          <w:b/>
        </w:rPr>
        <w:t xml:space="preserve">DO PEDIDO</w:t>
      </w:r>
    </w:p>
    <w:p>
      <w:pPr>
        <w:spacing w:before="0" w:after="120" w:line="360" w:lineRule="auto"/>
        <w:ind w:firstLine="1701"/>
        <w:jc w:val="both"/>
      </w:pPr>
      <w:r>
        <w:rPr>
          <w:rFonts w:ascii="Verdana" w:hAnsi="Verdana" w:cs="Verdana"/>
          <w:sz w:val="22"/>
          <w:szCs w:val="22"/>
        </w:rPr>
        <w:t xml:space="preserve">Ante o exposto, requer o recorrido:</w:t>
      </w:r>
    </w:p>
    <w:p>
      <w:pPr>
        <w:spacing w:before="0" w:after="60" w:line="360" w:lineRule="auto"/>
        <w:ind w:firstLine="1701"/>
        <w:jc w:val="both"/>
      </w:pPr>
      <w:r>
        <w:rPr>
          <w:rFonts w:ascii="Verdana" w:hAnsi="Verdana" w:cs="Verdana"/>
          <w:sz w:val="22"/>
          <w:szCs w:val="22"/>
        </w:rPr>
        <w:t xml:space="preserve">a) preliminarmente, seja declarada a DESERÇÃO do Recurso Ordinário da 2ª reclamada, com o seu NÃO CONHECIMENTO, ante a ausência de comprovação do recolhimento das custas processuais no prazo recursal, nos termos do artigo 789, §1º, da CLT;</w:t>
      </w:r>
    </w:p>
    <w:p>
      <w:pPr>
        <w:spacing w:before="0" w:after="60" w:line="360" w:lineRule="auto"/>
        <w:ind w:firstLine="1701"/>
        <w:jc w:val="both"/>
      </w:pPr>
      <w:r>
        <w:rPr>
          <w:rFonts w:ascii="Verdana" w:hAnsi="Verdana" w:cs="Verdana"/>
          <w:sz w:val="22"/>
          <w:szCs w:val="22"/>
        </w:rPr>
        <w:t xml:space="preserve">b) sucessivamente, caso conhecido, seja o apelo INTEGRALMENTE DESPROVIDO, mantendo-se a r. sentença por seus próprios e jurídicos fundamentos, em especial quanto à responsabilidade subsidiária da recorrente, à não limitação da condenação aos valores estimados na inicial, à condenação em diferenças de horas extras, diferenças de adicional noturno e indenização pelo intervalo intrajornada, e ao percentual de 10% arbitrado a título de honorários advocatícios;</w:t>
      </w:r>
    </w:p>
    <w:p>
      <w:pPr>
        <w:spacing w:before="0" w:after="60" w:line="360" w:lineRule="auto"/>
        <w:ind w:firstLine="1701"/>
        <w:jc w:val="both"/>
      </w:pPr>
      <w:r>
        <w:rPr>
          <w:rFonts w:ascii="Verdana" w:hAnsi="Verdana" w:cs="Verdana"/>
          <w:sz w:val="22"/>
          <w:szCs w:val="22"/>
        </w:rPr>
        <w:t xml:space="preserve">c) a majoração dos honorários advocatícios em grau recursal, na forma do artigo 85, §11, do CPC, aplicável subsidiariamente ao processo do trabalho.</w:t>
      </w:r>
    </w:p>
    <w:p>
      <w:pPr>
        <w:spacing w:before="0" w:after="120" w:line="360" w:lineRule="auto"/>
        <w:ind w:firstLine="1701"/>
        <w:jc w:val="both"/>
      </w:pPr>
      <w:r>
        <w:rPr>
          <w:rFonts w:ascii="Verdana" w:hAnsi="Verdana" w:cs="Verdana"/>
          <w:sz w:val="22"/>
          <w:szCs w:val="22"/>
        </w:rPr>
        <w:t xml:space="preserve">Nestes termos,</w:t>
      </w:r>
    </w:p>
    <w:p>
      <w:pPr>
        <w:spacing w:before="0" w:after="120" w:line="360" w:lineRule="auto"/>
        <w:ind w:firstLine="1701"/>
        <w:jc w:val="both"/>
      </w:pPr>
      <w:r>
        <w:rPr>
          <w:rFonts w:ascii="Verdana" w:hAnsi="Verdana" w:cs="Verdana"/>
          <w:sz w:val="22"/>
          <w:szCs w:val="22"/>
        </w:rPr>
        <w:t xml:space="preserve">Pede deferimento.</w:t>
      </w:r>
    </w:p>
    <w:p>
      <w:pPr>
        <w:spacing w:before="360" w:after="360" w:line="360" w:lineRule="auto"/>
        <w:jc w:val="right"/>
      </w:pPr>
      <w:r>
        <w:rPr>
          <w:rFonts w:ascii="Verdana" w:hAnsi="Verdana" w:cs="Verdana"/>
          <w:sz w:val="22"/>
          <w:szCs w:val="22"/>
        </w:rPr>
        <w:t xml:space="preserve">Sorocaba, [FALTA: data do protocolo].</w:t>
      </w:r>
    </w:p>
    <w:p>
      <w:pPr>
        <w:spacing w:before="0" w:after="0" w:line="360" w:lineRule="auto"/>
        <w:jc w:val="center"/>
        <w:rPr>
          <w:b/>
        </w:rPr>
      </w:pPr>
      <w:r>
        <w:rPr>
          <w:rFonts w:ascii="Verdana" w:hAnsi="Verdana" w:cs="Verdana"/>
          <w:sz w:val="22"/>
          <w:szCs w:val="22"/>
          <w:b/>
        </w:rPr>
        <w:t xml:space="preserve">Alexandre Pascoal Marques</w:t>
      </w:r>
    </w:p>
    <w:p>
      <w:pPr>
        <w:spacing w:before="0" w:after="0" w:line="360" w:lineRule="auto"/>
        <w:jc w:val="center"/>
        <w:rPr>
          <w:b/>
        </w:rPr>
      </w:pPr>
      <w:r>
        <w:rPr>
          <w:rFonts w:ascii="Verdana" w:hAnsi="Verdana" w:cs="Verdana"/>
          <w:sz w:val="22"/>
          <w:szCs w:val="22"/>
          <w:b/>
        </w:rPr>
        <w:t xml:space="preserve">OAB/SP 270.924</w:t>
      </w:r>
    </w:p>
    <w:p>
      <w:pPr>
        <w:spacing w:before="0" w:after="0" w:line="360" w:lineRule="auto"/>
        <w:jc w:val="center"/>
        <w:rPr>
          <w:b/>
        </w:rPr>
      </w:pPr>
      <w:r>
        <w:rPr>
          <w:rFonts w:ascii="Verdana" w:hAnsi="Verdana" w:cs="Verdana"/>
          <w:sz w:val="22"/>
          <w:szCs w:val="22"/>
          <w:b/>
        </w:rPr>
        <w:t xml:space="preserve">Flávia Dyandra da Silva</w:t>
      </w:r>
    </w:p>
    <w:p>
      <w:pPr>
        <w:spacing w:before="0" w:after="0" w:line="360" w:lineRule="auto"/>
        <w:jc w:val="center"/>
        <w:rPr>
          <w:b/>
        </w:rPr>
      </w:pPr>
      <w:r>
        <w:rPr>
          <w:rFonts w:ascii="Verdana" w:hAnsi="Verdana" w:cs="Verdana"/>
          <w:sz w:val="22"/>
          <w:szCs w:val="22"/>
          <w:b/>
        </w:rPr>
        <w:t xml:space="preserve">OAB/SP 352.455</w:t>
      </w:r>
    </w:p>
    <w:p>
      <w:pPr>
        <w:spacing w:before="0" w:after="0" w:line="360" w:lineRule="auto"/>
        <w:jc w:val="center"/>
        <w:rPr>
          <w:b/>
        </w:rPr>
      </w:pPr>
      <w:r>
        <w:rPr>
          <w:rFonts w:ascii="Verdana" w:hAnsi="Verdana" w:cs="Verdana"/>
          <w:sz w:val="22"/>
          <w:szCs w:val="22"/>
          <w:b/>
        </w:rPr>
        <w:t xml:space="preserve">Regiane de Oliveira</w:t>
      </w:r>
    </w:p>
    <w:p>
      <w:pPr>
        <w:spacing w:before="0" w:after="0" w:line="360" w:lineRule="auto"/>
        <w:jc w:val="center"/>
        <w:rPr>
          <w:b/>
        </w:rPr>
      </w:pPr>
      <w:r>
        <w:rPr>
          <w:rFonts w:ascii="Verdana" w:hAnsi="Verdana" w:cs="Verdana"/>
          <w:sz w:val="22"/>
          <w:szCs w:val="22"/>
          <w:b/>
        </w:rPr>
        <w:t xml:space="preserve">OAB/SP 429.472</w:t>
      </w:r>
    </w:p>
    <w:sectPr>
      <w:headerReference r:id="rId7" w:type="default"/>
      <w:pgSz w:h="16838" w:w="11906" w:orient="portrait"/>
      <w:pgMar w:bottom="1701"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-1069501</wp:posOffset>
          </wp:positionH>
          <wp:positionV relativeFrom="paragraph">
            <wp:posOffset>-375786</wp:posOffset>
          </wp:positionV>
          <wp:extent cx="7549116" cy="1067508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49116" cy="106750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8.00000000000006" w:lineRule="auto"/>
      <w:ind w:left="0" w:right="0" w:firstLine="0"/>
      <w:jc w:val="left"/>
    </w:pPr>
    <w:rPr>
      <w:rFonts w:ascii="Verdana" w:cs="Verdana" w:eastAsia="Verdana" w:hAnsi="Verdana"/>
      <w:b w:val="0"/>
      <w:bCs w:val="0"/>
      <w:i w:val="0"/>
      <w:iCs w:val="0"/>
      <w:smallCaps w:val="0"/>
      <w:strike w:val="0"/>
      <w:color w:val="2f5496"/>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8.00000000000006" w:lineRule="auto"/>
      <w:ind w:left="0" w:right="0" w:firstLine="0"/>
      <w:jc w:val="left"/>
    </w:pPr>
    <w:rPr>
      <w:rFonts w:ascii="Verdana" w:cs="Verdana" w:eastAsia="Verdana" w:hAnsi="Verdana"/>
      <w:b w:val="0"/>
      <w:bCs w:val="0"/>
      <w:i w:val="0"/>
      <w:iCs w:val="0"/>
      <w:smallCaps w:val="0"/>
      <w:strike w:val="0"/>
      <w:color w:val="2f5496"/>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8.00000000000006" w:lineRule="auto"/>
      <w:ind w:left="0" w:right="0" w:firstLine="0"/>
      <w:jc w:val="left"/>
    </w:pPr>
    <w:rPr>
      <w:rFonts w:ascii="Verdana" w:cs="Verdana" w:eastAsia="Verdana" w:hAnsi="Verdana"/>
      <w:b w:val="0"/>
      <w:bCs w:val="0"/>
      <w:i w:val="0"/>
      <w:iCs w:val="0"/>
      <w:smallCaps w:val="0"/>
      <w:strike w:val="0"/>
      <w:color w:val="2f5496"/>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8.00000000000006" w:lineRule="auto"/>
      <w:ind w:left="0" w:right="0" w:firstLine="0"/>
      <w:jc w:val="left"/>
    </w:pPr>
    <w:rPr>
      <w:rFonts w:ascii="Verdana" w:cs="Verdana" w:eastAsia="Verdana" w:hAnsi="Verdana"/>
      <w:b w:val="0"/>
      <w:bCs w:val="0"/>
      <w:i w:val="1"/>
      <w:iCs w:val="1"/>
      <w:smallCaps w:val="0"/>
      <w:strike w:val="0"/>
      <w:color w:val="2f5496"/>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8.00000000000006" w:lineRule="auto"/>
      <w:ind w:left="0" w:right="0" w:firstLine="0"/>
      <w:jc w:val="left"/>
    </w:pPr>
    <w:rPr>
      <w:rFonts w:ascii="Verdana" w:cs="Verdana" w:eastAsia="Verdana" w:hAnsi="Verdana"/>
      <w:b w:val="0"/>
      <w:bCs w:val="0"/>
      <w:i w:val="0"/>
      <w:iCs w:val="0"/>
      <w:smallCaps w:val="0"/>
      <w:strike w:val="0"/>
      <w:color w:val="2f549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8.00000000000006" w:lineRule="auto"/>
      <w:ind w:left="0" w:right="0" w:firstLine="0"/>
      <w:jc w:val="left"/>
    </w:pPr>
    <w:rPr>
      <w:rFonts w:ascii="Verdana" w:cs="Verdana" w:eastAsia="Verdana" w:hAnsi="Verdana"/>
      <w:b w:val="0"/>
      <w:bCs w:val="0"/>
      <w:i w:val="1"/>
      <w:iCs w:val="1"/>
      <w:smallCaps w:val="0"/>
      <w:strike w:val="0"/>
      <w:color w:val="595959"/>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Verdana" w:cs="Verdana" w:eastAsia="Verdana" w:hAnsi="Verdana"/>
      <w:b w:val="0"/>
      <w:bCs w:val="0"/>
      <w:i w:val="0"/>
      <w:iCs w:val="0"/>
      <w:smallCaps w:val="0"/>
      <w:strike w:val="0"/>
      <w:color w:val="000000"/>
      <w:sz w:val="56"/>
      <w:szCs w:val="56"/>
      <w:u w:val="none"/>
      <w:shd w:fill="auto" w:val="clear"/>
      <w:vertAlign w:val="baseline"/>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rsid w:val="009F5B37"/>
    <w:tblPr>
      <w:tblCellMar>
        <w:top w:w="100.0" w:type="dxa"/>
        <w:left w:w="100.0" w:type="dxa"/>
        <w:bottom w:w="100.0" w:type="dxa"/>
        <w:right w:w="100.0" w:type="dxa"/>
      </w:tblCellMar>
    </w:tblPr>
  </w:style>
  <w:style w:type="paragraph" w:styleId="normal0" w:customStyle="1">
    <w:name w:val="normal"/>
    <w:rsid w:val="009F5B37"/>
  </w:style>
  <w:style w:type="paragraph" w:styleId="Cabealho">
    <w:name w:val="header"/>
    <w:basedOn w:val="Normal"/>
    <w:link w:val="CabealhoChar"/>
    <w:uiPriority w:val="99"/>
    <w:semiHidden w:val="1"/>
    <w:unhideWhenUsed w:val="1"/>
    <w:rsid w:val="00CD20DC"/>
    <w:pPr>
      <w:tabs>
        <w:tab w:val="center" w:pos="4252"/>
        <w:tab w:val="right" w:pos="8504"/>
      </w:tabs>
      <w:spacing w:after="0" w:line="240" w:lineRule="auto"/>
    </w:pPr>
  </w:style>
  <w:style w:type="character" w:styleId="CabealhoChar" w:customStyle="1">
    <w:name w:val="Cabeçalho Char"/>
    <w:basedOn w:val="Fontepargpadro"/>
    <w:link w:val="Cabealho"/>
    <w:uiPriority w:val="99"/>
    <w:semiHidden w:val="1"/>
    <w:rsid w:val="00CD20DC"/>
  </w:style>
  <w:style w:type="paragraph" w:styleId="Rodap">
    <w:name w:val="footer"/>
    <w:basedOn w:val="Normal"/>
    <w:link w:val="RodapChar"/>
    <w:uiPriority w:val="99"/>
    <w:semiHidden w:val="1"/>
    <w:unhideWhenUsed w:val="1"/>
    <w:rsid w:val="00CD20DC"/>
    <w:pPr>
      <w:tabs>
        <w:tab w:val="center" w:pos="4252"/>
        <w:tab w:val="right" w:pos="8504"/>
      </w:tabs>
      <w:spacing w:after="0" w:line="240" w:lineRule="auto"/>
    </w:pPr>
  </w:style>
  <w:style w:type="character" w:styleId="RodapChar" w:customStyle="1">
    <w:name w:val="Rodapé Char"/>
    <w:basedOn w:val="Fontepargpadro"/>
    <w:link w:val="Rodap"/>
    <w:uiPriority w:val="99"/>
    <w:semiHidden w:val="1"/>
    <w:rsid w:val="00CD20DC"/>
  </w:style>
  <w:style w:type="paragraph" w:styleId="isselectedend" w:customStyle="1">
    <w:name w:val="isselectedend"/>
    <w:basedOn w:val="Normal"/>
    <w:rsid w:val="000B373D"/>
    <w:pPr>
      <w:spacing w:after="100" w:afterAutospacing="1" w:before="100" w:beforeAutospacing="1" w:line="240" w:lineRule="auto"/>
    </w:pPr>
    <w:rPr>
      <w:rFonts w:ascii="Times New Roman" w:cs="Times New Roman" w:eastAsia="Times New Roman" w:hAnsi="Times New Roman"/>
    </w:rPr>
  </w:style>
  <w:style w:type="paragraph" w:styleId="NormalWeb">
    <w:name w:val="Normal (Web)"/>
    <w:basedOn w:val="Normal"/>
    <w:uiPriority w:val="99"/>
    <w:semiHidden w:val="1"/>
    <w:unhideWhenUsed w:val="1"/>
    <w:rsid w:val="000B373D"/>
    <w:pPr>
      <w:spacing w:after="100" w:afterAutospacing="1" w:before="100" w:beforeAutospacing="1" w:line="240" w:lineRule="auto"/>
    </w:pPr>
    <w:rPr>
      <w:rFonts w:ascii="Times New Roman" w:cs="Times New Roman" w:eastAsia="Times New Roman" w:hAnsi="Times New Roman"/>
    </w:rPr>
  </w:style>
  <w:style w:type="paragraph" w:styleId="MdSpace" w:customStyle="1">
    <w:name w:val="MdSpace"/>
    <w:qFormat w:val="1"/>
    <w:rsid w:val="00D97B7D"/>
    <w:pPr>
      <w:spacing w:after="0" w:line="240" w:lineRule="auto"/>
    </w:pPr>
    <w:rPr>
      <w:rFonts w:ascii="Times New Roman" w:cs="Times New Roman" w:eastAsia="Times New Roman" w:hAnsi="Times New Roman"/>
      <w:sz w:val="12"/>
      <w:szCs w:val="12"/>
    </w:rPr>
  </w:style>
  <w:style w:type="paragraph" w:styleId="MdHr" w:customStyle="1">
    <w:name w:val="MdHr"/>
    <w:qFormat w:val="1"/>
    <w:rsid w:val="00D97B7D"/>
    <w:pPr>
      <w:pBdr>
        <w:bottom w:color="a5a5a5" w:space="1" w:sz="1" w:val="single"/>
      </w:pBdr>
      <w:spacing w:after="240" w:before="240" w:line="240" w:lineRule="auto"/>
    </w:pPr>
    <w:rPr>
      <w:rFonts w:ascii="Times New Roman" w:cs="Times New Roman" w:eastAsia="Times New Roman" w:hAnsi="Times New Roman"/>
    </w:rPr>
  </w:style>
  <w:style w:type="paragraph" w:styleId="MdBlockquote" w:customStyle="1">
    <w:name w:val="MdBlockquote"/>
    <w:qFormat w:val="1"/>
    <w:rsid w:val="00D97B7D"/>
    <w:pPr>
      <w:pBdr>
        <w:left w:color="a5a5a5" w:space="12" w:sz="20" w:val="single"/>
      </w:pBdr>
      <w:spacing w:after="200" w:before="200" w:line="240" w:lineRule="auto"/>
      <w:ind w:left="360"/>
    </w:pPr>
    <w:rPr>
      <w:rFonts w:ascii="Times New Roman" w:cs="Times New Roman" w:eastAsia="Times New Roman" w:hAnsi="Times New Roman"/>
      <w:i w:val="1"/>
      <w:iCs w:val="1"/>
      <w:color w:val="666666"/>
    </w:rPr>
  </w:style>
  <w:style w:type="paragraph" w:styleId="MdParagraph" w:customStyle="1">
    <w:name w:val="MdParagraph"/>
    <w:qFormat w:val="1"/>
    <w:rsid w:val="00D97B7D"/>
    <w:pPr>
      <w:spacing w:after="120" w:before="120" w:line="240" w:lineRule="auto"/>
    </w:pPr>
    <w:rPr>
      <w:rFonts w:ascii="Times New Roman" w:cs="Times New Roman" w:eastAsia="Times New Roman" w:hAnsi="Times New Roman"/>
    </w:rPr>
  </w:style>
  <w:style w:type="paragraph" w:styleId="MdHeading2" w:customStyle="1">
    <w:name w:val="MdHeading2"/>
    <w:qFormat w:val="1"/>
    <w:rsid w:val="00D97B7D"/>
    <w:pPr>
      <w:keepNext w:val="1"/>
      <w:spacing w:after="200" w:before="400" w:line="240" w:lineRule="auto"/>
      <w:outlineLvl w:val="1"/>
    </w:pPr>
    <w:rPr>
      <w:rFonts w:ascii="Times New Roman" w:cs="Times New Roman" w:eastAsia="Times New Roman" w:hAnsi="Times New Roman"/>
      <w:b w:val="1"/>
      <w:bCs w:val="1"/>
      <w:sz w:val="32"/>
      <w:szCs w:val="32"/>
    </w:rPr>
  </w:style>
  <w:style w:type="character" w:styleId="MdStrong" w:customStyle="1">
    <w:name w:val="MdStrong"/>
    <w:uiPriority w:val="99"/>
    <w:unhideWhenUsed w:val="1"/>
    <w:qFormat w:val="1"/>
    <w:rsid w:val="00D97B7D"/>
    <w:rPr>
      <w:b w:val="1"/>
      <w:bCs w:val="1"/>
    </w:rPr>
  </w:style>
  <w:style w:type="paragraph" w:styleId="Textodebalo">
    <w:name w:val="Balloon Text"/>
    <w:basedOn w:val="Normal"/>
    <w:link w:val="TextodebaloChar"/>
    <w:uiPriority w:val="99"/>
    <w:semiHidden w:val="1"/>
    <w:unhideWhenUsed w:val="1"/>
    <w:rsid w:val="00D97B7D"/>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D97B7D"/>
    <w:rPr>
      <w:rFonts w:ascii="Tahoma" w:cs="Tahoma" w:hAnsi="Tahoma"/>
      <w:sz w:val="16"/>
      <w:szCs w:val="16"/>
    </w:rPr>
  </w:style>
  <w:style w:type="character" w:styleId="italic" w:customStyle="1">
    <w:name w:val="italic"/>
    <w:basedOn w:val="Fontepargpadro"/>
    <w:rsid w:val="001B065C"/>
  </w:style>
  <w:style w:type="character" w:styleId="font-600" w:customStyle="1">
    <w:name w:val="font-[600]"/>
    <w:basedOn w:val="Fontepargpadro"/>
    <w:rsid w:val="001B065C"/>
  </w:style>
  <w:style w:type="character" w:styleId="helvetica" w:customStyle="1">
    <w:name w:val="helvetica"/>
    <w:basedOn w:val="Fontepargpadro"/>
    <w:rsid w:val="001B065C"/>
  </w:style>
  <w:style w:type="character" w:styleId="flex-1" w:customStyle="1">
    <w:name w:val="flex-1"/>
    <w:basedOn w:val="Fontepargpadro"/>
    <w:rsid w:val="001B065C"/>
  </w:style>
  <w:style w:type="character" w:styleId="katex-mathml" w:customStyle="1">
    <w:name w:val="katex-mathml"/>
    <w:basedOn w:val="Fontepargpadro"/>
    <w:rsid w:val="001B065C"/>
  </w:style>
  <w:style w:type="character" w:styleId="mord" w:customStyle="1">
    <w:name w:val="mord"/>
    <w:basedOn w:val="Fontepargpadro"/>
    <w:rsid w:val="001B065C"/>
  </w:style>
  <w:style w:type="character" w:styleId="mpunct" w:customStyle="1">
    <w:name w:val="mpunct"/>
    <w:basedOn w:val="Fontepargpadro"/>
    <w:rsid w:val="001B065C"/>
  </w:style>
  <w:style w:type="character" w:styleId="mbin" w:customStyle="1">
    <w:name w:val="mbin"/>
    <w:basedOn w:val="Fontepargpadro"/>
    <w:rsid w:val="001B065C"/>
  </w:style>
  <w:style w:type="character" w:styleId="mclose" w:customStyle="1">
    <w:name w:val="mclose"/>
    <w:basedOn w:val="Fontepargpadro"/>
    <w:rsid w:val="001B065C"/>
  </w:style>
  <w:style w:type="character" w:styleId="mopen" w:customStyle="1">
    <w:name w:val="mopen"/>
    <w:basedOn w:val="Fontepargpadro"/>
    <w:rsid w:val="001B065C"/>
  </w:style>
  <w:style w:type="character" w:styleId="mrel" w:customStyle="1">
    <w:name w:val="mrel"/>
    <w:basedOn w:val="Fontepargpadro"/>
    <w:rsid w:val="001B065C"/>
  </w:style>
  <w:style w:type="paragraph" w:styleId="PargrafodaLista">
    <w:name w:val="List Paragraph"/>
    <w:basedOn w:val="Normal"/>
    <w:uiPriority w:val="34"/>
    <w:qFormat w:val="1"/>
    <w:rsid w:val="001B065C"/>
    <w:pPr>
      <w:ind w:left="720"/>
      <w:contextualSpacing w:val="1"/>
    </w:pPr>
  </w:style>
  <w:style w:type="paragraph" w:styleId="pdq2pgselectionanchorcontainer" w:customStyle="1">
    <w:name w:val="pdq2pg_selectionanchorcontainer"/>
    <w:basedOn w:val="Normal"/>
    <w:rsid w:val="008E28DC"/>
    <w:pPr>
      <w:spacing w:after="100" w:afterAutospacing="1" w:before="100" w:beforeAutospacing="1" w:line="240" w:lineRule="auto"/>
    </w:pPr>
    <w:rPr>
      <w:rFonts w:ascii="Times New Roman" w:cs="Times New Roman" w:eastAsia="Times New Roman" w:hAnsi="Times New Roman"/>
    </w:rPr>
  </w:style>
  <w:style w:type="character" w:styleId="Forte">
    <w:name w:val="Strong"/>
    <w:basedOn w:val="Fontepargpadro"/>
    <w:uiPriority w:val="22"/>
    <w:qFormat w:val="1"/>
    <w:rsid w:val="008E28DC"/>
    <w:rPr>
      <w:b w:val="1"/>
      <w:bCs w:val="1"/>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pPr>
    <w:rPr>
      <w:rFonts w:ascii="Verdana" w:cs="Verdana" w:eastAsia="Verdana" w:hAnsi="Verdana"/>
      <w:b w:val="0"/>
      <w:bCs w:val="0"/>
      <w:i w:val="0"/>
      <w:iCs w:val="0"/>
      <w:smallCaps w:val="0"/>
      <w:strike w:val="0"/>
      <w:color w:val="595959"/>
      <w:sz w:val="28"/>
      <w:szCs w:val="2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kcLZKFaHgtNniibYRy/Oq3yodA==">CgMxLjA4AHIhMWxrT2FPRlg2bTNhcXpBLU1mU09zbEZDMFdjWHE0bGQ3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2026-08-28T18:38:00Z</dcterms:created>
  <dc:creator>ADVOCACIA PASCOAL 1</dc:creator>
</cp:coreProperties>
</file>