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jc w:val="both"/>
        <w:rPr>
          <w:b/>
        </w:rPr>
      </w:pPr>
      <w:r>
        <w:rPr>
          <w:rFonts w:ascii="Verdana" w:hAnsi="Verdana" w:cs="Verdana"/>
          <w:sz w:val="22"/>
          <w:szCs w:val="22"/>
          <w:b/>
        </w:rPr>
        <w:t xml:space="preserve">EXCELENTÍSSIMO(A) SENHOR(A) DOUTOR(A) JUIZ(A) DA 1ª VARA DO TRABALHO DE JACAREÍ - SP</w:t>
      </w:r>
    </w:p>
    <w:p>
      <w:pPr>
        <w:spacing w:before="0" w:after="0" w:line="360" w:lineRule="auto"/>
        <w:jc w:val="both"/>
        <w:rPr>
          <w:b/>
        </w:rPr>
      </w:pPr>
      <w:r>
        <w:rPr>
          <w:rFonts w:ascii="Verdana" w:hAnsi="Verdana" w:cs="Verdana"/>
          <w:sz w:val="22"/>
          <w:szCs w:val="22"/>
          <w:b/>
        </w:rPr>
        <w:t xml:space="preserve">PROCESSO Nº 0010613-94.2025.5.15.0023</w:t>
      </w:r>
    </w:p>
    <w:p>
      <w:pPr>
        <w:spacing w:before="0" w:after="120" w:line="360" w:lineRule="auto"/>
        <w:ind w:firstLine="1701"/>
        <w:jc w:val="both"/>
      </w:pPr>
      <w:r>
        <w:rPr>
          <w:rFonts w:ascii="Verdana" w:hAnsi="Verdana" w:cs="Verdana"/>
          <w:sz w:val="22"/>
          <w:szCs w:val="22"/>
        </w:rPr>
        <w:t xml:space="preserve">DEVANIU SEPULBEDA NAVARRO, reclamante já devidamente qualificado nos autos da reclamação trabalhista que move em face de JSL S/A e WHITE MARTINS GASES INDUSTRIAIS LTDA., por seus advogados que esta subscrevem, vem perante Vossa Excelência, com fundamento no artigo 895, I, da CLT, interpor RECURSO ORDINÁRIO, o que faz pelas razões de direito que seguem anexas, devendo os autos ser remetidos ao Egrégio Tribunal Regional do Trabalho da 15ª Região.</w:t>
      </w:r>
    </w:p>
    <w:p>
      <w:pPr>
        <w:spacing w:before="0" w:after="120" w:line="360" w:lineRule="auto"/>
        <w:ind w:firstLine="1701"/>
        <w:jc w:val="both"/>
      </w:pPr>
      <w:r>
        <w:rPr>
          <w:rFonts w:ascii="Verdana" w:hAnsi="Verdana" w:cs="Verdana"/>
          <w:sz w:val="22"/>
          <w:szCs w:val="22"/>
        </w:rPr>
        <w:t xml:space="preserve">Quanto à tempestividade, cumpre consignar que a r. sentença foi publicada em 19/08/2026 e que, opostos embargos de declaração pela 1ª reclamada, rejeitados em 27/08/2026, houve a interrupção do prazo recursal para todas as partes, nos termos do artigo 1.026 do CPC c/c artigo 897-A, §3º, da CLT. Publicada a decisão dos embargos em [FALTA: data da publicação da decisão dos embargos no DEJT], o prazo de oito dias úteis finda em [FALTA: data-limite conferida no PJe], razão pela qual tempestivo se faz o presente apelo.</w:t>
      </w:r>
    </w:p>
    <w:p>
      <w:pPr>
        <w:spacing w:before="0" w:after="120" w:line="360" w:lineRule="auto"/>
        <w:ind w:firstLine="1701"/>
        <w:jc w:val="both"/>
      </w:pPr>
      <w:r>
        <w:rPr>
          <w:rFonts w:ascii="Verdana" w:hAnsi="Verdana" w:cs="Verdana"/>
          <w:sz w:val="22"/>
          <w:szCs w:val="22"/>
        </w:rPr>
        <w:t xml:space="preserve">Registre-se, ainda, que o recorrente é beneficiário da justiça gratuita, conforme expressamente deferido no item "h" da r. sentença, o que o isenta do pagamento de custas e do depósito recursal, na forma dos artigos 790-A e 899, §10, da CLT, devendo o recurso receber regular processamento.</w:t>
      </w:r>
    </w:p>
    <w:p>
      <w:pPr>
        <w:spacing w:before="0" w:after="120" w:line="360" w:lineRule="auto"/>
        <w:ind w:firstLine="1701"/>
        <w:jc w:val="both"/>
      </w:pPr>
      <w:r>
        <w:rPr>
          <w:rFonts w:ascii="Verdana" w:hAnsi="Verdana" w:cs="Verdana"/>
          <w:sz w:val="22"/>
          <w:szCs w:val="22"/>
        </w:rPr>
        <w:t xml:space="preserve">Nestes termos,</w:t>
      </w:r>
    </w:p>
    <w:p>
      <w:pPr>
        <w:spacing w:before="0" w:after="120" w:line="360" w:lineRule="auto"/>
        <w:ind w:firstLine="1701"/>
        <w:jc w:val="both"/>
      </w:pPr>
      <w:r>
        <w:rPr>
          <w:rFonts w:ascii="Verdana" w:hAnsi="Verdana" w:cs="Verdana"/>
          <w:sz w:val="22"/>
          <w:szCs w:val="22"/>
        </w:rPr>
        <w:t xml:space="preserve">Pede deferimento.</w:t>
      </w:r>
    </w:p>
    <w:p>
      <w:pPr>
        <w:spacing w:before="360" w:after="360" w:line="360" w:lineRule="auto"/>
        <w:jc w:val="right"/>
      </w:pPr>
      <w:r>
        <w:rPr>
          <w:rFonts w:ascii="Verdana" w:hAnsi="Verdana" w:cs="Verdana"/>
          <w:sz w:val="22"/>
          <w:szCs w:val="22"/>
        </w:rPr>
        <w:t xml:space="preserve">Sorocaba, [FALTA: data do protocolo].</w:t>
      </w:r>
    </w:p>
    <w:p>
      <w:pPr>
        <w:spacing w:before="0" w:after="0" w:line="360" w:lineRule="auto"/>
        <w:jc w:val="center"/>
        <w:rPr>
          <w:b/>
        </w:rPr>
      </w:pPr>
      <w:r>
        <w:rPr>
          <w:rFonts w:ascii="Verdana" w:hAnsi="Verdana" w:cs="Verdana"/>
          <w:sz w:val="22"/>
          <w:szCs w:val="22"/>
          <w:b/>
        </w:rPr>
        <w:t xml:space="preserve">Alexandre Pascoal Marques</w:t>
      </w:r>
    </w:p>
    <w:p>
      <w:pPr>
        <w:spacing w:before="0" w:after="0" w:line="360" w:lineRule="auto"/>
        <w:jc w:val="center"/>
        <w:rPr>
          <w:b/>
        </w:rPr>
      </w:pPr>
      <w:r>
        <w:rPr>
          <w:rFonts w:ascii="Verdana" w:hAnsi="Verdana" w:cs="Verdana"/>
          <w:sz w:val="22"/>
          <w:szCs w:val="22"/>
          <w:b/>
        </w:rPr>
        <w:t xml:space="preserve">OAB/SP 270.924</w:t>
      </w:r>
    </w:p>
    <w:p>
      <w:pPr>
        <w:spacing w:before="0" w:after="0" w:line="360" w:lineRule="auto"/>
        <w:jc w:val="center"/>
        <w:rPr>
          <w:b/>
        </w:rPr>
      </w:pPr>
      <w:r>
        <w:rPr>
          <w:rFonts w:ascii="Verdana" w:hAnsi="Verdana" w:cs="Verdana"/>
          <w:sz w:val="22"/>
          <w:szCs w:val="22"/>
          <w:b/>
        </w:rPr>
        <w:t xml:space="preserve">Flávia Dyandra da Silva</w:t>
      </w:r>
    </w:p>
    <w:p>
      <w:pPr>
        <w:spacing w:before="0" w:after="0" w:line="360" w:lineRule="auto"/>
        <w:jc w:val="center"/>
        <w:rPr>
          <w:b/>
        </w:rPr>
      </w:pPr>
      <w:r>
        <w:rPr>
          <w:rFonts w:ascii="Verdana" w:hAnsi="Verdana" w:cs="Verdana"/>
          <w:sz w:val="22"/>
          <w:szCs w:val="22"/>
          <w:b/>
        </w:rPr>
        <w:t xml:space="preserve">OAB/SP 352.455</w:t>
      </w:r>
    </w:p>
    <w:p>
      <w:pPr>
        <w:spacing w:before="0" w:after="0" w:line="360" w:lineRule="auto"/>
        <w:jc w:val="center"/>
        <w:rPr>
          <w:b/>
        </w:rPr>
      </w:pPr>
      <w:r>
        <w:rPr>
          <w:rFonts w:ascii="Verdana" w:hAnsi="Verdana" w:cs="Verdana"/>
          <w:sz w:val="22"/>
          <w:szCs w:val="22"/>
          <w:b/>
        </w:rPr>
        <w:t xml:space="preserve">Regiane de Oliveira</w:t>
      </w:r>
    </w:p>
    <w:p>
      <w:pPr>
        <w:spacing w:before="0" w:after="0" w:line="360" w:lineRule="auto"/>
        <w:jc w:val="center"/>
        <w:rPr>
          <w:b/>
        </w:rPr>
      </w:pPr>
      <w:r>
        <w:rPr>
          <w:rFonts w:ascii="Verdana" w:hAnsi="Verdana" w:cs="Verdana"/>
          <w:sz w:val="22"/>
          <w:szCs w:val="22"/>
          <w:b/>
        </w:rPr>
        <w:t xml:space="preserve">OAB/SP 429.472</w:t>
      </w:r>
    </w:p>
    <w:p>
      <w:r>
        <w:br w:type="page"/>
      </w:r>
    </w:p>
    <w:p>
      <w:pPr>
        <w:spacing w:before="280" w:after="200" w:line="360" w:lineRule="auto"/>
        <w:jc w:val="center"/>
        <w:rPr>
          <w:b/>
        </w:rPr>
      </w:pPr>
      <w:r>
        <w:rPr>
          <w:rFonts w:ascii="Verdana" w:hAnsi="Verdana" w:cs="Verdana"/>
          <w:sz w:val="22"/>
          <w:szCs w:val="22"/>
          <w:b/>
        </w:rPr>
        <w:t xml:space="preserve">RAZÕES DO RECURSO ORDINÁRIO</w:t>
      </w:r>
    </w:p>
    <w:p>
      <w:pPr>
        <w:spacing w:before="0" w:after="0" w:line="360" w:lineRule="auto"/>
        <w:jc w:val="both"/>
      </w:pPr>
      <w:r>
        <w:rPr>
          <w:rFonts w:ascii="Verdana" w:hAnsi="Verdana" w:cs="Verdana"/>
          <w:sz w:val="22"/>
          <w:szCs w:val="22"/>
        </w:rPr>
        <w:t xml:space="preserve">Origem: 1ª VARA DO TRABALHO DE JACAREÍ - SP</w:t>
      </w:r>
    </w:p>
    <w:p>
      <w:pPr>
        <w:spacing w:before="0" w:after="0" w:line="360" w:lineRule="auto"/>
        <w:jc w:val="both"/>
      </w:pPr>
      <w:r>
        <w:rPr>
          <w:rFonts w:ascii="Verdana" w:hAnsi="Verdana" w:cs="Verdana"/>
          <w:sz w:val="22"/>
          <w:szCs w:val="22"/>
        </w:rPr>
        <w:t xml:space="preserve">Processo nº: 0010613-94.2025.5.15.0023</w:t>
      </w:r>
    </w:p>
    <w:p>
      <w:pPr>
        <w:spacing w:before="0" w:after="0" w:line="360" w:lineRule="auto"/>
        <w:jc w:val="both"/>
      </w:pPr>
      <w:r>
        <w:rPr>
          <w:rFonts w:ascii="Verdana" w:hAnsi="Verdana" w:cs="Verdana"/>
          <w:sz w:val="22"/>
          <w:szCs w:val="22"/>
        </w:rPr>
        <w:t xml:space="preserve">Recorrente: DEVANIU SEPULBEDA NAVARRO</w:t>
      </w:r>
    </w:p>
    <w:p>
      <w:pPr>
        <w:spacing w:before="0" w:after="0" w:line="360" w:lineRule="auto"/>
        <w:jc w:val="both"/>
      </w:pPr>
      <w:r>
        <w:rPr>
          <w:rFonts w:ascii="Verdana" w:hAnsi="Verdana" w:cs="Verdana"/>
          <w:sz w:val="22"/>
          <w:szCs w:val="22"/>
        </w:rPr>
        <w:t xml:space="preserve">Recorridas: JSL S/A e WHITE MARTINS GASES INDUSTRIAIS LTDA.</w:t>
      </w:r>
    </w:p>
    <w:p>
      <w:pPr>
        <w:spacing w:before="0" w:after="0" w:line="360" w:lineRule="auto"/>
        <w:jc w:val="both"/>
      </w:pPr>
      <w:r>
        <w:rPr>
          <w:rFonts w:ascii="Verdana" w:hAnsi="Verdana" w:cs="Verdana"/>
          <w:sz w:val="22"/>
          <w:szCs w:val="22"/>
        </w:rPr>
        <w:t xml:space="preserve">Egrégio Tribunal</w:t>
      </w:r>
    </w:p>
    <w:p>
      <w:pPr>
        <w:spacing w:before="0" w:after="0" w:line="360" w:lineRule="auto"/>
        <w:jc w:val="both"/>
      </w:pPr>
      <w:r>
        <w:rPr>
          <w:rFonts w:ascii="Verdana" w:hAnsi="Verdana" w:cs="Verdana"/>
          <w:sz w:val="22"/>
          <w:szCs w:val="22"/>
        </w:rPr>
        <w:t xml:space="preserve">Doutos Julgadores</w:t>
      </w:r>
    </w:p>
    <w:p>
      <w:pPr>
        <w:spacing w:before="0" w:after="120" w:line="360" w:lineRule="auto"/>
        <w:ind w:firstLine="1701"/>
        <w:jc w:val="both"/>
      </w:pPr>
      <w:r>
        <w:rPr>
          <w:rFonts w:ascii="Verdana" w:hAnsi="Verdana" w:cs="Verdana"/>
          <w:sz w:val="22"/>
          <w:szCs w:val="22"/>
        </w:rPr>
        <w:t xml:space="preserve">A r. sentença julgou parcialmente procedentes os pedidos, condenando a 1ª reclamada — e, subsidiariamente, a 2ª — ao pagamento de diferenças de horas extras, diferenças de adicional noturno e indenização pela supressão parcial do intervalo intrajornada.</w:t>
      </w:r>
    </w:p>
    <w:p>
      <w:pPr>
        <w:spacing w:before="0" w:after="120" w:line="360" w:lineRule="auto"/>
        <w:ind w:firstLine="1701"/>
        <w:jc w:val="both"/>
      </w:pPr>
      <w:r>
        <w:rPr>
          <w:rFonts w:ascii="Verdana" w:hAnsi="Verdana" w:cs="Verdana"/>
          <w:sz w:val="22"/>
          <w:szCs w:val="22"/>
        </w:rPr>
        <w:t xml:space="preserve">Em que pese o notório conhecimento jurídico do MM. Juiz prolator da r. sentença a quo, data venia, não se fez a devida justiça no caso em apreço quanto a três capítulos específicos, razão pela qual o recorrente pugna pela reforma nos exatos limites abaixo delineados.</w:t>
      </w:r>
    </w:p>
    <w:p>
      <w:pPr>
        <w:spacing w:before="280" w:after="200" w:line="360" w:lineRule="auto"/>
        <w:jc w:val="center"/>
        <w:rPr>
          <w:b/>
        </w:rPr>
      </w:pPr>
      <w:r>
        <w:rPr>
          <w:rFonts w:ascii="Verdana" w:hAnsi="Verdana" w:cs="Verdana"/>
          <w:sz w:val="22"/>
          <w:szCs w:val="22"/>
          <w:b/>
        </w:rPr>
        <w:t xml:space="preserve">PRELIMINARMENTE – DA NULIDADE POR CERCEAMENTO DO DIREITO À PROVA – INDEFERIMENTO DA PROVA ORAL SOBRE A PERICULOSIDADE</w:t>
      </w:r>
    </w:p>
    <w:p>
      <w:pPr>
        <w:spacing w:before="0" w:after="120" w:line="360" w:lineRule="auto"/>
        <w:ind w:firstLine="1701"/>
        <w:jc w:val="both"/>
      </w:pPr>
      <w:r>
        <w:rPr>
          <w:rFonts w:ascii="Verdana" w:hAnsi="Verdana" w:cs="Verdana"/>
          <w:sz w:val="22"/>
          <w:szCs w:val="22"/>
        </w:rPr>
        <w:t xml:space="preserve">Assim constou da ata de audiência de 06/08/2026:</w:t>
      </w:r>
    </w:p>
    <w:p>
      <w:pPr>
        <w:spacing w:before="120" w:after="120" w:line="360" w:lineRule="auto"/>
        <w:ind w:left="2268"/>
        <w:jc w:val="both"/>
      </w:pPr>
      <w:r>
        <w:rPr>
          <w:rFonts w:ascii="Verdana" w:hAnsi="Verdana" w:cs="Verdana"/>
          <w:sz w:val="20"/>
          <w:szCs w:val="20"/>
          <w:i/>
        </w:rPr>
        <w:t xml:space="preserve">"A patrona do autor afirma que pretenderá produzir prova oral em relação à periculosidade. Argumentou sobre a juntada de laudo emprestado em que foi reconhecida tal condição. O Juízo ponderou que a questão é técnica, pois o perito deixou claro que argônio, nitrogênio e oxigênio, gases transportados pelo autor, não são considerados inflamáveis. A patrona do autor ponderou que a periculosidade foi reconhecida em caso análogo por causa do local do descarregamento. Em consulta ao laudo, observa-se que a periculosidade foi reconhecida porque aquele trabalhador descarregava na Petrobrás, fato que foi considerado relevante na oportunidade. Neste caso, a própria inicial indica Gerdau, Novelis e Villares. A patrona do autor ponderou que a inicial menciona que existiriam outros locais. No entanto, é sabido que a inicial precisa ser certa e determinada. A referência a 'outros' não pode servir para justificar alteração fática que configure inovação à lide, sob pena de acarretar cerceio ao direito de defesa. Protestos pela patrona do autor."</w:t>
      </w:r>
    </w:p>
    <w:p>
      <w:pPr>
        <w:spacing w:before="0" w:after="120" w:line="360" w:lineRule="auto"/>
        <w:ind w:firstLine="1701"/>
        <w:jc w:val="both"/>
      </w:pPr>
      <w:r>
        <w:rPr>
          <w:rFonts w:ascii="Verdana" w:hAnsi="Verdana" w:cs="Verdana"/>
          <w:sz w:val="22"/>
          <w:szCs w:val="22"/>
        </w:rPr>
        <w:t xml:space="preserve">Com o devido respeito, o indeferimento partiu de premissa fática equivocada, e o equívoco é demonstrável pela simples leitura da petição inicial.</w:t>
      </w:r>
    </w:p>
    <w:p>
      <w:pPr>
        <w:spacing w:before="0" w:after="120" w:line="360" w:lineRule="auto"/>
        <w:ind w:firstLine="1701"/>
        <w:jc w:val="both"/>
      </w:pPr>
      <w:r>
        <w:rPr>
          <w:rFonts w:ascii="Verdana" w:hAnsi="Verdana" w:cs="Verdana"/>
          <w:sz w:val="22"/>
          <w:szCs w:val="22"/>
        </w:rPr>
        <w:t xml:space="preserve">Perceba-se, Excelência, que a inicial não se limitou a listar clientes. Ela descreveu, em tópico próprio (fls. 6/7), a rotina operacional que fundamenta o pedido, nestes termos literais:</w:t>
      </w:r>
    </w:p>
    <w:p>
      <w:pPr>
        <w:spacing w:before="120" w:after="120" w:line="360" w:lineRule="auto"/>
        <w:ind w:left="2268"/>
        <w:jc w:val="both"/>
      </w:pPr>
      <w:r>
        <w:rPr>
          <w:rFonts w:ascii="Verdana" w:hAnsi="Verdana" w:cs="Verdana"/>
          <w:sz w:val="20"/>
          <w:szCs w:val="20"/>
          <w:i/>
        </w:rPr>
        <w:t xml:space="preserve">"Para que se entenda melhor, esclarece o Reclamante que na base (Jacareí), em razão da quantidade de caminhões no pátio, os motoristas ficavam responsáveis pela manobra dos caminhões nos pontos de carregamento de inflamáveis e também auxiliavam no carregamento (conforme fotos anexas). (...) Ainda, esclarece que nas bases de Volta Redonda e Cubatão, era ele que fazia o carregamento do caminhão. Já no descarregamento, existiam tanques de armazenamento de combustíveis, e o Reclamante como o motorista, adentrava no abastecimento de nitrogênio, que era dentro dos locais de armazenamento de combustíveis."</w:t>
      </w:r>
    </w:p>
    <w:p>
      <w:pPr>
        <w:spacing w:before="0" w:after="120" w:line="360" w:lineRule="auto"/>
        <w:ind w:firstLine="1701"/>
        <w:jc w:val="both"/>
      </w:pPr>
      <w:r>
        <w:rPr>
          <w:rFonts w:ascii="Verdana" w:hAnsi="Verdana" w:cs="Verdana"/>
          <w:sz w:val="22"/>
          <w:szCs w:val="22"/>
        </w:rPr>
        <w:t xml:space="preserve">Nota-se, portanto, que a causa de pedir do adicional de periculosidade nunca foi a inflamabilidade do gás transportado. A causa de pedir, desde a exordial, é a </w:t>
      </w:r>
      <w:r>
        <w:rPr>
          <w:rFonts w:ascii="Verdana" w:hAnsi="Verdana" w:cs="Verdana"/>
          <w:sz w:val="22"/>
          <w:szCs w:val="22"/>
          <w:b/>
        </w:rPr>
        <w:t xml:space="preserve">exposição ocupacional em área de risco de terceiros</w:t>
      </w:r>
      <w:r>
        <w:rPr>
          <w:rFonts w:ascii="Verdana" w:hAnsi="Verdana" w:cs="Verdana"/>
          <w:sz w:val="22"/>
          <w:szCs w:val="22"/>
        </w:rPr>
        <w:t xml:space="preserve"> — o ingresso do obreiro em locais de armazenamento de combustíveis durante a descarga, e a manobra e o auxílio ao carregamento nos pontos de carregamento de inflamáveis das bases.</w:t>
      </w:r>
    </w:p>
    <w:p>
      <w:pPr>
        <w:spacing w:before="0" w:after="120" w:line="360" w:lineRule="auto"/>
        <w:ind w:firstLine="1701"/>
        <w:jc w:val="both"/>
      </w:pPr>
      <w:r>
        <w:rPr>
          <w:rFonts w:ascii="Verdana" w:hAnsi="Verdana" w:cs="Verdana"/>
          <w:sz w:val="22"/>
          <w:szCs w:val="22"/>
        </w:rPr>
        <w:t xml:space="preserve">Frise-se: a rotina descrita é o próprio fato constitutivo do direito, deduzido na inicial e submetido ao contraditório desde 06/05/2025. A prova oral requerida não pretendia inovar coisa alguma — pretendia demonstrar fato expressamente alegado e impugnado, o que é exatamente a função da instrução processual.</w:t>
      </w:r>
    </w:p>
    <w:p>
      <w:pPr>
        <w:spacing w:before="0" w:after="120" w:line="360" w:lineRule="auto"/>
        <w:ind w:firstLine="1701"/>
        <w:jc w:val="both"/>
      </w:pPr>
      <w:r>
        <w:rPr>
          <w:rFonts w:ascii="Verdana" w:hAnsi="Verdana" w:cs="Verdana"/>
          <w:sz w:val="22"/>
          <w:szCs w:val="22"/>
        </w:rPr>
        <w:t xml:space="preserve">Tampouco subsiste o argumento de que a questão seria exclusivamente técnica. A prova pericial e a prova oral não se excluem; ao contrário, é justamente porque o laudo se omitiu quanto aos locais de descarga que a prova testemunhal se tornava imprescindível. O juiz não está adstrito ao laudo (artigo 479 do CPC) e tem o dever de velar pela busca da verdade real (artigo 765 da CLT).</w:t>
      </w:r>
    </w:p>
    <w:p>
      <w:pPr>
        <w:spacing w:before="0" w:after="120" w:line="360" w:lineRule="auto"/>
        <w:ind w:firstLine="1701"/>
        <w:jc w:val="both"/>
      </w:pPr>
      <w:r>
        <w:rPr>
          <w:rFonts w:ascii="Verdana" w:hAnsi="Verdana" w:cs="Verdana"/>
          <w:sz w:val="22"/>
          <w:szCs w:val="22"/>
        </w:rPr>
        <w:t xml:space="preserve">Ao indeferir a produção da prova e, em seguida, julgar improcedente o pedido justamente por ausência de demonstração da similitude fática entre o caso do autor e o do paradigma, a r. sentença fechou ao trabalhador as duas portas: negou-lhe a prova e depois lhe imputou a falta dela.</w:t>
      </w:r>
    </w:p>
    <w:p>
      <w:pPr>
        <w:spacing w:before="0" w:after="120" w:line="360" w:lineRule="auto"/>
        <w:ind w:firstLine="1701"/>
        <w:jc w:val="both"/>
      </w:pPr>
      <w:r>
        <w:rPr>
          <w:rFonts w:ascii="Verdana" w:hAnsi="Verdana" w:cs="Verdana"/>
          <w:sz w:val="22"/>
          <w:szCs w:val="22"/>
        </w:rPr>
        <w:t xml:space="preserve">Configurado está o cerceamento do direito de defesa, com violação ao artigo 5º, LV, da Constituição Federal e aos artigos 794 e 795 da CLT, tendo o recorrente protestado tempestivamente na própria audiência, como consta da ata.</w:t>
      </w:r>
    </w:p>
    <w:p>
      <w:pPr>
        <w:spacing w:before="0" w:after="120" w:line="360" w:lineRule="auto"/>
        <w:ind w:firstLine="1701"/>
        <w:jc w:val="both"/>
      </w:pPr>
      <w:r>
        <w:rPr>
          <w:rFonts w:ascii="Verdana" w:hAnsi="Verdana" w:cs="Verdana"/>
          <w:sz w:val="22"/>
          <w:szCs w:val="22"/>
        </w:rPr>
        <w:t xml:space="preserve">Isso posto, requer-se seja declarada a nulidade da r. sentença no capítulo relativo ao adicional de periculosidade, com o retorno dos autos à origem para reabertura da instrução processual quanto ao tema.</w:t>
      </w:r>
    </w:p>
    <w:p>
      <w:pPr>
        <w:spacing w:before="280" w:after="200" w:line="360" w:lineRule="auto"/>
        <w:jc w:val="center"/>
        <w:rPr>
          <w:b/>
        </w:rPr>
      </w:pPr>
      <w:r>
        <w:rPr>
          <w:rFonts w:ascii="Verdana" w:hAnsi="Verdana" w:cs="Verdana"/>
          <w:sz w:val="22"/>
          <w:szCs w:val="22"/>
          <w:b/>
        </w:rPr>
        <w:t xml:space="preserve">DO ADICIONAL DE PERICULOSIDADE</w:t>
      </w:r>
    </w:p>
    <w:p>
      <w:pPr>
        <w:spacing w:before="0" w:after="120" w:line="360" w:lineRule="auto"/>
        <w:ind w:firstLine="1701"/>
        <w:jc w:val="both"/>
      </w:pPr>
      <w:r>
        <w:rPr>
          <w:rFonts w:ascii="Verdana" w:hAnsi="Verdana" w:cs="Verdana"/>
          <w:sz w:val="22"/>
          <w:szCs w:val="22"/>
        </w:rPr>
        <w:t xml:space="preserve">Superada a preliminar — e desde já invocando o artigo 1.013, §3º, do CPC para que este Egrégio Tribunal julgue desde logo o mérito, caso entenda madura a causa —, a r. sentença assim decidiu:</w:t>
      </w:r>
    </w:p>
    <w:p>
      <w:pPr>
        <w:spacing w:before="120" w:after="120" w:line="360" w:lineRule="auto"/>
        <w:ind w:left="2268"/>
        <w:jc w:val="both"/>
      </w:pPr>
      <w:r>
        <w:rPr>
          <w:rFonts w:ascii="Verdana" w:hAnsi="Verdana" w:cs="Verdana"/>
          <w:sz w:val="20"/>
          <w:szCs w:val="20"/>
          <w:i/>
        </w:rPr>
        <w:t xml:space="preserve">"O autor transportava materiais considerados não inflamáveis: nitrogênio, oxigênio e argônio. Não se considerou, ademais, que se fazendo presente nos carregamentos e descarregamentos, estaria caracterizada a periculosidade. A respeito, o autor apresentou laudo paradigma como subsídio para defender a condição perigosa do trabalho. No entanto, os clientes indicados nos trabalhos técnicos são distintos, o que impede concluir que a condição dos dois trabalhadores fosse similar. Desse modo, não há como reconhecer o trabalho em condições de periculosidade ou insalubridade."</w:t>
      </w:r>
    </w:p>
    <w:p>
      <w:pPr>
        <w:spacing w:before="0" w:after="120" w:line="360" w:lineRule="auto"/>
        <w:ind w:firstLine="1701"/>
        <w:jc w:val="both"/>
      </w:pPr>
      <w:r>
        <w:rPr>
          <w:rFonts w:ascii="Verdana" w:hAnsi="Verdana" w:cs="Verdana"/>
          <w:sz w:val="22"/>
          <w:szCs w:val="22"/>
        </w:rPr>
        <w:t xml:space="preserve">Ocorre que a fundamentação adotada inverte a lógica da NR-16. O adicional de periculosidade previsto no artigo 193, I, da CLT e regulamentado pelo Anexo 2 da NR-16 não decorre da natureza da carga que o trabalhador conduz, mas do </w:t>
      </w:r>
      <w:r>
        <w:rPr>
          <w:rFonts w:ascii="Verdana" w:hAnsi="Verdana" w:cs="Verdana"/>
          <w:sz w:val="22"/>
          <w:szCs w:val="22"/>
          <w:b/>
        </w:rPr>
        <w:t xml:space="preserve">ingresso e da permanência em área de risco</w:t>
      </w:r>
      <w:r>
        <w:rPr>
          <w:rFonts w:ascii="Verdana" w:hAnsi="Verdana" w:cs="Verdana"/>
          <w:sz w:val="22"/>
          <w:szCs w:val="22"/>
        </w:rPr>
        <w:t xml:space="preserve">. É a ambiência que qualifica o risco, e não o conteúdo do tanque.</w:t>
      </w:r>
    </w:p>
    <w:p>
      <w:pPr>
        <w:spacing w:before="0" w:after="120" w:line="360" w:lineRule="auto"/>
        <w:ind w:firstLine="1701"/>
        <w:jc w:val="both"/>
      </w:pPr>
      <w:r>
        <w:rPr>
          <w:rFonts w:ascii="Verdana" w:hAnsi="Verdana" w:cs="Verdana"/>
          <w:sz w:val="22"/>
          <w:szCs w:val="22"/>
        </w:rPr>
        <w:t xml:space="preserve">Vale observar que o próprio Anexo 2 da NR-16 delimita como áreas de risco, entre outras, os locais de armazenamento de inflamáveis líquidos e gasosos e as respectivas bacias de contenção, alcançando todos os trabalhadores que operem em tais espaços, e não apenas aqueles que manipulem diretamente o produto inflamável. Por isso mesmo é irrelevante, para o deslinde da controvérsia, que nitrogênio, oxigênio e argônio não sejam inflamáveis: o recorrente não pediu o adicional pela carga, pediu-o pelo local.</w:t>
      </w:r>
    </w:p>
    <w:p>
      <w:pPr>
        <w:spacing w:before="0" w:after="120" w:line="360" w:lineRule="auto"/>
        <w:ind w:firstLine="1701"/>
        <w:jc w:val="both"/>
      </w:pPr>
      <w:r>
        <w:rPr>
          <w:rFonts w:ascii="Verdana" w:hAnsi="Verdana" w:cs="Verdana"/>
          <w:sz w:val="22"/>
          <w:szCs w:val="22"/>
        </w:rPr>
        <w:t xml:space="preserve">Nesse sentido, cumpre salientar que a habitualidade da exposição é incontroversa e que a eventual intermitência não afasta o direito, nos exatos termos da Súmula 364, I, do C. TST:</w:t>
      </w:r>
    </w:p>
    <w:p>
      <w:pPr>
        <w:spacing w:before="120" w:after="120" w:line="360" w:lineRule="auto"/>
        <w:ind w:left="2268"/>
        <w:jc w:val="both"/>
      </w:pPr>
      <w:r>
        <w:rPr>
          <w:rFonts w:ascii="Verdana" w:hAnsi="Verdana" w:cs="Verdana"/>
          <w:sz w:val="20"/>
          <w:szCs w:val="20"/>
          <w:i/>
        </w:rPr>
        <w:t xml:space="preserve">"Súmula 364 do TST - ADICIONAL DE PERICULOSIDADE. EXPOSIÇÃO EVENTUAL, PERMANENTE E INTERMITENTE. I - Tem direito ao adicional de periculosidade o empregado exposto permanentemente ou que, de forma intermitente, sujeita-se a condições de risco. Indevido, apenas, quando o contato dá-se de forma eventual, assim considerado o fortuito, ou o que, sendo habitual, dá-se por tempo extremamente reduzido."</w:t>
      </w:r>
    </w:p>
    <w:p>
      <w:pPr>
        <w:spacing w:before="0" w:after="120" w:line="360" w:lineRule="auto"/>
        <w:ind w:firstLine="1701"/>
        <w:jc w:val="both"/>
      </w:pPr>
      <w:r>
        <w:rPr>
          <w:rFonts w:ascii="Verdana" w:hAnsi="Verdana" w:cs="Verdana"/>
          <w:sz w:val="22"/>
          <w:szCs w:val="22"/>
        </w:rPr>
        <w:t xml:space="preserve">Ademais, o laudo produzido nestes autos é imprestável para infirmar a alegação obreira, e a razão é metodológica. Como já demonstrado na impugnação de 23/06/2026, o Sr. Perito realizou a diligência exclusivamente na sede da 2ª reclamada, em 12/03/2026, e restringiu a análise às propriedades físico-químicas da carga transportada. Não descreveu tecnicamente uma única planta industrial de destino. Não mediu distâncias entre o ponto de operação do motorista e os tanques de inflamáveis de terceiros. Não examinou manifestos de carga, notas fiscais nem ordens de serviço — documentos que estavam ao alcance da própria reclamada e que quantificariam a frequência exata da exposição.</w:t>
      </w:r>
    </w:p>
    <w:p>
      <w:pPr>
        <w:spacing w:before="0" w:after="120" w:line="360" w:lineRule="auto"/>
        <w:ind w:firstLine="1701"/>
        <w:jc w:val="both"/>
      </w:pPr>
      <w:r>
        <w:rPr>
          <w:rFonts w:ascii="Verdana" w:hAnsi="Verdana" w:cs="Verdana"/>
          <w:sz w:val="22"/>
          <w:szCs w:val="22"/>
        </w:rPr>
        <w:t xml:space="preserve">Em outras palavras: o expert examinou o caminhão e deixou de examinar o lugar onde o caminhão descarregava, que é precisamente onde reside a controvérsia.</w:t>
      </w:r>
    </w:p>
    <w:p>
      <w:pPr>
        <w:spacing w:before="0" w:after="120" w:line="360" w:lineRule="auto"/>
        <w:ind w:firstLine="1701"/>
        <w:jc w:val="both"/>
      </w:pPr>
      <w:r>
        <w:rPr>
          <w:rFonts w:ascii="Verdana" w:hAnsi="Verdana" w:cs="Verdana"/>
          <w:sz w:val="22"/>
          <w:szCs w:val="22"/>
        </w:rPr>
        <w:t xml:space="preserve">Observe-se, ainda, que a distinção traçada pela r. sentença entre o recorrente e o trabalhador paradigma não resiste ao confronto com a prova dos autos. O laudo emprestado do processo nº 0010603-93.2025.5.15.0138 refere-se ao Sr. JULIO CESAR GOMES DA SILVA, que — e isto é decisivo — foi ouvido como primeira testemunha do reclamante na audiência de 06/08/2026, ocasião em que declarou, sob compromisso, que "também prestou serviços para a segunda reclamada, de março de 2017 a março de 2025" e que era motorista, exatamente como o recorrente.</w:t>
      </w:r>
    </w:p>
    <w:p>
      <w:pPr>
        <w:spacing w:before="0" w:after="120" w:line="360" w:lineRule="auto"/>
        <w:ind w:firstLine="1701"/>
        <w:jc w:val="both"/>
      </w:pPr>
      <w:r>
        <w:rPr>
          <w:rFonts w:ascii="Verdana" w:hAnsi="Verdana" w:cs="Verdana"/>
          <w:sz w:val="22"/>
          <w:szCs w:val="22"/>
        </w:rPr>
        <w:t xml:space="preserve">Veja que, Excelência: mesmo empregador, mesma tomadora, mesma base operacional, mesma função, período contratual sobreposto. Se há dois trabalhadores em situação análoga em toda a linha, são estes. A conclusão de que "os clientes indicados nos trabalhos técnicos são distintos" só se sustenta porque o laudo destes autos não indicou cliente algum — omissão do perito que acabou revertida em prejuízo do trabalhador.</w:t>
      </w:r>
    </w:p>
    <w:p>
      <w:pPr>
        <w:spacing w:before="0" w:after="120" w:line="360" w:lineRule="auto"/>
        <w:ind w:firstLine="1701"/>
        <w:jc w:val="both"/>
      </w:pPr>
      <w:r>
        <w:rPr>
          <w:rFonts w:ascii="Verdana" w:hAnsi="Verdana" w:cs="Verdana"/>
          <w:sz w:val="22"/>
          <w:szCs w:val="22"/>
        </w:rPr>
        <w:t xml:space="preserve">Some-se a isso o laudo pericial do processo nº 0010395-08.2021.5.15.0023, igualmente referido na inicial, no qual houve reconhecimento do adicional de periculosidade em caso análogo.</w:t>
      </w:r>
    </w:p>
    <w:p>
      <w:pPr>
        <w:spacing w:before="0" w:after="120" w:line="360" w:lineRule="auto"/>
        <w:ind w:firstLine="1701"/>
        <w:jc w:val="both"/>
      </w:pPr>
      <w:r>
        <w:rPr>
          <w:rFonts w:ascii="Verdana" w:hAnsi="Verdana" w:cs="Verdana"/>
          <w:sz w:val="22"/>
          <w:szCs w:val="22"/>
        </w:rPr>
        <w:t xml:space="preserve">Disso conclui-se que a prova emprestada, produzida sob metodologia superior e aderente à realidade operacional, deve prevalecer sobre um laudo omisso quanto ao núcleo fático da lide, na forma do artigo 479 do CPC.</w:t>
      </w:r>
    </w:p>
    <w:p>
      <w:pPr>
        <w:spacing w:before="0" w:after="120" w:line="360" w:lineRule="auto"/>
        <w:ind w:firstLine="1701"/>
        <w:jc w:val="both"/>
      </w:pPr>
      <w:r>
        <w:rPr>
          <w:rFonts w:ascii="Verdana" w:hAnsi="Verdana" w:cs="Verdana"/>
          <w:sz w:val="22"/>
          <w:szCs w:val="22"/>
        </w:rPr>
        <w:t xml:space="preserve">Isso posto, requer-se a reforma da r. sentença nesse particular, para condenar as recorridas ao pagamento do adicional de periculosidade de 30% sobre o salário-base durante todo o período imprescrito do contrato de trabalho, com reflexos, por habitual, em DSR, horas extras, adicional noturno, aviso prévio, 13º salários, férias vencidas e proporcionais acrescidas de 1/3 e FGTS com multa de 40%.</w:t>
      </w:r>
    </w:p>
    <w:p>
      <w:pPr>
        <w:spacing w:before="0" w:after="120" w:line="360" w:lineRule="auto"/>
        <w:ind w:firstLine="1701"/>
        <w:jc w:val="both"/>
      </w:pPr>
      <w:r>
        <w:rPr>
          <w:rFonts w:ascii="Verdana" w:hAnsi="Verdana" w:cs="Verdana"/>
          <w:sz w:val="22"/>
          <w:szCs w:val="22"/>
        </w:rPr>
        <w:t xml:space="preserve">Entretanto, caso este Egrégio Tribunal não acolha o pedido principal, subsidiariamente pugna-se pela conversão do julgamento em diligência, com o retorno dos autos à origem para realização de nova perícia — ou de complementação por perito diverso —, determinando-se expressamente ao expert que descreva as áreas de risco dos estabelecimentos de descarga, analise os manifestos de carga e as ordens de serviço do período imprescrito e responda, objetivamente, se o recorrente operava no interior de área de risco delimitada pelo Anexo 2 da NR-16.</w:t>
      </w:r>
    </w:p>
    <w:p>
      <w:pPr>
        <w:spacing w:before="280" w:after="200" w:line="360" w:lineRule="auto"/>
        <w:jc w:val="center"/>
        <w:rPr>
          <w:b/>
        </w:rPr>
      </w:pPr>
      <w:r>
        <w:rPr>
          <w:rFonts w:ascii="Verdana" w:hAnsi="Verdana" w:cs="Verdana"/>
          <w:sz w:val="22"/>
          <w:szCs w:val="22"/>
          <w:b/>
        </w:rPr>
        <w:t xml:space="preserve">DA INDENIZAÇÃO PELO INTERVALO INTRAJORNADA – DO ARBITRAMENTO EM 30 MINUTOS</w:t>
      </w:r>
    </w:p>
    <w:p>
      <w:pPr>
        <w:spacing w:before="0" w:after="120" w:line="360" w:lineRule="auto"/>
        <w:ind w:firstLine="1701"/>
        <w:jc w:val="both"/>
      </w:pPr>
      <w:r>
        <w:rPr>
          <w:rFonts w:ascii="Verdana" w:hAnsi="Verdana" w:cs="Verdana"/>
          <w:sz w:val="22"/>
          <w:szCs w:val="22"/>
        </w:rPr>
        <w:t xml:space="preserve">Assim constou da r. sentença:</w:t>
      </w:r>
    </w:p>
    <w:p>
      <w:pPr>
        <w:spacing w:before="120" w:after="120" w:line="360" w:lineRule="auto"/>
        <w:ind w:left="2268"/>
        <w:jc w:val="both"/>
      </w:pPr>
      <w:r>
        <w:rPr>
          <w:rFonts w:ascii="Verdana" w:hAnsi="Verdana" w:cs="Verdana"/>
          <w:sz w:val="20"/>
          <w:szCs w:val="20"/>
          <w:i/>
        </w:rPr>
        <w:t xml:space="preserve">"b) o intervalo intrajornada deve arbitrado em 30 minutos, em média. (...) Dessa forma, tomando por base os dias em que a pausa completa era usufruída e aqueles em que era total ou parcialmente suprimida, prudente que se arbitre o valor médio de 30 minutos; (...) a par das horas extras reconhecidas, a cada dia de efetivo trabalho a reclamante fará jus a indenização correspondente ao salário de 30 minutos, acrescido de 50%, com exceção de seis dias por mês."</w:t>
      </w:r>
    </w:p>
    <w:p>
      <w:pPr>
        <w:spacing w:before="0" w:after="120" w:line="360" w:lineRule="auto"/>
        <w:ind w:firstLine="1701"/>
        <w:jc w:val="both"/>
      </w:pPr>
      <w:r>
        <w:rPr>
          <w:rFonts w:ascii="Verdana" w:hAnsi="Verdana" w:cs="Verdana"/>
          <w:sz w:val="22"/>
          <w:szCs w:val="22"/>
        </w:rPr>
        <w:t xml:space="preserve">O reconhecimento da supressão é correto e está amparado na prova. O critério de quantificação, porém, data venia, merece reparo, e por duas razões autônomas.</w:t>
      </w:r>
    </w:p>
    <w:p>
      <w:pPr>
        <w:spacing w:before="0" w:after="120" w:line="360" w:lineRule="auto"/>
        <w:ind w:firstLine="1701"/>
        <w:jc w:val="both"/>
      </w:pPr>
      <w:r>
        <w:rPr>
          <w:rFonts w:ascii="Verdana" w:hAnsi="Verdana" w:cs="Verdana"/>
          <w:sz w:val="22"/>
          <w:szCs w:val="22"/>
        </w:rPr>
        <w:t xml:space="preserve">A primeira é de ordem legal. O artigo 71, §4º, da CLT, na redação da Lei 13.467/2017 — aplicável a todo o contrato, iniciado em 15/04/2019 —, determina o pagamento, de natureza indenizatória, do período suprimido. A lei não autoriza média: ela manda indenizar o que foi efetivamente suprimido. E a prova dos autos, na leitura que a própria r. sentença fez dela, aponta para supressão integral na maior parte dos dias, e não para redução pela metade.</w:t>
      </w:r>
    </w:p>
    <w:p>
      <w:pPr>
        <w:spacing w:before="0" w:after="120" w:line="360" w:lineRule="auto"/>
        <w:ind w:firstLine="1701"/>
        <w:jc w:val="both"/>
      </w:pPr>
      <w:r>
        <w:rPr>
          <w:rFonts w:ascii="Verdana" w:hAnsi="Verdana" w:cs="Verdana"/>
          <w:sz w:val="22"/>
          <w:szCs w:val="22"/>
        </w:rPr>
        <w:t xml:space="preserve">Com efeito, o recorrente declarou em depoimento pessoal que "na maioria das vezes não dava tempo de parar para a refeição" e estimou que "o intervalo era possível de quatro a seis vezes por mês". A primeira testemunha, motorista na mesma operação, foi ainda mais precisa: "dentro de um mês, estima que conseguiam tirar o intervalo completo em 6 ou 7 dias", e que nos demais "engoliam" algo, ficando o descanso "restrito a 15 minutos". A segunda testemunha estimou que "conseguiam parar uma ou duas vezes por semana, quando as viagens eram curtas". A testemunha patronal, por sua vez, foi expressamente qualificada pelo juízo como contraditória.</w:t>
      </w:r>
    </w:p>
    <w:p>
      <w:pPr>
        <w:spacing w:before="0" w:after="120" w:line="360" w:lineRule="auto"/>
        <w:ind w:firstLine="1701"/>
        <w:jc w:val="both"/>
      </w:pPr>
      <w:r>
        <w:rPr>
          <w:rFonts w:ascii="Verdana" w:hAnsi="Verdana" w:cs="Verdana"/>
          <w:sz w:val="22"/>
          <w:szCs w:val="22"/>
        </w:rPr>
        <w:t xml:space="preserve">Perceba-se que nenhuma dessas declarações descreve um dia típico de meia hora de descanso. Todas descrevem poucos dias de fruição integral, contrapostos a muitos dias de supressão total ou quase total. O arbitramento pela média aritmética apaga precisamente a realidade que a prova revelou.</w:t>
      </w:r>
    </w:p>
    <w:p>
      <w:pPr>
        <w:spacing w:before="0" w:after="120" w:line="360" w:lineRule="auto"/>
        <w:ind w:firstLine="1701"/>
        <w:jc w:val="both"/>
      </w:pPr>
      <w:r>
        <w:rPr>
          <w:rFonts w:ascii="Verdana" w:hAnsi="Verdana" w:cs="Verdana"/>
          <w:sz w:val="22"/>
          <w:szCs w:val="22"/>
        </w:rPr>
        <w:t xml:space="preserve">A segunda razão é de coerência interna do julgado. A r. sentença excluiu da condenação seis dias por mês — exatamente os dias em que reconheceu ter havido fruição integral. Ora, se os dias de descanso completo já foram apartados da conta, os dias remanescentes são, por definição, dias de supressão total ou quase total. Reduzi-los ainda a 30 minutos significa descontar duas vezes a mesma fruição, em manifesto bis in idem em desfavor do trabalhador.</w:t>
      </w:r>
    </w:p>
    <w:p>
      <w:pPr>
        <w:spacing w:before="0" w:after="120" w:line="360" w:lineRule="auto"/>
        <w:ind w:firstLine="1701"/>
        <w:jc w:val="both"/>
      </w:pPr>
      <w:r>
        <w:rPr>
          <w:rFonts w:ascii="Verdana" w:hAnsi="Verdana" w:cs="Verdana"/>
          <w:sz w:val="22"/>
          <w:szCs w:val="22"/>
        </w:rPr>
        <w:t xml:space="preserve">Ressalte-se, por fim, que o ônus da prova da regular concessão da pausa é do empregador, nos termos da Súmula 338 do C. TST e do artigo 74, §2º, da CLT — ônus do qual a 1ª recorrida não se desincumbiu. A própria preposta admitiu, em depoimento, que "o rastreador não controlava parada específica para intervalo" e que "o bordo era manual", vale dizer, o único registro do intervalo era o preenchido pelo próprio motorista sob a pressão operacional descrita nos autos.</w:t>
      </w:r>
    </w:p>
    <w:p>
      <w:pPr>
        <w:spacing w:before="0" w:after="120" w:line="360" w:lineRule="auto"/>
        <w:ind w:firstLine="1701"/>
        <w:jc w:val="both"/>
      </w:pPr>
      <w:r>
        <w:rPr>
          <w:rFonts w:ascii="Verdana" w:hAnsi="Verdana" w:cs="Verdana"/>
          <w:sz w:val="22"/>
          <w:szCs w:val="22"/>
        </w:rPr>
        <w:t xml:space="preserve">Isso posto, requer-se a reforma da r. sentença nesse particular, para que a indenização do artigo 71, §4º, da CLT seja deferida à razão de 1 (uma) hora por dia de efetivo trabalho, acrescida do adicional de 50%, mantida a exclusão dos 6 (seis) dias mensais de fruição integral já reconhecida na origem.</w:t>
      </w:r>
    </w:p>
    <w:p>
      <w:pPr>
        <w:spacing w:before="0" w:after="120" w:line="360" w:lineRule="auto"/>
        <w:ind w:firstLine="1701"/>
        <w:jc w:val="both"/>
      </w:pPr>
      <w:r>
        <w:rPr>
          <w:rFonts w:ascii="Verdana" w:hAnsi="Verdana" w:cs="Verdana"/>
          <w:sz w:val="22"/>
          <w:szCs w:val="22"/>
        </w:rPr>
        <w:t xml:space="preserve">Acaso este Egrégio Tribunal perfilhe entendimento diverso, em caráter subsidiário pugna-se pela majoração do arbitramento de 30 para 45 minutos diários, igualmente acrescidos de 50%, por melhor refletir a média extraída dos depoimentos colhidos.</w:t>
      </w:r>
    </w:p>
    <w:p>
      <w:pPr>
        <w:spacing w:before="280" w:after="200" w:line="360" w:lineRule="auto"/>
        <w:jc w:val="center"/>
        <w:rPr>
          <w:b/>
        </w:rPr>
      </w:pPr>
      <w:r>
        <w:rPr>
          <w:rFonts w:ascii="Verdana" w:hAnsi="Verdana" w:cs="Verdana"/>
          <w:sz w:val="22"/>
          <w:szCs w:val="22"/>
          <w:b/>
        </w:rPr>
        <w:t xml:space="preserve">DOS HONORÁRIOS ADVOCATÍCIOS DE SUCUMBÊNCIA</w:t>
      </w:r>
    </w:p>
    <w:p>
      <w:pPr>
        <w:spacing w:before="280" w:after="200" w:line="360" w:lineRule="auto"/>
        <w:jc w:val="center"/>
        <w:rPr>
          <w:b/>
        </w:rPr>
      </w:pPr>
      <w:r>
        <w:rPr>
          <w:rFonts w:ascii="Verdana" w:hAnsi="Verdana" w:cs="Verdana"/>
          <w:sz w:val="22"/>
          <w:szCs w:val="22"/>
          <w:b/>
        </w:rPr>
        <w:t xml:space="preserve">DA CONDENAÇÃO DO RECORRENTE AO PAGAMENTO DE HONORÁRIOS SUCUMBENCIAIS</w:t>
      </w:r>
    </w:p>
    <w:p>
      <w:pPr>
        <w:spacing w:before="0" w:after="120" w:line="360" w:lineRule="auto"/>
        <w:ind w:firstLine="1701"/>
        <w:jc w:val="both"/>
      </w:pPr>
      <w:r>
        <w:rPr>
          <w:rFonts w:ascii="Verdana" w:hAnsi="Verdana" w:cs="Verdana"/>
          <w:sz w:val="22"/>
          <w:szCs w:val="22"/>
        </w:rPr>
        <w:t xml:space="preserve">Assim constou da r. sentença:</w:t>
      </w:r>
    </w:p>
    <w:p>
      <w:pPr>
        <w:spacing w:before="120" w:after="120" w:line="360" w:lineRule="auto"/>
        <w:ind w:left="2268"/>
        <w:jc w:val="both"/>
      </w:pPr>
      <w:r>
        <w:rPr>
          <w:rFonts w:ascii="Verdana" w:hAnsi="Verdana" w:cs="Verdana"/>
          <w:sz w:val="20"/>
          <w:szCs w:val="20"/>
          <w:i/>
        </w:rPr>
        <w:t xml:space="preserve">"No que tange à verba sucumbencial, após revisitar a decisão lançada pelo STF na ADI 5766, revejo linha decisória anteriormente trilhada e arbitro os honorários devidos pelo autor em favor do patrono da reclamada em 10% do valor atribuído à parte improcedente do pedido, devidamente atualizado."</w:t>
      </w:r>
    </w:p>
    <w:p>
      <w:pPr>
        <w:spacing w:before="0" w:after="120" w:line="360" w:lineRule="auto"/>
        <w:ind w:firstLine="1701"/>
        <w:jc w:val="both"/>
      </w:pPr>
      <w:r>
        <w:rPr>
          <w:rFonts w:ascii="Verdana" w:hAnsi="Verdana" w:cs="Verdana"/>
          <w:sz w:val="22"/>
          <w:szCs w:val="22"/>
        </w:rPr>
        <w:t xml:space="preserve">Data venia, o capítulo comporta reforma, ainda que mantida a improcedência parcial.</w:t>
      </w:r>
    </w:p>
    <w:p>
      <w:pPr>
        <w:spacing w:before="0" w:after="120" w:line="360" w:lineRule="auto"/>
        <w:ind w:firstLine="1701"/>
        <w:jc w:val="both"/>
      </w:pPr>
      <w:r>
        <w:rPr>
          <w:rFonts w:ascii="Verdana" w:hAnsi="Verdana" w:cs="Verdana"/>
          <w:sz w:val="22"/>
          <w:szCs w:val="22"/>
        </w:rPr>
        <w:t xml:space="preserve">Note-se, em primeiro lugar, que a r. sentença incorre em contradição insuperável quanto à base de cálculo eleita. No capítulo das disposições finais, o juízo consignou, com todas as letras, que "o valor da causa ou aqueles apontados na petição inicial para cada pedido são apenas estimativos, traduzindo um montante aproximado para fins de adequação do rito processual". Contudo, ao fixar a verba sucumbencial devida pelo trabalhador, adotou como base exatamente esses mesmos valores estimativos.</w:t>
      </w:r>
    </w:p>
    <w:p>
      <w:pPr>
        <w:spacing w:before="0" w:after="120" w:line="360" w:lineRule="auto"/>
        <w:ind w:firstLine="1701"/>
        <w:jc w:val="both"/>
      </w:pPr>
      <w:r>
        <w:rPr>
          <w:rFonts w:ascii="Verdana" w:hAnsi="Verdana" w:cs="Verdana"/>
          <w:sz w:val="22"/>
          <w:szCs w:val="22"/>
        </w:rPr>
        <w:t xml:space="preserve">Ou o valor é estimativo, e então não serve de base de cálculo para condenar o trabalhador; ou é líquido e vinculante, e então vincularia também a condenação das reclamadas. O que não se pode admitir é que o mesmo número seja estimativa quando favorece a empresa e valor certo quando prejudica o obreiro.</w:t>
      </w:r>
    </w:p>
    <w:p>
      <w:pPr>
        <w:spacing w:before="0" w:after="120" w:line="360" w:lineRule="auto"/>
        <w:ind w:firstLine="1701"/>
        <w:jc w:val="both"/>
      </w:pPr>
      <w:r>
        <w:rPr>
          <w:rFonts w:ascii="Verdana" w:hAnsi="Verdana" w:cs="Verdana"/>
          <w:sz w:val="22"/>
          <w:szCs w:val="22"/>
        </w:rPr>
        <w:t xml:space="preserve">Frise-se que o artigo 791-A, §2º, da CLT determina que o arbitramento observe o grau de zelo profissional, o lugar da prestação do serviço, a natureza e a importância da causa, o trabalho realizado e o tempo exigido — critérios que dizem respeito ao serviço advocatício efetivamente prestado, e não ao somatório aritmético de pedidos rejeitados. A adoção automática de percentual sobre a integralidade do que foi indeferido, sem qualquer consideração aos parâmetros legais, esvazia o comando do dispositivo.</w:t>
      </w:r>
    </w:p>
    <w:p>
      <w:pPr>
        <w:spacing w:before="0" w:after="120" w:line="360" w:lineRule="auto"/>
        <w:ind w:firstLine="1701"/>
        <w:jc w:val="both"/>
      </w:pPr>
      <w:r>
        <w:rPr>
          <w:rFonts w:ascii="Verdana" w:hAnsi="Verdana" w:cs="Verdana"/>
          <w:sz w:val="22"/>
          <w:szCs w:val="22"/>
        </w:rPr>
        <w:t xml:space="preserve">Ademais, cumpre consignar que a improcedência dos pedidos de periculosidade e insalubridade decorreu, em larga medida, de laudo pericial omisso quanto ao núcleo fático da controvérsia, e após o indeferimento da prova oral que supriria essa lacuna — circunstâncias inteiramente alheias à conduta processual do recorrente, que litigou de boa-fé, como o próprio juízo reconheceu ao afastar a alegação de litigância de má-fé.</w:t>
      </w:r>
    </w:p>
    <w:p>
      <w:pPr>
        <w:spacing w:before="0" w:after="120" w:line="360" w:lineRule="auto"/>
        <w:ind w:firstLine="1701"/>
        <w:jc w:val="both"/>
      </w:pPr>
      <w:r>
        <w:rPr>
          <w:rFonts w:ascii="Verdana" w:hAnsi="Verdana" w:cs="Verdana"/>
          <w:sz w:val="22"/>
          <w:szCs w:val="22"/>
        </w:rPr>
        <w:t xml:space="preserve">Por fim, requer-se seja expressamente ressalvado, no acórdão, que a obrigação permanece sob condição suspensiva de exigibilidade e que se extingue, em qualquer hipótese, no prazo de 2 (dois) anos subsequentes ao trânsito em julgado, na forma do artigo 791-A, §4º, da CLT, com a observância integral do decidido pelo E. STF na ADI 5766, sendo vedada a utilização de créditos obtidos neste ou em outro processo para a satisfação da verba.</w:t>
      </w:r>
    </w:p>
    <w:p>
      <w:pPr>
        <w:spacing w:before="0" w:after="120" w:line="360" w:lineRule="auto"/>
        <w:ind w:firstLine="1701"/>
        <w:jc w:val="both"/>
      </w:pPr>
      <w:r>
        <w:rPr>
          <w:rFonts w:ascii="Verdana" w:hAnsi="Verdana" w:cs="Verdana"/>
          <w:sz w:val="22"/>
          <w:szCs w:val="22"/>
        </w:rPr>
        <w:t xml:space="preserve">Isso posto, requer-se a reforma da r. sentença para excluir a condenação do recorrente ao pagamento de honorários sucumbenciais, seja pelo provimento dos capítulos anteriores — que reduz substancialmente a sucumbência —, seja pelos fundamentos acima.</w:t>
      </w:r>
    </w:p>
    <w:p>
      <w:pPr>
        <w:spacing w:before="0" w:after="120" w:line="360" w:lineRule="auto"/>
        <w:ind w:firstLine="1701"/>
        <w:jc w:val="both"/>
      </w:pPr>
      <w:r>
        <w:rPr>
          <w:rFonts w:ascii="Verdana" w:hAnsi="Verdana" w:cs="Verdana"/>
          <w:sz w:val="22"/>
          <w:szCs w:val="22"/>
        </w:rPr>
        <w:t xml:space="preserve">Subsidiariamente, caso mantida a condenação, pugna-se pela redução do percentual ao mínimo legal de 5% (cinco por cento), previsto no caput do artigo 791-A da CLT, incidente sobre o proveito econômico efetivamente perseguido em cada pedido rejeitado, e não sobre o somatório estimativo da inicial.</w:t>
      </w:r>
    </w:p>
    <w:p>
      <w:pPr>
        <w:spacing w:before="280" w:after="200" w:line="360" w:lineRule="auto"/>
        <w:jc w:val="center"/>
        <w:rPr>
          <w:b/>
        </w:rPr>
      </w:pPr>
      <w:r>
        <w:rPr>
          <w:rFonts w:ascii="Verdana" w:hAnsi="Verdana" w:cs="Verdana"/>
          <w:sz w:val="22"/>
          <w:szCs w:val="22"/>
          <w:b/>
        </w:rPr>
        <w:t xml:space="preserve">DA MAJORAÇÃO DOS HONORÁRIOS DEVIDOS AO PATRONO DO RECORRENTE</w:t>
      </w:r>
    </w:p>
    <w:p>
      <w:pPr>
        <w:spacing w:before="0" w:after="120" w:line="360" w:lineRule="auto"/>
        <w:ind w:firstLine="1701"/>
        <w:jc w:val="both"/>
      </w:pPr>
      <w:r>
        <w:rPr>
          <w:rFonts w:ascii="Verdana" w:hAnsi="Verdana" w:cs="Verdana"/>
          <w:sz w:val="22"/>
          <w:szCs w:val="22"/>
        </w:rPr>
        <w:t xml:space="preserve">A r. sentença arbitrou em 10% os honorários devidos pela reclamada ao patrono do reclamante, quando a inicial pleiteou 15%.</w:t>
      </w:r>
    </w:p>
    <w:p>
      <w:pPr>
        <w:spacing w:before="0" w:after="120" w:line="360" w:lineRule="auto"/>
        <w:ind w:firstLine="1701"/>
        <w:jc w:val="both"/>
      </w:pPr>
      <w:r>
        <w:rPr>
          <w:rFonts w:ascii="Verdana" w:hAnsi="Verdana" w:cs="Verdana"/>
          <w:sz w:val="22"/>
          <w:szCs w:val="22"/>
        </w:rPr>
        <w:t xml:space="preserve">Vale observar, quanto aos parâmetros do artigo 791-A, §2º, da CLT, que o feito tramitou por mais de um ano e três meses, com produção de prova documental volumosa, prova pericial — seguida de impugnação técnica fundamentada e de pedido de esclarecimentos — e instrução com depoimentos pessoais das partes e oitiva de três testemunhas, tudo perfazendo autos com mais de 1.100 folhas. O trabalho desenvolvido excedeu, e muito, a normalidade de uma reclamatória de rito ordinário.</w:t>
      </w:r>
    </w:p>
    <w:p>
      <w:pPr>
        <w:spacing w:before="0" w:after="120" w:line="360" w:lineRule="auto"/>
        <w:ind w:firstLine="1701"/>
        <w:jc w:val="both"/>
      </w:pPr>
      <w:r>
        <w:rPr>
          <w:rFonts w:ascii="Verdana" w:hAnsi="Verdana" w:cs="Verdana"/>
          <w:sz w:val="22"/>
          <w:szCs w:val="22"/>
        </w:rPr>
        <w:t xml:space="preserve">Isso posto, requer-se a majoração dos honorários devidos ao patrono do recorrente para 15% (quinze por cento) sobre o valor que resultar da liquidação.</w:t>
      </w:r>
    </w:p>
    <w:p>
      <w:pPr>
        <w:spacing w:before="280" w:after="200" w:line="360" w:lineRule="auto"/>
        <w:jc w:val="center"/>
        <w:rPr>
          <w:b/>
        </w:rPr>
      </w:pPr>
      <w:r>
        <w:rPr>
          <w:rFonts w:ascii="Verdana" w:hAnsi="Verdana" w:cs="Verdana"/>
          <w:sz w:val="22"/>
          <w:szCs w:val="22"/>
          <w:b/>
        </w:rPr>
        <w:t xml:space="preserve">DO PREQUESTIONAMENTO</w:t>
      </w:r>
    </w:p>
    <w:p>
      <w:pPr>
        <w:spacing w:before="0" w:after="120" w:line="360" w:lineRule="auto"/>
        <w:ind w:firstLine="1701"/>
        <w:jc w:val="both"/>
      </w:pPr>
      <w:r>
        <w:rPr>
          <w:rFonts w:ascii="Verdana" w:hAnsi="Verdana" w:cs="Verdana"/>
          <w:sz w:val="22"/>
          <w:szCs w:val="22"/>
        </w:rPr>
        <w:t xml:space="preserve">Para todos os efeitos, e nos termos do artigo 1.025 do CPC e da Súmula 297 do C. TST, tem-se por prequestionados os artigos 5º, LV, da Constituição Federal; 71, §4º, 74, §2º, 193, I, 765, 791-A, caput, §§2º e 4º, 794 e 795 da CLT; 479 e 1.013, §3º, do CPC; o Anexo 2 da NR-16; as Súmulas 338 e 364, I, do C. TST; e a decisão do E. STF na ADI 5766.</w:t>
      </w:r>
    </w:p>
    <w:p>
      <w:pPr>
        <w:spacing w:before="280" w:after="200" w:line="360" w:lineRule="auto"/>
        <w:jc w:val="center"/>
        <w:rPr>
          <w:b/>
        </w:rPr>
      </w:pPr>
      <w:r>
        <w:rPr>
          <w:rFonts w:ascii="Verdana" w:hAnsi="Verdana" w:cs="Verdana"/>
          <w:sz w:val="22"/>
          <w:szCs w:val="22"/>
          <w:b/>
        </w:rPr>
        <w:t xml:space="preserve">DO PEDIDO</w:t>
      </w:r>
    </w:p>
    <w:p>
      <w:pPr>
        <w:spacing w:before="0" w:after="120" w:line="360" w:lineRule="auto"/>
        <w:ind w:firstLine="1701"/>
        <w:jc w:val="both"/>
      </w:pPr>
      <w:r>
        <w:rPr>
          <w:rFonts w:ascii="Verdana" w:hAnsi="Verdana" w:cs="Verdana"/>
          <w:sz w:val="22"/>
          <w:szCs w:val="22"/>
        </w:rPr>
        <w:t xml:space="preserve">Ante o exposto, requer o recorrente o conhecimento e o provimento do presente Recurso Ordinário, para:</w:t>
      </w:r>
    </w:p>
    <w:p>
      <w:pPr>
        <w:spacing w:before="0" w:after="60" w:line="360" w:lineRule="auto"/>
        <w:ind w:firstLine="1701"/>
        <w:jc w:val="both"/>
      </w:pPr>
      <w:r>
        <w:rPr>
          <w:rFonts w:ascii="Verdana" w:hAnsi="Verdana" w:cs="Verdana"/>
          <w:sz w:val="22"/>
          <w:szCs w:val="22"/>
        </w:rPr>
        <w:t xml:space="preserve">a) declarar a nulidade da r. sentença no capítulo do adicional de periculosidade, por cerceamento do direito à prova, com retorno dos autos à origem para reabertura da instrução;</w:t>
      </w:r>
    </w:p>
    <w:p>
      <w:pPr>
        <w:spacing w:before="0" w:after="60" w:line="360" w:lineRule="auto"/>
        <w:ind w:firstLine="1701"/>
        <w:jc w:val="both"/>
      </w:pPr>
      <w:r>
        <w:rPr>
          <w:rFonts w:ascii="Verdana" w:hAnsi="Verdana" w:cs="Verdana"/>
          <w:sz w:val="22"/>
          <w:szCs w:val="22"/>
        </w:rPr>
        <w:t xml:space="preserve">b) sucessivamente, no mérito, condenar as recorridas ao pagamento do adicional de periculosidade de 30% sobre o salário-base em todo o período imprescrito, com os reflexos postulados, ou, subsidiariamente, converter o julgamento em diligência para nova perícia nos termos do capítulo antecedente;</w:t>
      </w:r>
    </w:p>
    <w:p>
      <w:pPr>
        <w:spacing w:before="0" w:after="60" w:line="360" w:lineRule="auto"/>
        <w:ind w:firstLine="1701"/>
        <w:jc w:val="both"/>
      </w:pPr>
      <w:r>
        <w:rPr>
          <w:rFonts w:ascii="Verdana" w:hAnsi="Verdana" w:cs="Verdana"/>
          <w:sz w:val="22"/>
          <w:szCs w:val="22"/>
        </w:rPr>
        <w:t xml:space="preserve">c) reformar a condenação relativa ao intervalo intrajornada, para fixar a indenização do artigo 71, §4º, da CLT em 1 (uma) hora por dia de efetivo trabalho, acrescida de 50%, mantida a exclusão de 6 dias por mês, ou, subsidiariamente, majorar o arbitramento para 45 minutos diários;</w:t>
      </w:r>
    </w:p>
    <w:p>
      <w:pPr>
        <w:spacing w:before="0" w:after="60" w:line="360" w:lineRule="auto"/>
        <w:ind w:firstLine="1701"/>
        <w:jc w:val="both"/>
      </w:pPr>
      <w:r>
        <w:rPr>
          <w:rFonts w:ascii="Verdana" w:hAnsi="Verdana" w:cs="Verdana"/>
          <w:sz w:val="22"/>
          <w:szCs w:val="22"/>
        </w:rPr>
        <w:t xml:space="preserve">d) excluir a condenação do recorrente ao pagamento de honorários advocatícios sucumbenciais ou, subsidiariamente, reduzi-los ao mínimo legal de 5%, com expressa ressalva da condição suspensiva de exigibilidade e do prazo extintivo de 2 anos;</w:t>
      </w:r>
    </w:p>
    <w:p>
      <w:pPr>
        <w:spacing w:before="0" w:after="60" w:line="360" w:lineRule="auto"/>
        <w:ind w:firstLine="1701"/>
        <w:jc w:val="both"/>
      </w:pPr>
      <w:r>
        <w:rPr>
          <w:rFonts w:ascii="Verdana" w:hAnsi="Verdana" w:cs="Verdana"/>
          <w:sz w:val="22"/>
          <w:szCs w:val="22"/>
        </w:rPr>
        <w:t xml:space="preserve">e) majorar para 15% os honorários advocatícios devidos ao patrono do recorrente;</w:t>
      </w:r>
    </w:p>
    <w:p>
      <w:pPr>
        <w:spacing w:before="0" w:after="60" w:line="360" w:lineRule="auto"/>
        <w:ind w:firstLine="1701"/>
        <w:jc w:val="both"/>
      </w:pPr>
      <w:r>
        <w:rPr>
          <w:rFonts w:ascii="Verdana" w:hAnsi="Verdana" w:cs="Verdana"/>
          <w:sz w:val="22"/>
          <w:szCs w:val="22"/>
        </w:rPr>
        <w:t xml:space="preserve">f) manter, no mais, a r. sentença, especialmente quanto à responsabilidade subsidiária da 2ª recorrida.</w:t>
      </w:r>
    </w:p>
    <w:p>
      <w:pPr>
        <w:spacing w:before="0" w:after="120" w:line="360" w:lineRule="auto"/>
        <w:ind w:firstLine="1701"/>
        <w:jc w:val="both"/>
      </w:pPr>
      <w:r>
        <w:rPr>
          <w:rFonts w:ascii="Verdana" w:hAnsi="Verdana" w:cs="Verdana"/>
          <w:sz w:val="22"/>
          <w:szCs w:val="22"/>
        </w:rPr>
        <w:t xml:space="preserve">Nestes termos,</w:t>
      </w:r>
    </w:p>
    <w:p>
      <w:pPr>
        <w:spacing w:before="0" w:after="120" w:line="360" w:lineRule="auto"/>
        <w:ind w:firstLine="1701"/>
        <w:jc w:val="both"/>
      </w:pPr>
      <w:r>
        <w:rPr>
          <w:rFonts w:ascii="Verdana" w:hAnsi="Verdana" w:cs="Verdana"/>
          <w:sz w:val="22"/>
          <w:szCs w:val="22"/>
        </w:rPr>
        <w:t xml:space="preserve">Pede deferimento.</w:t>
      </w:r>
    </w:p>
    <w:p>
      <w:pPr>
        <w:spacing w:before="360" w:after="360" w:line="360" w:lineRule="auto"/>
        <w:jc w:val="right"/>
      </w:pPr>
      <w:r>
        <w:rPr>
          <w:rFonts w:ascii="Verdana" w:hAnsi="Verdana" w:cs="Verdana"/>
          <w:sz w:val="22"/>
          <w:szCs w:val="22"/>
        </w:rPr>
        <w:t xml:space="preserve">Sorocaba, [FALTA: data do protocolo].</w:t>
      </w:r>
    </w:p>
    <w:p>
      <w:pPr>
        <w:spacing w:before="0" w:after="0" w:line="360" w:lineRule="auto"/>
        <w:jc w:val="center"/>
        <w:rPr>
          <w:b/>
        </w:rPr>
      </w:pPr>
      <w:r>
        <w:rPr>
          <w:rFonts w:ascii="Verdana" w:hAnsi="Verdana" w:cs="Verdana"/>
          <w:sz w:val="22"/>
          <w:szCs w:val="22"/>
          <w:b/>
        </w:rPr>
        <w:t xml:space="preserve">Alexandre Pascoal Marques</w:t>
      </w:r>
    </w:p>
    <w:p>
      <w:pPr>
        <w:spacing w:before="0" w:after="0" w:line="360" w:lineRule="auto"/>
        <w:jc w:val="center"/>
        <w:rPr>
          <w:b/>
        </w:rPr>
      </w:pPr>
      <w:r>
        <w:rPr>
          <w:rFonts w:ascii="Verdana" w:hAnsi="Verdana" w:cs="Verdana"/>
          <w:sz w:val="22"/>
          <w:szCs w:val="22"/>
          <w:b/>
        </w:rPr>
        <w:t xml:space="preserve">OAB/SP 270.924</w:t>
      </w:r>
    </w:p>
    <w:p>
      <w:pPr>
        <w:spacing w:before="0" w:after="0" w:line="360" w:lineRule="auto"/>
        <w:jc w:val="center"/>
        <w:rPr>
          <w:b/>
        </w:rPr>
      </w:pPr>
      <w:r>
        <w:rPr>
          <w:rFonts w:ascii="Verdana" w:hAnsi="Verdana" w:cs="Verdana"/>
          <w:sz w:val="22"/>
          <w:szCs w:val="22"/>
          <w:b/>
        </w:rPr>
        <w:t xml:space="preserve">Flávia Dyandra da Silva</w:t>
      </w:r>
    </w:p>
    <w:p>
      <w:pPr>
        <w:spacing w:before="0" w:after="0" w:line="360" w:lineRule="auto"/>
        <w:jc w:val="center"/>
        <w:rPr>
          <w:b/>
        </w:rPr>
      </w:pPr>
      <w:r>
        <w:rPr>
          <w:rFonts w:ascii="Verdana" w:hAnsi="Verdana" w:cs="Verdana"/>
          <w:sz w:val="22"/>
          <w:szCs w:val="22"/>
          <w:b/>
        </w:rPr>
        <w:t xml:space="preserve">OAB/SP 352.455</w:t>
      </w:r>
    </w:p>
    <w:p>
      <w:pPr>
        <w:spacing w:before="0" w:after="0" w:line="360" w:lineRule="auto"/>
        <w:jc w:val="center"/>
        <w:rPr>
          <w:b/>
        </w:rPr>
      </w:pPr>
      <w:r>
        <w:rPr>
          <w:rFonts w:ascii="Verdana" w:hAnsi="Verdana" w:cs="Verdana"/>
          <w:sz w:val="22"/>
          <w:szCs w:val="22"/>
          <w:b/>
        </w:rPr>
        <w:t xml:space="preserve">Regiane de Oliveira</w:t>
      </w:r>
    </w:p>
    <w:p>
      <w:pPr>
        <w:spacing w:before="0" w:after="0" w:line="360" w:lineRule="auto"/>
        <w:jc w:val="center"/>
        <w:rPr>
          <w:b/>
        </w:rPr>
      </w:pPr>
      <w:r>
        <w:rPr>
          <w:rFonts w:ascii="Verdana" w:hAnsi="Verdana" w:cs="Verdana"/>
          <w:sz w:val="22"/>
          <w:szCs w:val="22"/>
          <w:b/>
        </w:rPr>
        <w:t xml:space="preserve">OAB/SP 429.472</w:t>
      </w:r>
    </w:p>
    <w:sectPr>
      <w:headerReference r:id="rId7" w:type="default"/>
      <w:pgSz w:h="16838" w:w="11906" w:orient="portrait"/>
      <w:pgMar w:bottom="1701"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-1069501</wp:posOffset>
          </wp:positionH>
          <wp:positionV relativeFrom="paragraph">
            <wp:posOffset>-375786</wp:posOffset>
          </wp:positionV>
          <wp:extent cx="7549116" cy="106750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49116" cy="106750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pPr>
    <w:rPr>
      <w:rFonts w:ascii="Verdana" w:cs="Verdana" w:eastAsia="Verdana" w:hAnsi="Verdana"/>
      <w:b w:val="0"/>
      <w:bCs w:val="0"/>
      <w:i w:val="0"/>
      <w:iCs w:val="0"/>
      <w:smallCaps w:val="0"/>
      <w:strike w:val="0"/>
      <w:color w:val="2f5496"/>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1"/>
      <w:iCs w:val="1"/>
      <w:smallCaps w:val="0"/>
      <w:strike w:val="0"/>
      <w:color w:val="2f5496"/>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0"/>
      <w:iCs w:val="0"/>
      <w:smallCaps w:val="0"/>
      <w:strike w:val="0"/>
      <w:color w:val="2f549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8.00000000000006" w:lineRule="auto"/>
      <w:ind w:left="0" w:right="0" w:firstLine="0"/>
      <w:jc w:val="left"/>
    </w:pPr>
    <w:rPr>
      <w:rFonts w:ascii="Verdana" w:cs="Verdana" w:eastAsia="Verdana" w:hAnsi="Verdana"/>
      <w:b w:val="0"/>
      <w:bCs w:val="0"/>
      <w:i w:val="1"/>
      <w:iCs w:val="1"/>
      <w:smallCaps w:val="0"/>
      <w:strike w:val="0"/>
      <w:color w:val="595959"/>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Verdana" w:cs="Verdana" w:eastAsia="Verdana" w:hAnsi="Verdana"/>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9F5B37"/>
    <w:tblPr>
      <w:tblCellMar>
        <w:top w:w="100.0" w:type="dxa"/>
        <w:left w:w="100.0" w:type="dxa"/>
        <w:bottom w:w="100.0" w:type="dxa"/>
        <w:right w:w="100.0" w:type="dxa"/>
      </w:tblCellMar>
    </w:tblPr>
  </w:style>
  <w:style w:type="paragraph" w:styleId="normal0" w:customStyle="1">
    <w:name w:val="normal"/>
    <w:rsid w:val="009F5B37"/>
  </w:style>
  <w:style w:type="paragraph" w:styleId="Cabealho">
    <w:name w:val="header"/>
    <w:basedOn w:val="Normal"/>
    <w:link w:val="CabealhoChar"/>
    <w:uiPriority w:val="99"/>
    <w:semiHidden w:val="1"/>
    <w:unhideWhenUsed w:val="1"/>
    <w:rsid w:val="00CD20DC"/>
    <w:pPr>
      <w:tabs>
        <w:tab w:val="center" w:pos="4252"/>
        <w:tab w:val="right" w:pos="8504"/>
      </w:tabs>
      <w:spacing w:after="0" w:line="240" w:lineRule="auto"/>
    </w:pPr>
  </w:style>
  <w:style w:type="character" w:styleId="CabealhoChar" w:customStyle="1">
    <w:name w:val="Cabeçalho Char"/>
    <w:basedOn w:val="Fontepargpadro"/>
    <w:link w:val="Cabealho"/>
    <w:uiPriority w:val="99"/>
    <w:semiHidden w:val="1"/>
    <w:rsid w:val="00CD20DC"/>
  </w:style>
  <w:style w:type="paragraph" w:styleId="Rodap">
    <w:name w:val="footer"/>
    <w:basedOn w:val="Normal"/>
    <w:link w:val="RodapChar"/>
    <w:uiPriority w:val="99"/>
    <w:semiHidden w:val="1"/>
    <w:unhideWhenUsed w:val="1"/>
    <w:rsid w:val="00CD20DC"/>
    <w:pPr>
      <w:tabs>
        <w:tab w:val="center" w:pos="4252"/>
        <w:tab w:val="right" w:pos="8504"/>
      </w:tabs>
      <w:spacing w:after="0" w:line="240" w:lineRule="auto"/>
    </w:pPr>
  </w:style>
  <w:style w:type="character" w:styleId="RodapChar" w:customStyle="1">
    <w:name w:val="Rodapé Char"/>
    <w:basedOn w:val="Fontepargpadro"/>
    <w:link w:val="Rodap"/>
    <w:uiPriority w:val="99"/>
    <w:semiHidden w:val="1"/>
    <w:rsid w:val="00CD20DC"/>
  </w:style>
  <w:style w:type="paragraph" w:styleId="isselectedend" w:customStyle="1">
    <w:name w:val="isselectedend"/>
    <w:basedOn w:val="Normal"/>
    <w:rsid w:val="000B373D"/>
    <w:pPr>
      <w:spacing w:after="100" w:afterAutospacing="1" w:before="100" w:beforeAutospacing="1" w:line="240" w:lineRule="auto"/>
    </w:pPr>
    <w:rPr>
      <w:rFonts w:ascii="Times New Roman" w:cs="Times New Roman" w:eastAsia="Times New Roman" w:hAnsi="Times New Roman"/>
    </w:rPr>
  </w:style>
  <w:style w:type="paragraph" w:styleId="NormalWeb">
    <w:name w:val="Normal (Web)"/>
    <w:basedOn w:val="Normal"/>
    <w:uiPriority w:val="99"/>
    <w:semiHidden w:val="1"/>
    <w:unhideWhenUsed w:val="1"/>
    <w:rsid w:val="000B373D"/>
    <w:pPr>
      <w:spacing w:after="100" w:afterAutospacing="1" w:before="100" w:beforeAutospacing="1" w:line="240" w:lineRule="auto"/>
    </w:pPr>
    <w:rPr>
      <w:rFonts w:ascii="Times New Roman" w:cs="Times New Roman" w:eastAsia="Times New Roman" w:hAnsi="Times New Roman"/>
    </w:rPr>
  </w:style>
  <w:style w:type="paragraph" w:styleId="MdSpace" w:customStyle="1">
    <w:name w:val="MdSpace"/>
    <w:qFormat w:val="1"/>
    <w:rsid w:val="00D97B7D"/>
    <w:pPr>
      <w:spacing w:after="0" w:line="240" w:lineRule="auto"/>
    </w:pPr>
    <w:rPr>
      <w:rFonts w:ascii="Times New Roman" w:cs="Times New Roman" w:eastAsia="Times New Roman" w:hAnsi="Times New Roman"/>
      <w:sz w:val="12"/>
      <w:szCs w:val="12"/>
    </w:rPr>
  </w:style>
  <w:style w:type="paragraph" w:styleId="MdHr" w:customStyle="1">
    <w:name w:val="MdHr"/>
    <w:qFormat w:val="1"/>
    <w:rsid w:val="00D97B7D"/>
    <w:pPr>
      <w:pBdr>
        <w:bottom w:color="a5a5a5" w:space="1" w:sz="1" w:val="single"/>
      </w:pBdr>
      <w:spacing w:after="240" w:before="240" w:line="240" w:lineRule="auto"/>
    </w:pPr>
    <w:rPr>
      <w:rFonts w:ascii="Times New Roman" w:cs="Times New Roman" w:eastAsia="Times New Roman" w:hAnsi="Times New Roman"/>
    </w:rPr>
  </w:style>
  <w:style w:type="paragraph" w:styleId="MdBlockquote" w:customStyle="1">
    <w:name w:val="MdBlockquote"/>
    <w:qFormat w:val="1"/>
    <w:rsid w:val="00D97B7D"/>
    <w:pPr>
      <w:pBdr>
        <w:left w:color="a5a5a5" w:space="12" w:sz="20" w:val="single"/>
      </w:pBdr>
      <w:spacing w:after="200" w:before="200" w:line="240" w:lineRule="auto"/>
      <w:ind w:left="360"/>
    </w:pPr>
    <w:rPr>
      <w:rFonts w:ascii="Times New Roman" w:cs="Times New Roman" w:eastAsia="Times New Roman" w:hAnsi="Times New Roman"/>
      <w:i w:val="1"/>
      <w:iCs w:val="1"/>
      <w:color w:val="666666"/>
    </w:rPr>
  </w:style>
  <w:style w:type="paragraph" w:styleId="MdParagraph" w:customStyle="1">
    <w:name w:val="MdParagraph"/>
    <w:qFormat w:val="1"/>
    <w:rsid w:val="00D97B7D"/>
    <w:pPr>
      <w:spacing w:after="120" w:before="120" w:line="240" w:lineRule="auto"/>
    </w:pPr>
    <w:rPr>
      <w:rFonts w:ascii="Times New Roman" w:cs="Times New Roman" w:eastAsia="Times New Roman" w:hAnsi="Times New Roman"/>
    </w:rPr>
  </w:style>
  <w:style w:type="paragraph" w:styleId="MdHeading2" w:customStyle="1">
    <w:name w:val="MdHeading2"/>
    <w:qFormat w:val="1"/>
    <w:rsid w:val="00D97B7D"/>
    <w:pPr>
      <w:keepNext w:val="1"/>
      <w:spacing w:after="200" w:before="400" w:line="240" w:lineRule="auto"/>
      <w:outlineLvl w:val="1"/>
    </w:pPr>
    <w:rPr>
      <w:rFonts w:ascii="Times New Roman" w:cs="Times New Roman" w:eastAsia="Times New Roman" w:hAnsi="Times New Roman"/>
      <w:b w:val="1"/>
      <w:bCs w:val="1"/>
      <w:sz w:val="32"/>
      <w:szCs w:val="32"/>
    </w:rPr>
  </w:style>
  <w:style w:type="character" w:styleId="MdStrong" w:customStyle="1">
    <w:name w:val="MdStrong"/>
    <w:uiPriority w:val="99"/>
    <w:unhideWhenUsed w:val="1"/>
    <w:qFormat w:val="1"/>
    <w:rsid w:val="00D97B7D"/>
    <w:rPr>
      <w:b w:val="1"/>
      <w:bCs w:val="1"/>
    </w:rPr>
  </w:style>
  <w:style w:type="paragraph" w:styleId="Textodebalo">
    <w:name w:val="Balloon Text"/>
    <w:basedOn w:val="Normal"/>
    <w:link w:val="TextodebaloChar"/>
    <w:uiPriority w:val="99"/>
    <w:semiHidden w:val="1"/>
    <w:unhideWhenUsed w:val="1"/>
    <w:rsid w:val="00D97B7D"/>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D97B7D"/>
    <w:rPr>
      <w:rFonts w:ascii="Tahoma" w:cs="Tahoma" w:hAnsi="Tahoma"/>
      <w:sz w:val="16"/>
      <w:szCs w:val="16"/>
    </w:rPr>
  </w:style>
  <w:style w:type="character" w:styleId="italic" w:customStyle="1">
    <w:name w:val="italic"/>
    <w:basedOn w:val="Fontepargpadro"/>
    <w:rsid w:val="001B065C"/>
  </w:style>
  <w:style w:type="character" w:styleId="font-600" w:customStyle="1">
    <w:name w:val="font-[600]"/>
    <w:basedOn w:val="Fontepargpadro"/>
    <w:rsid w:val="001B065C"/>
  </w:style>
  <w:style w:type="character" w:styleId="helvetica" w:customStyle="1">
    <w:name w:val="helvetica"/>
    <w:basedOn w:val="Fontepargpadro"/>
    <w:rsid w:val="001B065C"/>
  </w:style>
  <w:style w:type="character" w:styleId="flex-1" w:customStyle="1">
    <w:name w:val="flex-1"/>
    <w:basedOn w:val="Fontepargpadro"/>
    <w:rsid w:val="001B065C"/>
  </w:style>
  <w:style w:type="character" w:styleId="katex-mathml" w:customStyle="1">
    <w:name w:val="katex-mathml"/>
    <w:basedOn w:val="Fontepargpadro"/>
    <w:rsid w:val="001B065C"/>
  </w:style>
  <w:style w:type="character" w:styleId="mord" w:customStyle="1">
    <w:name w:val="mord"/>
    <w:basedOn w:val="Fontepargpadro"/>
    <w:rsid w:val="001B065C"/>
  </w:style>
  <w:style w:type="character" w:styleId="mpunct" w:customStyle="1">
    <w:name w:val="mpunct"/>
    <w:basedOn w:val="Fontepargpadro"/>
    <w:rsid w:val="001B065C"/>
  </w:style>
  <w:style w:type="character" w:styleId="mbin" w:customStyle="1">
    <w:name w:val="mbin"/>
    <w:basedOn w:val="Fontepargpadro"/>
    <w:rsid w:val="001B065C"/>
  </w:style>
  <w:style w:type="character" w:styleId="mclose" w:customStyle="1">
    <w:name w:val="mclose"/>
    <w:basedOn w:val="Fontepargpadro"/>
    <w:rsid w:val="001B065C"/>
  </w:style>
  <w:style w:type="character" w:styleId="mopen" w:customStyle="1">
    <w:name w:val="mopen"/>
    <w:basedOn w:val="Fontepargpadro"/>
    <w:rsid w:val="001B065C"/>
  </w:style>
  <w:style w:type="character" w:styleId="mrel" w:customStyle="1">
    <w:name w:val="mrel"/>
    <w:basedOn w:val="Fontepargpadro"/>
    <w:rsid w:val="001B065C"/>
  </w:style>
  <w:style w:type="paragraph" w:styleId="PargrafodaLista">
    <w:name w:val="List Paragraph"/>
    <w:basedOn w:val="Normal"/>
    <w:uiPriority w:val="34"/>
    <w:qFormat w:val="1"/>
    <w:rsid w:val="001B065C"/>
    <w:pPr>
      <w:ind w:left="720"/>
      <w:contextualSpacing w:val="1"/>
    </w:pPr>
  </w:style>
  <w:style w:type="paragraph" w:styleId="pdq2pgselectionanchorcontainer" w:customStyle="1">
    <w:name w:val="pdq2pg_selectionanchorcontainer"/>
    <w:basedOn w:val="Normal"/>
    <w:rsid w:val="008E28DC"/>
    <w:pPr>
      <w:spacing w:after="100" w:afterAutospacing="1" w:before="100" w:beforeAutospacing="1" w:line="240" w:lineRule="auto"/>
    </w:pPr>
    <w:rPr>
      <w:rFonts w:ascii="Times New Roman" w:cs="Times New Roman" w:eastAsia="Times New Roman" w:hAnsi="Times New Roman"/>
    </w:rPr>
  </w:style>
  <w:style w:type="character" w:styleId="Forte">
    <w:name w:val="Strong"/>
    <w:basedOn w:val="Fontepargpadro"/>
    <w:uiPriority w:val="22"/>
    <w:qFormat w:val="1"/>
    <w:rsid w:val="008E28DC"/>
    <w:rPr>
      <w:b w:val="1"/>
      <w:bCs w:val="1"/>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Verdana" w:cs="Verdana" w:eastAsia="Verdana" w:hAnsi="Verdana"/>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cLZKFaHgtNniibYRy/Oq3yodA==">CgMxLjA4AHIhMWxrT2FPRlg2bTNhcXpBLU1mU09zbEZDMFdjWHE0bGQ3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2026-08-28T18:38:00Z</dcterms:created>
  <dc:creator>ADVOCACIA PASCOAL 1</dc:creator>
</cp:coreProperties>
</file>