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360" w:lineRule="auto"/>
        <w:jc w:val="both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EXCELENTÍSSIMA SENHORA DOUTORA JUÍZA DO TRABALHO DO CON2 - CAMPINAS-SP</w:t>
      </w:r>
    </w:p>
    <w:p>
      <w:pPr>
        <w:spacing w:before="0" w:after="0" w:line="360" w:lineRule="auto"/>
        <w:jc w:val="both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PROCESSO Nº 0012041-93.2025.5.15.0126</w:t>
      </w:r>
    </w:p>
    <w:p>
      <w:pPr>
        <w:spacing w:before="0" w:after="0" w:line="360" w:lineRule="auto"/>
        <w:jc w:val="both"/>
      </w:pP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DANIEL DE LIMA</w:t>
      </w:r>
      <w:r>
        <w:rPr>
          <w:rFonts w:ascii="Verdana" w:hAnsi="Verdana" w:cs="Verdana"/>
          <w:sz w:val="22"/>
          <w:szCs w:val="22"/>
        </w:rPr>
        <w:t xml:space="preserve">, reclamante já qualificado nos autos, vem à presença de Vossa Excelência, por seus advogados, invocando o disposto no art. 897-A da CLT, oferecer </w:t>
      </w:r>
      <w:r>
        <w:rPr>
          <w:rFonts w:ascii="Verdana" w:hAnsi="Verdana" w:cs="Verdana"/>
          <w:sz w:val="22"/>
          <w:szCs w:val="22"/>
          <w:b/>
        </w:rPr>
        <w:t xml:space="preserve">EMBARGOS DE DECLARAÇÃO</w:t>
      </w:r>
      <w:r>
        <w:rPr>
          <w:rFonts w:ascii="Verdana" w:hAnsi="Verdana" w:cs="Verdana"/>
          <w:sz w:val="22"/>
          <w:szCs w:val="22"/>
        </w:rPr>
        <w:t xml:space="preserve"> em face da r. sentença de Id. cace77c, pelos motivos que se passa a expor: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OMISSÃO QUANTO À INTEGRAÇÃO DO TEMPO DE ESPERA NO DISPOSITIVO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r. sentença enfrentou o tema do tempo de espera e acolheu a pretensão obreira, consignando que os períodos registrados sob essa rubrica “devem ser considerados como tempo à disposição do empregador e integrar a jornada de trabalho para todos os efeitos legais”.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Ao encerrar o capítulo seguinte, a decisão reiterou que julgava procedente o pedido de horas extras “e tempo de espera”.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Todavia, com o devido respeito, há omissão no julgado.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Isso porque o dispositivo, ao relacionar as parcelas objeto de condenação, limitou-se a deferir as horas extras “assim consideradas as acima da 8ª diária e 44ª semanal”, </w:t>
      </w:r>
      <w:r>
        <w:rPr>
          <w:rFonts w:ascii="Verdana" w:hAnsi="Verdana" w:cs="Verdana"/>
          <w:sz w:val="22"/>
          <w:szCs w:val="22"/>
          <w:b/>
        </w:rPr>
        <w:t xml:space="preserve">sem qualquer menção ao tempo de espera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distinção não é redacional. Os espelhos de ponto juntados pela própria reclamada (Id. cc34d73) possuem </w:t>
      </w:r>
      <w:r>
        <w:rPr>
          <w:rFonts w:ascii="Verdana" w:hAnsi="Verdana" w:cs="Verdana"/>
          <w:sz w:val="22"/>
          <w:szCs w:val="22"/>
          <w:b/>
        </w:rPr>
        <w:t xml:space="preserve">coluna própria e apartada denominada “Espera” e “Espera Not”</w:t>
      </w:r>
      <w:r>
        <w:rPr>
          <w:rFonts w:ascii="Verdana" w:hAnsi="Verdana" w:cs="Verdana"/>
          <w:sz w:val="22"/>
          <w:szCs w:val="22"/>
        </w:rPr>
        <w:t xml:space="preserve">, segregada das colunas “Extra 50%”, “Extra 100%” e respectivas noturnas. Vale dizer: a empregadora lançou essas horas em rubrica autônoma e não as computou como jornada extraordinária.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prova oral admitida nestes autos confirma o ponto de forma incontroversa. A testemunha da própria reclamada, Sra. Gabriela Oliveira Boina, coordenadora de jornada, declarou “que até 25/10/2024 o tempo registrado nessa macro era considerado tempo de espera” e </w:t>
      </w:r>
      <w:r>
        <w:rPr>
          <w:rFonts w:ascii="Verdana" w:hAnsi="Verdana" w:cs="Verdana"/>
          <w:sz w:val="22"/>
          <w:szCs w:val="22"/>
          <w:b/>
        </w:rPr>
        <w:t xml:space="preserve">“que após 25/10/2024 o tempo de espera passou a integrar a jornada de trabalho do motorista”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contrato do reclamante vigorou de 21/11/2023 a 19/09/2025. </w:t>
      </w:r>
      <w:r>
        <w:rPr>
          <w:rFonts w:ascii="Verdana" w:hAnsi="Verdana" w:cs="Verdana"/>
          <w:sz w:val="22"/>
          <w:szCs w:val="22"/>
          <w:b/>
        </w:rPr>
        <w:t xml:space="preserve">Há, portanto, aproximadamente onze meses de contrato em que o tempo de espera, por admissão da preposta técnica da ré, não integrava a jornada de trabalho.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se pretende, por meio destes embargos, rediscutir o mérito da causa ou inovar argumentos. O vício apontado consiste na ausência, no dispositivo, de parcela expressamente deferida na fundamentação, capaz de ser esvaziada em liquidação.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Requer-se, portanto, que Vossa Excelência sane a omissão apontada, integrando o dispositivo para que dele conste, expressamente, que os períodos anotados sob a rubrica “espera” nos controles de jornada integram a jornada de trabalho e devem ser somados às horas efetivamente trabalhadas na apuração das horas extras deferidas.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OMISSÃO QUANTO AOS DEPOIMENTOS DAS TESTEMUNHAS ADMITIDOS COMO PROVA EMPRESTADA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Em audiência de instrução (Id. 6e793fe), as partes acordaram a utilização, como prova emprestada, dos </w:t>
      </w:r>
      <w:r>
        <w:rPr>
          <w:rFonts w:ascii="Verdana" w:hAnsi="Verdana" w:cs="Verdana"/>
          <w:sz w:val="22"/>
          <w:szCs w:val="22"/>
          <w:b/>
        </w:rPr>
        <w:t xml:space="preserve">depoimentos das testemunhas</w:t>
      </w:r>
      <w:r>
        <w:rPr>
          <w:rFonts w:ascii="Verdana" w:hAnsi="Verdana" w:cs="Verdana"/>
          <w:sz w:val="22"/>
          <w:szCs w:val="22"/>
        </w:rPr>
        <w:t xml:space="preserve"> colhidos no processo 0010563-16.2026.5.15.0126, tendo a Secretaria providenciado a juntada da respectiva degravação (Id. 79ff1f1).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r. sentença, ao apreciar os capítulos das comissões e da jornada de trabalho, fundamentou-se </w:t>
      </w:r>
      <w:r>
        <w:rPr>
          <w:rFonts w:ascii="Verdana" w:hAnsi="Verdana" w:cs="Verdana"/>
          <w:sz w:val="22"/>
          <w:szCs w:val="22"/>
          <w:b/>
        </w:rPr>
        <w:t xml:space="preserve">exclusivamente no depoimento pessoal do autor daquele feito</w:t>
      </w:r>
      <w:r>
        <w:rPr>
          <w:rFonts w:ascii="Verdana" w:hAnsi="Verdana" w:cs="Verdana"/>
          <w:sz w:val="22"/>
          <w:szCs w:val="22"/>
        </w:rPr>
        <w:t xml:space="preserve">, e em nenhum momento se manifestou sobre os depoimentos das testemunhas — que constituíam, precisamente, o objeto do acordo processual celebrado.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Todavia, com o devido respeito, há omissão no julgado.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testemunha Marcelo Augusto Marcelino, motorista que trabalhou com o reclamante, declarou </w:t>
      </w:r>
      <w:r>
        <w:rPr>
          <w:rFonts w:ascii="Verdana" w:hAnsi="Verdana" w:cs="Verdana"/>
          <w:sz w:val="22"/>
          <w:szCs w:val="22"/>
          <w:b/>
        </w:rPr>
        <w:t xml:space="preserve">“que as anotações não estavam corretas pois muitas vezes faltavam horas trabalhadas”</w:t>
      </w:r>
      <w:r>
        <w:rPr>
          <w:rFonts w:ascii="Verdana" w:hAnsi="Verdana" w:cs="Verdana"/>
          <w:sz w:val="22"/>
          <w:szCs w:val="22"/>
        </w:rPr>
        <w:t xml:space="preserve"> e “que reclamava dos erros, mas a empresa não apresentava respostas efetivas”.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Acrescentou, ainda, “que a jornada média era de 13h às 14h, inclusive aos sábados” e “que usufruía do intervalo de almoço apenas formalmente no registro da macro, pois continuava trabalhando na operação”.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r. sentença, contudo, concluiu no sentido diametralmente oposto, consignando que acolhia “os documentos macros juntados pela reclamada como sendo fiéis à jornada de trabalho do reclamante”, premissa extraída unicamente da afirmação, colhida em depoimento pessoal, de que o depoente informava os eventos via macro diariamente.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Uma coisa é o motorista enviar as macros; outra, inteiramente distinta, é o sistema registrar corretamente o que foi enviado. </w:t>
      </w:r>
      <w:r>
        <w:rPr>
          <w:rFonts w:ascii="Verdana" w:hAnsi="Verdana" w:cs="Verdana"/>
          <w:sz w:val="22"/>
          <w:szCs w:val="22"/>
          <w:b/>
        </w:rPr>
        <w:t xml:space="preserve">Sobre essa segunda questão — objeto de prova testemunhal expressa e admitida — a decisão não se pronunciou.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se pretende, por meio destes embargos, renovar a impugnação aos controles de jornada ou provocar nova valoração ampla da prova. O vício é objetivo: ausência de manifestação sobre prova oral que o próprio Juízo admitiu nos autos e cujo teor é incompatível com a premissa adotada.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Requer-se, portanto, que Vossa Excelência sane a omissão, manifestando-se expressamente sobre os depoimentos das testemunhas admitidos como prova emprestada, em especial sobre a declaração de que as anotações de jornada não estavam corretas e que faltavam horas trabalhadas.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Reconhecido o vício, requer-se a atribuição de efeito modificativo ao julgado, para que a apuração das horas extras não fique restrita aos registros patronais reputados fiéis.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OBSCURIDADE QUANTO AOS PARÂMETROS DE APURAÇÃO DAS HORAS EXTRAS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r. sentença deferiu as horas extras “acrescidas de 50% ou 75% sobre a hora normal, por todo o pacto”, fixando o divisor de 220 e a observância da evolução salarial e das horas efetivamente trabalhadas.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Todavia, com o devido respeito, a fórmula alternativa adotada é obscura e inviabiliza a liquidação sem nova controvérsia.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Acordo Coletivo de Trabalho 2025/2026, juntado aos autos pela própria defesa, disciplina a matéria de modo escalonado: a Cláusula Décima Oitava prevê adicional de 50% em dias úteis, de 100% em domingos e feriados não compensados e de 75% para as horas laboradas após a 10ª diária, previsão repetida no parágrafo primeiro da Cláusula Décima Quinta.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decisão, ao mencionar apenas “50% ou 75%”, não esclareceu qual percentual incide sobre as horas excedentes da 8ª até a 10ª diária, qual incide sobre as excedentes da 10ª, nem se o adicional de 100% para domingos e feriados não compensados integra a condenação — sobretudo porque os espelhos de ponto contêm colunas específicas de “Extra 100%” e “Extra 100% Not”.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Há, ainda, omissão quanto à composição da base de cálculo da hora normal.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reclamante percebia, a título de última remuneração, R$ 3.589,02, sendo R$ 2.760,79 de salário-base e </w:t>
      </w:r>
      <w:r>
        <w:rPr>
          <w:rFonts w:ascii="Verdana" w:hAnsi="Verdana" w:cs="Verdana"/>
          <w:sz w:val="22"/>
          <w:szCs w:val="22"/>
          <w:b/>
        </w:rPr>
        <w:t xml:space="preserve">R$ 828,23 de adicional de periculosidade</w:t>
      </w:r>
      <w:r>
        <w:rPr>
          <w:rFonts w:ascii="Verdana" w:hAnsi="Verdana" w:cs="Verdana"/>
          <w:sz w:val="22"/>
          <w:szCs w:val="22"/>
        </w:rPr>
        <w:t xml:space="preserve"> — parcela que correspondia a aproximadamente 30% de sua remuneração mensal.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Nos termos do item I da Súmula 132 do C. TST, o adicional de periculosidade pago em caráter permanente integra o cálculo das horas extras. O parágrafo único da Cláusula Décima Oitava do referido instrumento coletivo, contudo, dispõe em sentido oposto, excluindo o adicional de periculosidade da base de cálculo das horas extras de 50%, 75% e 100%.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Trata-se de tema controvertido nos autos sobre o qual a r. sentença </w:t>
      </w:r>
      <w:r>
        <w:rPr>
          <w:rFonts w:ascii="Verdana" w:hAnsi="Verdana" w:cs="Verdana"/>
          <w:sz w:val="22"/>
          <w:szCs w:val="22"/>
          <w:b/>
        </w:rPr>
        <w:t xml:space="preserve">não emitiu qualquer pronunciamento, nem para acolher, nem para rejeitar</w:t>
      </w:r>
      <w:r>
        <w:rPr>
          <w:rFonts w:ascii="Verdana" w:hAnsi="Verdana" w:cs="Verdana"/>
          <w:sz w:val="22"/>
          <w:szCs w:val="22"/>
        </w:rPr>
        <w:t xml:space="preserve">. Registre-se, ademais, que o referido instrumento tem vigência delimitada a 1º de maio de 2025 a 30 de abril de 2026, ao passo que o contrato vigorou de 21/11/2023 a 19/09/2025, de modo que a cláusula, ainda que reputada válida, não alcançaria a maior parte do pacto laboral.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Requer-se, assim, que Vossa Excelência sane a obscuridade e a omissão apontadas, esclarecendo: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a) qual percentual de adicional incide sobre as horas excedentes da 8ª até a 10ª diária e qual incide sobre as excedentes da 10ª diária;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b) se o adicional de 100% relativo a domingos e feriados não compensados integra a condenação;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c) se o adicional de periculosidade compõe a base de cálculo das horas extras deferidas;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d) em caso negativo, a partir de qual marco temporal se aplicaria o parágrafo único da Cláusula Décima Oitava do Acordo Coletivo de Trabalho 2025/2026.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OMISSÃO QUANTO À NATUREZA DA VERBA PAGA SOB A RUBRICA DE PRÊMIO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r. sentença julgou improcedente o pedido de integração das comissões, enquadrando a verba como prêmio, na forma do art. 457, § 4º, da CLT, ao fundamento de que seu recebimento dependia de requisitos de desempenho, conduta e segurança.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Para tanto, extraiu da prova emprestada o trecho segundo o qual o depoente “perdia o valor do referido prêmio se houvesse um pico de velocidade de 82 km/h”.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Todavia, com o devido respeito, há omissão no julgado.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Isso porque, </w:t>
      </w:r>
      <w:r>
        <w:rPr>
          <w:rFonts w:ascii="Verdana" w:hAnsi="Verdana" w:cs="Verdana"/>
          <w:sz w:val="22"/>
          <w:szCs w:val="22"/>
          <w:b/>
        </w:rPr>
        <w:t xml:space="preserve">no mesmo depoimento e imediatamente antes do trecho transcrito na r. sentença</w:t>
      </w:r>
      <w:r>
        <w:rPr>
          <w:rFonts w:ascii="Verdana" w:hAnsi="Verdana" w:cs="Verdana"/>
          <w:sz w:val="22"/>
          <w:szCs w:val="22"/>
        </w:rPr>
        <w:t xml:space="preserve">, consta afirmação de sentido diametralmente oposto, que não foi objeto de qualquer consideração: “que recebia um bônus por viagens que a Ademir Comércio de Veículos e Transportadora Ltda chamava de prêmio, </w:t>
      </w:r>
      <w:r>
        <w:rPr>
          <w:rFonts w:ascii="Verdana" w:hAnsi="Verdana" w:cs="Verdana"/>
          <w:sz w:val="22"/>
          <w:szCs w:val="22"/>
          <w:b/>
        </w:rPr>
        <w:t xml:space="preserve">mas que na verdade consistia em comissão pelas viagens realizadas</w:t>
      </w:r>
      <w:r>
        <w:rPr>
          <w:rFonts w:ascii="Verdana" w:hAnsi="Verdana" w:cs="Verdana"/>
          <w:sz w:val="22"/>
          <w:szCs w:val="22"/>
        </w:rPr>
        <w:t xml:space="preserve">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 mesmo sentido, a testemunha Marcelo Augusto Marcelino declarou “que recebia comissão por descarga baseada no valor do CCDS” e </w:t>
      </w:r>
      <w:r>
        <w:rPr>
          <w:rFonts w:ascii="Verdana" w:hAnsi="Verdana" w:cs="Verdana"/>
          <w:sz w:val="22"/>
          <w:szCs w:val="22"/>
          <w:b/>
        </w:rPr>
        <w:t xml:space="preserve">“que os valores pagos muitas vezes não coincidiam com as descargas efetivamente realizadas”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Também não foram enfrentados os elementos articulados na inicial que convergem no mesmo sentido: o pagamento de valor fixo de R$ 20,00 por viagem realizada, a média de 20 a 30 viagens mensais e o montante mensal resultante de aproximadamente R$ 400,00 a R$ 600,00, pagos habitualmente durante todo o contrato.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Da mesma forma, restou sem pronunciamento o § 1º do art. 457 da CLT, expressamente invocado na peça de ingresso, segundo o qual integram o salário as comissões pagas pelo empregador.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habitualidade do pagamento e sua vinculação a evento certo e mensurável — a viagem realizada e a descarga efetuada — são precisamente os elementos que distinguem a comissão do prêmio. </w:t>
      </w:r>
      <w:r>
        <w:rPr>
          <w:rFonts w:ascii="Verdana" w:hAnsi="Verdana" w:cs="Verdana"/>
          <w:sz w:val="22"/>
          <w:szCs w:val="22"/>
          <w:b/>
        </w:rPr>
        <w:t xml:space="preserve">A circunstância de a verba estar sujeita a condições de desempenho não foi confrontada com a prova de que o pagamento decorria da viagem executada.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se pretende, por meio destes embargos, rediscutir o mérito da causa ou inovar argumentos. O vício consiste na ausência de manifestação sobre prova produzida nos autos e sobre fundamento legal deduzido na inicial, ambos capazes de alterar o resultado do julgamento.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Requer-se, portanto, que Vossa Excelência sane a omissão, manifestando-se expressamente sobre a prova de que a verba denominada “prêmio” consistia em comissão pelas viagens realizadas e sobre a incidência do art. 457, § 1º, da CLT.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Reconhecido o vício, requer-se a atribuição de efeito modificativo ao julgado, para que seja deferida a integração da parcela ao salário, com os reflexos postulados na inicial.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OMISSÃO QUANTO À PROVA ORAL SOBRE A MANUTENÇÃO DOS VEÍCULOS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Ao rejeitar o pedido de indenização por danos morais, a r. sentença consignou que “não foi comprovada a recusa patronal de manutenção mecânica ou a exposição do reclamante a perigo concreto derivado de falhas em freios ou pneus”.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Todavia, com o devido respeito, a afirmação de inexistência de prova não se harmoniza com o acervo probatório dos autos.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testemunha Marcelo Augusto Marcelino declarou </w:t>
      </w:r>
      <w:r>
        <w:rPr>
          <w:rFonts w:ascii="Verdana" w:hAnsi="Verdana" w:cs="Verdana"/>
          <w:sz w:val="22"/>
          <w:szCs w:val="22"/>
          <w:b/>
        </w:rPr>
        <w:t xml:space="preserve">“que as condições de manutenção eram muito precárias”</w:t>
      </w:r>
      <w:r>
        <w:rPr>
          <w:rFonts w:ascii="Verdana" w:hAnsi="Verdana" w:cs="Verdana"/>
          <w:sz w:val="22"/>
          <w:szCs w:val="22"/>
        </w:rPr>
        <w:t xml:space="preserve">, “que relatava os problemas do veículo, mas havia resistência da empresa em realizar os reparos devido à necessidade de cumprir a programação” e </w:t>
      </w:r>
      <w:r>
        <w:rPr>
          <w:rFonts w:ascii="Verdana" w:hAnsi="Verdana" w:cs="Verdana"/>
          <w:sz w:val="22"/>
          <w:szCs w:val="22"/>
          <w:b/>
        </w:rPr>
        <w:t xml:space="preserve">“que era compelido a realizar entregas mesmo com o caminhão em condições inadequadas”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 mesmo sentido, a prova emprestada registra declaração de que os caminhões eram “de anos novos, porém com manutenção zero e em condições precárias”, sendo necessário “brigar com os setores de manutenção e de programação pois os caminhões tinham </w:t>
      </w:r>
      <w:r>
        <w:rPr>
          <w:rFonts w:ascii="Verdana" w:hAnsi="Verdana" w:cs="Verdana"/>
          <w:sz w:val="22"/>
          <w:szCs w:val="22"/>
          <w:b/>
        </w:rPr>
        <w:t xml:space="preserve">pneus carecas, problemas nos freios</w:t>
      </w:r>
      <w:r>
        <w:rPr>
          <w:rFonts w:ascii="Verdana" w:hAnsi="Verdana" w:cs="Verdana"/>
          <w:sz w:val="22"/>
          <w:szCs w:val="22"/>
        </w:rPr>
        <w:t xml:space="preserve"> e lanternas queimadas”.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Observe-se que a prova menciona nominalmente os dois exatos elementos que a r. sentença reputou não comprovados — falhas em </w:t>
      </w:r>
      <w:r>
        <w:rPr>
          <w:rFonts w:ascii="Verdana" w:hAnsi="Verdana" w:cs="Verdana"/>
          <w:sz w:val="22"/>
          <w:szCs w:val="22"/>
          <w:b/>
        </w:rPr>
        <w:t xml:space="preserve">freios</w:t>
      </w:r>
      <w:r>
        <w:rPr>
          <w:rFonts w:ascii="Verdana" w:hAnsi="Verdana" w:cs="Verdana"/>
          <w:sz w:val="22"/>
          <w:szCs w:val="22"/>
        </w:rPr>
        <w:t xml:space="preserve"> e em </w:t>
      </w:r>
      <w:r>
        <w:rPr>
          <w:rFonts w:ascii="Verdana" w:hAnsi="Verdana" w:cs="Verdana"/>
          <w:sz w:val="22"/>
          <w:szCs w:val="22"/>
          <w:b/>
        </w:rPr>
        <w:t xml:space="preserve">pneus</w:t>
      </w:r>
      <w:r>
        <w:rPr>
          <w:rFonts w:ascii="Verdana" w:hAnsi="Verdana" w:cs="Verdana"/>
          <w:sz w:val="22"/>
          <w:szCs w:val="22"/>
        </w:rPr>
        <w:t xml:space="preserve"> — e descreve a recusa patronal, na medida em que consigna a resistência da empresa em realizar os reparos e a imposição de seguir viagem em condições inadequadas.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se busca, neste momento, definir se essa prova conduz necessariamente à procedência do pedido. </w:t>
      </w:r>
      <w:r>
        <w:rPr>
          <w:rFonts w:ascii="Verdana" w:hAnsi="Verdana" w:cs="Verdana"/>
          <w:sz w:val="22"/>
          <w:szCs w:val="22"/>
          <w:b/>
        </w:rPr>
        <w:t xml:space="preserve">O vício consiste em afirmar a inexistência de prova sobre fato a respeito do qual há prova oral expressa e admitida nos autos, sem valorá-la nem rejeitá-la fundamentadamente.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Requer-se, portanto, que Vossa Excelência sane a omissão, esclarecendo: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a) se foram considerados os depoimentos acima transcritos;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b) por qual razão entendeu não comprovada a recusa patronal de manutenção, diante de tais declarações.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Reconhecido o vício, requer-se a atribuição de efeito modificativo ao julgado, para que o pedido de indenização por danos morais seja reapreciado à luz da prova oral produzida.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OMISSÃO NO DISPOSITIVO QUANTO AO ITEM II E À DESISTÊNCIA HOMOLOGADA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dispositivo da r. sentença apresenta a seguinte sequência de itens: I, III, IV e V, </w:t>
      </w:r>
      <w:r>
        <w:rPr>
          <w:rFonts w:ascii="Verdana" w:hAnsi="Verdana" w:cs="Verdana"/>
          <w:sz w:val="22"/>
          <w:szCs w:val="22"/>
          <w:b/>
        </w:rPr>
        <w:t xml:space="preserve">inexistindo item II</w:t>
      </w:r>
      <w:r>
        <w:rPr>
          <w:rFonts w:ascii="Verdana" w:hAnsi="Verdana" w:cs="Verdana"/>
          <w:sz w:val="22"/>
          <w:szCs w:val="22"/>
        </w:rPr>
        <w:t xml:space="preserve">, tanto na via lançada nos autos quanto na cópia reproduzida na intimação de Id. ced65b5.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Da falha decorrem duas consequências práticas que reclamam integração.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primeira é que o dispositivo não contém item expresso julgando improcedentes os demais pedidos formulados na inicial — integração das comissões, intervalo interjornada, feriados em dobro, dano existencial e dano moral —, os quais foram rejeitados apenas na fundamentação.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segunda é que o dispositivo não reproduz a homologação da desistência da ação em face de Petróleo Brasileiro S.A. Petrobras, com a consequente extinção do feito sem resolução de mérito quanto àquela empresa, providência que consta apenas do relatório.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Como o dispositivo é a parte da decisão que transita em julgado e delimita o título executivo, requer-se a integração do julgado para que dele constem, em item próprio, as deliberações acima referidas.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ERRO MATERIAL NA IDENTIFICAÇÃO DO RECLAMANTE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Por fim, a título de correção material, a fundamentação da r. sentença refere-se ao autor destes autos, em quatro passagens, como “o reclamante Sandro Joaquim”.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Sandro Joaquim é o autor do processo 0010563-16.2026.5.15.0126, de onde extraída a prova emprestada. </w:t>
      </w:r>
      <w:r>
        <w:rPr>
          <w:rFonts w:ascii="Verdana" w:hAnsi="Verdana" w:cs="Verdana"/>
          <w:sz w:val="22"/>
          <w:szCs w:val="22"/>
          <w:b/>
        </w:rPr>
        <w:t xml:space="preserve">O reclamante destes autos é DANIEL DE LIMA.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 a correção do erro material, a fim de que não remanesça dúvida quanto à identidade da parte beneficiária da condenação.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NECESSIDADE DE EFEITO MODIFICATIVO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Os vícios apontados não possuem caráter meramente formal.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As omissões e obscuridades recaem sobre capítulos que influenciam diretamente o resultado da demanda e a apuração do crédito: a integração do tempo de espera à jornada, os parâmetros de cálculo das horas extras, a natureza jurídica da verba paga sob a rubrica de prêmio e a indenização por danos morais.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art. 897-A da CLT autoriza a oposição de embargos de declaração diante de omissão, contradição ou manifesto equívoco no exame dos pressupostos extrínsecos do recurso. No mesmo sentido, os arts. 1.022 e seguintes do CPC admitem a utilização do presente instrumento para sanar omissão, obscuridade, contradição ou erro material.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 presente caso, o acolhimento dos embargos pode conduzir à complementação da sentença e, por consequência, à alteração do resultado do julgamento em pontos específicos. Daí a necessidade de atribuição de efeito modificativo, caso o saneamento dos vícios conduza ao reconhecimento das parcelas omitidas.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Considerando essa possibilidade, requer-se a prévia intimação das partes embargadas para, querendo, manifestarem-se no prazo legal.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CONCLUSÃO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Diante do exposto, requer o embargante a apreciação e o provimento dos presentes Embargos de Declaração, para que sejam sanadas as omissões, obscuridades e o erro material apontados, com manifestação expressa sobre todos os capítulos não apreciados em sentença.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Sanados os vícios, requer seja atribuído efeito modificativo ao julgado, caso o enfrentamento das matérias omitidas conduza à alteração do resultado do julgamento.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Nestes termos,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Pede deferimento.</w:t>
      </w:r>
    </w:p>
    <w:p>
      <w:pPr>
        <w:spacing w:before="360" w:after="360" w:line="360" w:lineRule="auto"/>
        <w:jc w:val="right"/>
      </w:pPr>
      <w:r>
        <w:rPr>
          <w:rFonts w:ascii="Verdana" w:hAnsi="Verdana" w:cs="Verdana"/>
          <w:sz w:val="22"/>
          <w:szCs w:val="22"/>
        </w:rPr>
        <w:t xml:space="preserve">Sorocaba/SP, 1º de setembro de 2026.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Regiane de Oliveira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429.472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Flávia Dyandra da Silva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352.455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Alexandre Pascoal Marques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270.924</w:t>
      </w:r>
    </w:p>
    <w:sectPr>
      <w:headerReference r:id="rId7" w:type="default"/>
      <w:pgSz w:h="16838" w:w="11906" w:orient="portrait"/>
      <w:pgMar w:bottom="1701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-1069501</wp:posOffset>
          </wp:positionH>
          <wp:positionV relativeFrom="paragraph">
            <wp:posOffset>-375786</wp:posOffset>
          </wp:positionV>
          <wp:extent cx="7549116" cy="1067508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9116" cy="106750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1"/>
      <w:iCs w:val="1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rsid w:val="009F5B37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"/>
    <w:rsid w:val="009F5B37"/>
  </w:style>
  <w:style w:type="paragraph" w:styleId="Cabealho">
    <w:name w:val="header"/>
    <w:basedOn w:val="Normal"/>
    <w:link w:val="CabealhoChar"/>
    <w:uiPriority w:val="99"/>
    <w:semiHidden w:val="1"/>
    <w:unhideWhenUsed w:val="1"/>
    <w:rsid w:val="00CD20D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 w:val="1"/>
    <w:rsid w:val="00CD20DC"/>
  </w:style>
  <w:style w:type="paragraph" w:styleId="Rodap">
    <w:name w:val="footer"/>
    <w:basedOn w:val="Normal"/>
    <w:link w:val="RodapChar"/>
    <w:uiPriority w:val="99"/>
    <w:semiHidden w:val="1"/>
    <w:unhideWhenUsed w:val="1"/>
    <w:rsid w:val="00CD20D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CD20DC"/>
  </w:style>
  <w:style w:type="paragraph" w:styleId="isselectedend" w:customStyle="1">
    <w:name w:val="isselectedend"/>
    <w:basedOn w:val="Normal"/>
    <w:rsid w:val="000B37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NormalWeb">
    <w:name w:val="Normal (Web)"/>
    <w:basedOn w:val="Normal"/>
    <w:uiPriority w:val="99"/>
    <w:semiHidden w:val="1"/>
    <w:unhideWhenUsed w:val="1"/>
    <w:rsid w:val="000B37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MdSpace" w:customStyle="1">
    <w:name w:val="MdSpace"/>
    <w:qFormat w:val="1"/>
    <w:rsid w:val="00D97B7D"/>
    <w:pPr>
      <w:spacing w:after="0" w:line="240" w:lineRule="auto"/>
    </w:pPr>
    <w:rPr>
      <w:rFonts w:ascii="Times New Roman" w:cs="Times New Roman" w:eastAsia="Times New Roman" w:hAnsi="Times New Roman"/>
      <w:sz w:val="12"/>
      <w:szCs w:val="12"/>
    </w:rPr>
  </w:style>
  <w:style w:type="paragraph" w:styleId="MdHr" w:customStyle="1">
    <w:name w:val="MdHr"/>
    <w:qFormat w:val="1"/>
    <w:rsid w:val="00D97B7D"/>
    <w:pPr>
      <w:pBdr>
        <w:bottom w:color="a5a5a5" w:space="1" w:sz="1" w:val="single"/>
      </w:pBdr>
      <w:spacing w:after="240" w:before="240" w:line="240" w:lineRule="auto"/>
    </w:pPr>
    <w:rPr>
      <w:rFonts w:ascii="Times New Roman" w:cs="Times New Roman" w:eastAsia="Times New Roman" w:hAnsi="Times New Roman"/>
    </w:rPr>
  </w:style>
  <w:style w:type="paragraph" w:styleId="MdBlockquote" w:customStyle="1">
    <w:name w:val="MdBlockquote"/>
    <w:qFormat w:val="1"/>
    <w:rsid w:val="00D97B7D"/>
    <w:pPr>
      <w:pBdr>
        <w:left w:color="a5a5a5" w:space="12" w:sz="20" w:val="single"/>
      </w:pBdr>
      <w:spacing w:after="200" w:before="200" w:line="240" w:lineRule="auto"/>
      <w:ind w:left="360"/>
    </w:pPr>
    <w:rPr>
      <w:rFonts w:ascii="Times New Roman" w:cs="Times New Roman" w:eastAsia="Times New Roman" w:hAnsi="Times New Roman"/>
      <w:i w:val="1"/>
      <w:iCs w:val="1"/>
      <w:color w:val="666666"/>
    </w:rPr>
  </w:style>
  <w:style w:type="paragraph" w:styleId="MdParagraph" w:customStyle="1">
    <w:name w:val="MdParagraph"/>
    <w:qFormat w:val="1"/>
    <w:rsid w:val="00D97B7D"/>
    <w:pPr>
      <w:spacing w:after="120" w:before="120" w:line="240" w:lineRule="auto"/>
    </w:pPr>
    <w:rPr>
      <w:rFonts w:ascii="Times New Roman" w:cs="Times New Roman" w:eastAsia="Times New Roman" w:hAnsi="Times New Roman"/>
    </w:rPr>
  </w:style>
  <w:style w:type="paragraph" w:styleId="MdHeading2" w:customStyle="1">
    <w:name w:val="MdHeading2"/>
    <w:qFormat w:val="1"/>
    <w:rsid w:val="00D97B7D"/>
    <w:pPr>
      <w:keepNext w:val="1"/>
      <w:spacing w:after="200" w:before="400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MdStrong" w:customStyle="1">
    <w:name w:val="MdStrong"/>
    <w:uiPriority w:val="99"/>
    <w:unhideWhenUsed w:val="1"/>
    <w:qFormat w:val="1"/>
    <w:rsid w:val="00D97B7D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97B7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97B7D"/>
    <w:rPr>
      <w:rFonts w:ascii="Tahoma" w:cs="Tahoma" w:hAnsi="Tahoma"/>
      <w:sz w:val="16"/>
      <w:szCs w:val="16"/>
    </w:rPr>
  </w:style>
  <w:style w:type="character" w:styleId="italic" w:customStyle="1">
    <w:name w:val="italic"/>
    <w:basedOn w:val="Fontepargpadro"/>
    <w:rsid w:val="001B065C"/>
  </w:style>
  <w:style w:type="character" w:styleId="font-600" w:customStyle="1">
    <w:name w:val="font-[600]"/>
    <w:basedOn w:val="Fontepargpadro"/>
    <w:rsid w:val="001B065C"/>
  </w:style>
  <w:style w:type="character" w:styleId="helvetica" w:customStyle="1">
    <w:name w:val="helvetica"/>
    <w:basedOn w:val="Fontepargpadro"/>
    <w:rsid w:val="001B065C"/>
  </w:style>
  <w:style w:type="character" w:styleId="flex-1" w:customStyle="1">
    <w:name w:val="flex-1"/>
    <w:basedOn w:val="Fontepargpadro"/>
    <w:rsid w:val="001B065C"/>
  </w:style>
  <w:style w:type="character" w:styleId="katex-mathml" w:customStyle="1">
    <w:name w:val="katex-mathml"/>
    <w:basedOn w:val="Fontepargpadro"/>
    <w:rsid w:val="001B065C"/>
  </w:style>
  <w:style w:type="character" w:styleId="mord" w:customStyle="1">
    <w:name w:val="mord"/>
    <w:basedOn w:val="Fontepargpadro"/>
    <w:rsid w:val="001B065C"/>
  </w:style>
  <w:style w:type="character" w:styleId="mpunct" w:customStyle="1">
    <w:name w:val="mpunct"/>
    <w:basedOn w:val="Fontepargpadro"/>
    <w:rsid w:val="001B065C"/>
  </w:style>
  <w:style w:type="character" w:styleId="mbin" w:customStyle="1">
    <w:name w:val="mbin"/>
    <w:basedOn w:val="Fontepargpadro"/>
    <w:rsid w:val="001B065C"/>
  </w:style>
  <w:style w:type="character" w:styleId="mclose" w:customStyle="1">
    <w:name w:val="mclose"/>
    <w:basedOn w:val="Fontepargpadro"/>
    <w:rsid w:val="001B065C"/>
  </w:style>
  <w:style w:type="character" w:styleId="mopen" w:customStyle="1">
    <w:name w:val="mopen"/>
    <w:basedOn w:val="Fontepargpadro"/>
    <w:rsid w:val="001B065C"/>
  </w:style>
  <w:style w:type="character" w:styleId="mrel" w:customStyle="1">
    <w:name w:val="mrel"/>
    <w:basedOn w:val="Fontepargpadro"/>
    <w:rsid w:val="001B065C"/>
  </w:style>
  <w:style w:type="paragraph" w:styleId="PargrafodaLista">
    <w:name w:val="List Paragraph"/>
    <w:basedOn w:val="Normal"/>
    <w:uiPriority w:val="34"/>
    <w:qFormat w:val="1"/>
    <w:rsid w:val="001B065C"/>
    <w:pPr>
      <w:ind w:left="720"/>
      <w:contextualSpacing w:val="1"/>
    </w:pPr>
  </w:style>
  <w:style w:type="paragraph" w:styleId="pdq2pgselectionanchorcontainer" w:customStyle="1">
    <w:name w:val="pdq2pg_selectionanchorcontainer"/>
    <w:basedOn w:val="Normal"/>
    <w:rsid w:val="008E28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Forte">
    <w:name w:val="Strong"/>
    <w:basedOn w:val="Fontepargpadro"/>
    <w:uiPriority w:val="22"/>
    <w:qFormat w:val="1"/>
    <w:rsid w:val="008E28DC"/>
    <w:rPr>
      <w:b w:val="1"/>
      <w:bCs w:val="1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cLZKFaHgtNniibYRy/Oq3yodA==">CgMxLjA4AHIhMWxrT2FPRlg2bTNhcXpBLU1mU09zbEZDMFdjWHE0bGQ3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2026-08-28T18:38:00Z</dcterms:created>
  <dc:creator>ADVOCACIA PASCOAL 1</dc:creator>
</cp:coreProperties>
</file>