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0" w:line="360" w:lineRule="auto"/>
        <w:jc w:val="both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EXCELENTÍSSIMO(A) SENHOR(A) DOUTOR(A) JUIZ(A) DA VARA DO TRABALHO DE SUZANO - SP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  <w:b/>
        </w:rPr>
        <w:t xml:space="preserve">MARCIO DOS REIS CICERO</w:t>
      </w:r>
      <w:r>
        <w:rPr>
          <w:rFonts w:ascii="Verdana" w:hAnsi="Verdana" w:cs="Verdana"/>
          <w:sz w:val="22"/>
          <w:szCs w:val="22"/>
        </w:rPr>
        <w:t xml:space="preserve">, brasileiro, casado, motorista carreteiro, nascido em 20/06/1981, filho de Abadia Maria Cícero, portador da Carteira de Identidade RG nº 39.988.516-X SSP/SP, inscrito no CPF sob o nº 056.193.746-02, PIS nº 126.81855.13-8, CTPS nº 56193, série 74602, residente e domiciliado na Rua Regino Alves de Almeida, nº 209, Fundos, Jardim Luella, Suzano/SP, CEP 08616-305, por seus advogados, conforme mandato procuratório incluso, vem perante Vossa Excelência propor </w:t>
      </w:r>
      <w:r>
        <w:rPr>
          <w:rFonts w:ascii="Verdana" w:hAnsi="Verdana" w:cs="Verdana"/>
          <w:sz w:val="22"/>
          <w:szCs w:val="22"/>
          <w:b/>
        </w:rPr>
        <w:t xml:space="preserve">RECLAMAÇÃO TRABALHISTA pelo procedimento ORDINÁRIO</w:t>
      </w:r>
      <w:r>
        <w:rPr>
          <w:rFonts w:ascii="Verdana" w:hAnsi="Verdana" w:cs="Verdana"/>
          <w:sz w:val="22"/>
          <w:szCs w:val="22"/>
        </w:rPr>
        <w:t xml:space="preserve">, em face de</w:t>
      </w:r>
    </w:p>
    <w:p>
      <w:pPr>
        <w:spacing w:before="0" w:after="0" w:line="360" w:lineRule="auto"/>
        <w:jc w:val="both"/>
      </w:pP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  <w:b/>
        </w:rPr>
        <w:t xml:space="preserve">RJ RESENDE TRANSPORTES CARGAS LTDA</w:t>
      </w:r>
      <w:r>
        <w:rPr>
          <w:rFonts w:ascii="Verdana" w:hAnsi="Verdana" w:cs="Verdana"/>
          <w:sz w:val="22"/>
          <w:szCs w:val="22"/>
        </w:rPr>
        <w:t xml:space="preserve">, pessoa jurídica de direito privado, inscrita no CNPJ sob o nº 56.211.290/0001-77, estabelecida na Rodovia BR-369, nº 152, Sala, Distrito de São Sebastião, São Francisco de Paula/MG, CEP 35543-000, pelas razões de fato e de direito que passa a expor.</w:t>
      </w:r>
    </w:p>
    <w:p>
      <w:pPr>
        <w:spacing w:before="280" w:after="20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RESUMO DAS INFORMAÇÕES PRINCIPAIS DO CONTRATO DE TRABALHO</w:t>
      </w:r>
    </w:p>
    <w:tbl>
      <w:tblPr>
        <w:tblW w:w="8662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2600"/>
        <w:gridCol w:w="6062"/>
      </w:tblGrid>
      <w:tr>
        <w:trPr>
          <w:trHeight w:val="300"/>
          <w:tblHeader/>
        </w:trPr>
        <w:tc>
          <w:tcPr>
            <w:tcW w:w="2600" w:type="dxa"/>
            <w:shd w:val="clear" w:color="000000" w:fill="D9EAF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Verdana" w:hAnsi="Verdana" w:cs="Verdana"/>
                <w:sz w:val="20"/>
                <w:szCs w:val="20"/>
                <w:b/>
              </w:rPr>
              <w:t xml:space="preserve">Informação</w:t>
            </w:r>
          </w:p>
        </w:tc>
        <w:tc>
          <w:tcPr>
            <w:tcW w:w="6062" w:type="dxa"/>
            <w:shd w:val="clear" w:color="000000" w:fill="D9EAF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Verdana" w:hAnsi="Verdana" w:cs="Verdana"/>
                <w:sz w:val="20"/>
                <w:szCs w:val="20"/>
                <w:b/>
              </w:rPr>
              <w:t xml:space="preserve">Conteúdo</w:t>
            </w:r>
          </w:p>
        </w:tc>
      </w:tr>
      <w:tr>
        <w:trPr>
          <w:trHeight w:val="300"/>
        </w:trPr>
        <w:tc>
          <w:tcPr>
            <w:tcW w:w="26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  <w:b/>
              </w:rPr>
              <w:t xml:space="preserve">Admissão real</w:t>
            </w:r>
          </w:p>
        </w:tc>
        <w:tc>
          <w:tcPr>
            <w:tcW w:w="6062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03/02/2025 — registro em CTPS somente a partir de 08/04/2025</w:t>
            </w:r>
          </w:p>
        </w:tc>
      </w:tr>
      <w:tr>
        <w:trPr>
          <w:trHeight w:val="300"/>
        </w:trPr>
        <w:tc>
          <w:tcPr>
            <w:tcW w:w="26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  <w:b/>
              </w:rPr>
              <w:t xml:space="preserve">Dispensa</w:t>
            </w:r>
          </w:p>
        </w:tc>
        <w:tc>
          <w:tcPr>
            <w:tcW w:w="6062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24/07/2025, com projeção do aviso prévio indenizado até 22/08/2025</w:t>
            </w:r>
          </w:p>
        </w:tc>
      </w:tr>
      <w:tr>
        <w:trPr>
          <w:trHeight w:val="300"/>
        </w:trPr>
        <w:tc>
          <w:tcPr>
            <w:tcW w:w="26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  <w:b/>
              </w:rPr>
              <w:t xml:space="preserve">Duração do contrato</w:t>
            </w:r>
          </w:p>
        </w:tc>
        <w:tc>
          <w:tcPr>
            <w:tcW w:w="6062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6 meses e 20 dias, dos quais 2 meses e 5 dias sem qualquer registro</w:t>
            </w:r>
          </w:p>
        </w:tc>
      </w:tr>
      <w:tr>
        <w:trPr>
          <w:trHeight w:val="300"/>
        </w:trPr>
        <w:tc>
          <w:tcPr>
            <w:tcW w:w="26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  <w:b/>
              </w:rPr>
              <w:t xml:space="preserve">Função</w:t>
            </w:r>
          </w:p>
        </w:tc>
        <w:tc>
          <w:tcPr>
            <w:tcW w:w="6062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Motorista carreteiro — CBO 7825-10</w:t>
            </w:r>
          </w:p>
        </w:tc>
      </w:tr>
      <w:tr>
        <w:trPr>
          <w:trHeight w:val="300"/>
        </w:trPr>
        <w:tc>
          <w:tcPr>
            <w:tcW w:w="26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  <w:b/>
              </w:rPr>
              <w:t xml:space="preserve">Salário anotado em CTPS</w:t>
            </w:r>
          </w:p>
        </w:tc>
        <w:tc>
          <w:tcPr>
            <w:tcW w:w="6062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R$ 2.664,02 e, a partir de 08/07/2025, R$ 2.903,78</w:t>
            </w:r>
          </w:p>
        </w:tc>
      </w:tr>
      <w:tr>
        <w:trPr>
          <w:trHeight w:val="300"/>
        </w:trPr>
        <w:tc>
          <w:tcPr>
            <w:tcW w:w="26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  <w:b/>
              </w:rPr>
              <w:t xml:space="preserve">Remuneração real</w:t>
            </w:r>
          </w:p>
        </w:tc>
        <w:tc>
          <w:tcPr>
            <w:tcW w:w="6062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R$ 6.039,18 — salário formal acrescido de comissões de 14% sobre o valor do frete e R$ 700,00 por carga e descarga, pagas por fora da folha</w:t>
            </w:r>
          </w:p>
        </w:tc>
      </w:tr>
      <w:tr>
        <w:trPr>
          <w:trHeight w:val="300"/>
        </w:trPr>
        <w:tc>
          <w:tcPr>
            <w:tcW w:w="26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  <w:b/>
              </w:rPr>
              <w:t xml:space="preserve">Jornada</w:t>
            </w:r>
          </w:p>
        </w:tc>
        <w:tc>
          <w:tcPr>
            <w:tcW w:w="6062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Em média das 06h às 21h, com trechos noturnos, em viagens de 15 a 20 dias consecutivos</w:t>
            </w:r>
          </w:p>
        </w:tc>
      </w:tr>
      <w:tr>
        <w:trPr>
          <w:trHeight w:val="300"/>
        </w:trPr>
        <w:tc>
          <w:tcPr>
            <w:tcW w:w="26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  <w:b/>
              </w:rPr>
              <w:t xml:space="preserve">Folgas</w:t>
            </w:r>
          </w:p>
        </w:tc>
        <w:tc>
          <w:tcPr>
            <w:tcW w:w="6062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Acumuladas ao final de cada viagem, no máximo 2 dias</w:t>
            </w:r>
          </w:p>
        </w:tc>
      </w:tr>
      <w:tr>
        <w:trPr>
          <w:trHeight w:val="300"/>
        </w:trPr>
        <w:tc>
          <w:tcPr>
            <w:tcW w:w="26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  <w:b/>
              </w:rPr>
              <w:t xml:space="preserve">Acidente do trabalho</w:t>
            </w:r>
          </w:p>
        </w:tc>
        <w:tc>
          <w:tcPr>
            <w:tcW w:w="6062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05/07/2025 — capotamento na BR-381, km 843,3 (Laudo Pericial PRF nº 25036883B01)</w:t>
            </w:r>
          </w:p>
        </w:tc>
      </w:tr>
      <w:tr>
        <w:trPr>
          <w:trHeight w:val="300"/>
        </w:trPr>
        <w:tc>
          <w:tcPr>
            <w:tcW w:w="26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  <w:b/>
              </w:rPr>
              <w:t xml:space="preserve">Irregularidades</w:t>
            </w:r>
          </w:p>
        </w:tc>
        <w:tc>
          <w:tcPr>
            <w:tcW w:w="6062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Prestação de serviços sem registro em CTPS de 03/02/2025 a 07/04/2025; 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Contratação simulada sob a forma de contrato por prazo determinado; 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Comissões pagas por fora da folha, por interposta pessoa, sem qualquer integração; 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Jornada média de 14 horas efetivas diárias, sem pagamento de horas extras; 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Tempo de espera não computado na jornada; 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Supressão do intervalo interjornada e do descanso intersemanal de 35 horas; 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Trabalho em domingos e feriados sem a devida contraprestação; 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Trabalho noturno sem o respectivo adicional; 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Acidente do trabalho decorrente de jornada exaustiva, sem emissão de CAT; 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Dispensa obstativa da garantia de emprego acidentária; 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Descontos indevidos na rescisão e com aparelho celular de uso laboral; 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Recolhimentos fundiários a menor.</w:t>
            </w:r>
          </w:p>
        </w:tc>
      </w:tr>
    </w:tbl>
    <w:p>
      <w:pPr>
        <w:spacing w:before="0" w:after="0" w:line="360" w:lineRule="auto"/>
        <w:jc w:val="both"/>
      </w:pPr>
    </w:p>
    <w:p>
      <w:pPr>
        <w:spacing w:before="280" w:after="20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DA COMPETÊNCIA TERRITORIAL DESTE JUÍZO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Excelência, o reclamante foi contratado como motorista carreteiro para viagens de longa distância, tendo prestado serviços em trânsito por diversas unidades da Federação. A reclamada, por sua vez, tem sede em São Francisco de Paula/MG e não possui, no Estado de São Paulo, agência ou filial à qual o obreiro estivesse subordinado.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 hipótese é exatamente aquela do § 1º do artigo 651 da CLT, que assim dispõe:</w:t>
      </w:r>
    </w:p>
    <w:p>
      <w:pPr>
        <w:spacing w:before="120" w:after="120" w:line="276" w:lineRule="auto"/>
        <w:ind w:left="2268"/>
        <w:jc w:val="both"/>
      </w:pPr>
      <w:r>
        <w:rPr>
          <w:rFonts w:ascii="Verdana" w:hAnsi="Verdana" w:cs="Verdana"/>
          <w:sz w:val="20"/>
          <w:szCs w:val="20"/>
          <w:i/>
        </w:rPr>
        <w:t xml:space="preserve">§ 1º — Quando for parte no dissídio agente ou viajante comercial, a competência será da Junta da localidade em que a empresa tenha agência ou filial e a esta o empregado esteja subordinado e, na falta, será competente a Junta da localização em que o empregado tenha domicílio ou a localidade mais próxima.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Não custa registrar, ademais, o que estabelece o § 3º do mesmo dispositivo:</w:t>
      </w:r>
    </w:p>
    <w:p>
      <w:pPr>
        <w:spacing w:before="120" w:after="120" w:line="276" w:lineRule="auto"/>
        <w:ind w:left="2268"/>
        <w:jc w:val="both"/>
      </w:pPr>
      <w:r>
        <w:rPr>
          <w:rFonts w:ascii="Verdana" w:hAnsi="Verdana" w:cs="Verdana"/>
          <w:sz w:val="20"/>
          <w:szCs w:val="20"/>
          <w:i/>
        </w:rPr>
        <w:t xml:space="preserve">§ 3º — Em se tratando de empregador que promova realização de atividades fora do lugar do contrato de trabalho, é assegurado ao empregado apresentar reclamação no foro da celebração do contrato ou no da prestação dos respectivos serviços.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Verifica-se, portanto, que o reclamante é domiciliado em Suzano/SP, razão pela qual é esta a Vara competente para processar e julgar a presente reclamatória, o que desde já se requer seja reconhecido.</w:t>
      </w:r>
    </w:p>
    <w:p>
      <w:pPr>
        <w:spacing w:before="280" w:after="20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DO JUÍZO DIGITAL E DA REALIZAÇÃO DE AUDIÊNCIAS DE FORMA TELEPRESENCIAL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O reclamante manifesta, desde já, sua </w:t>
      </w:r>
      <w:r>
        <w:rPr>
          <w:rFonts w:ascii="Verdana" w:hAnsi="Verdana" w:cs="Verdana"/>
          <w:sz w:val="22"/>
          <w:szCs w:val="22"/>
          <w:b/>
        </w:rPr>
        <w:t xml:space="preserve">concordância</w:t>
      </w:r>
      <w:r>
        <w:rPr>
          <w:rFonts w:ascii="Verdana" w:hAnsi="Verdana" w:cs="Verdana"/>
          <w:sz w:val="22"/>
          <w:szCs w:val="22"/>
        </w:rPr>
        <w:t xml:space="preserve"> com a adoção do Juízo 100% Digital e com a realização das audiências por meio telepresencial, nos termos da Resolução nº 345/2020 do CNJ e das normas de regência do Conselho Superior da Justiça do Trabalho.</w:t>
      </w:r>
    </w:p>
    <w:p>
      <w:pPr>
        <w:spacing w:before="280" w:after="20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DOS BENEFÍCIOS DA JUSTIÇA GRATUITA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Por ser o reclamante pobre na forma da lei, não podendo demandar sem prejuízo do próprio sustento e do de sua família, conforme declaração de hipossuficiência anexa, requer de Vossa Excelência a concessão dos benefícios da justiça gratuita, com a isenção de custas e demais despesas processuais.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O pedido encontra amparo no artigo 790, §§ 3º e 4º, da CLT, e no item I da Súmula 463 do C. TST:</w:t>
      </w:r>
    </w:p>
    <w:p>
      <w:pPr>
        <w:spacing w:before="120" w:after="120" w:line="276" w:lineRule="auto"/>
        <w:ind w:left="2268"/>
        <w:jc w:val="both"/>
      </w:pPr>
      <w:r>
        <w:rPr>
          <w:rFonts w:ascii="Verdana" w:hAnsi="Verdana" w:cs="Verdana"/>
          <w:sz w:val="20"/>
          <w:szCs w:val="20"/>
          <w:i/>
        </w:rPr>
        <w:t xml:space="preserve">Súmula 463, I, do TST — A partir de 26.06.2017, para a concessão da assistência judiciária gratuita à pessoa natural, basta a declaração de hipossuficiência econômica firmada pela parte ou por seu advogado.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Frise-se, ainda, que o Excelso Supremo Tribunal Federal, no julgamento da </w:t>
      </w:r>
      <w:r>
        <w:rPr>
          <w:rFonts w:ascii="Verdana" w:hAnsi="Verdana" w:cs="Verdana"/>
          <w:sz w:val="22"/>
          <w:szCs w:val="22"/>
          <w:b/>
        </w:rPr>
        <w:t xml:space="preserve">ADI 5766</w:t>
      </w:r>
      <w:r>
        <w:rPr>
          <w:rFonts w:ascii="Verdana" w:hAnsi="Verdana" w:cs="Verdana"/>
          <w:sz w:val="22"/>
          <w:szCs w:val="22"/>
        </w:rPr>
        <w:t xml:space="preserve">, declarou a inconstitucionalidade da cobrança de honorários periciais e sucumbenciais do beneficiário da justiça gratuita, razão pela qual eventual sucumbência do obreiro não poderá ser satisfeita com créditos obtidos nestes ou em outros autos.</w:t>
      </w:r>
    </w:p>
    <w:p>
      <w:pPr>
        <w:spacing w:before="280" w:after="20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DO PERÍODO LABORADO SEM REGISTRO — 03/02/2025 A 07/04/2025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O reclamante foi admitido pela reclamada em </w:t>
      </w:r>
      <w:r>
        <w:rPr>
          <w:rFonts w:ascii="Verdana" w:hAnsi="Verdana" w:cs="Verdana"/>
          <w:sz w:val="22"/>
          <w:szCs w:val="22"/>
          <w:b/>
        </w:rPr>
        <w:t xml:space="preserve">03/02/2025</w:t>
      </w:r>
      <w:r>
        <w:rPr>
          <w:rFonts w:ascii="Verdana" w:hAnsi="Verdana" w:cs="Verdana"/>
          <w:sz w:val="22"/>
          <w:szCs w:val="22"/>
        </w:rPr>
        <w:t xml:space="preserve">, para exercer a função de motorista carreteiro. A reclamada, contudo, somente procedeu ao registro do contrato em </w:t>
      </w:r>
      <w:r>
        <w:rPr>
          <w:rFonts w:ascii="Verdana" w:hAnsi="Verdana" w:cs="Verdana"/>
          <w:sz w:val="22"/>
          <w:szCs w:val="22"/>
          <w:b/>
        </w:rPr>
        <w:t xml:space="preserve">08/04/2025</w:t>
      </w:r>
      <w:r>
        <w:rPr>
          <w:rFonts w:ascii="Verdana" w:hAnsi="Verdana" w:cs="Verdana"/>
          <w:sz w:val="22"/>
          <w:szCs w:val="22"/>
        </w:rPr>
        <w:t xml:space="preserve">, mantendo o obreiro na clandestinidade por </w:t>
      </w:r>
      <w:r>
        <w:rPr>
          <w:rFonts w:ascii="Verdana" w:hAnsi="Verdana" w:cs="Verdana"/>
          <w:sz w:val="22"/>
          <w:szCs w:val="22"/>
          <w:b/>
        </w:rPr>
        <w:t xml:space="preserve">2 meses e 5 dias</w:t>
      </w:r>
      <w:r>
        <w:rPr>
          <w:rFonts w:ascii="Verdana" w:hAnsi="Verdana" w:cs="Verdana"/>
          <w:sz w:val="22"/>
          <w:szCs w:val="22"/>
        </w:rPr>
        <w:t xml:space="preserve">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Não se trata, Excelência, de alegação desacompanhada de prova. Os extratos bancários que instruem a presente demonstram que, </w:t>
      </w:r>
      <w:r>
        <w:rPr>
          <w:rFonts w:ascii="Verdana" w:hAnsi="Verdana" w:cs="Verdana"/>
          <w:sz w:val="22"/>
          <w:szCs w:val="22"/>
          <w:b/>
        </w:rPr>
        <w:t xml:space="preserve">já em 11/03/2025</w:t>
      </w:r>
      <w:r>
        <w:rPr>
          <w:rFonts w:ascii="Verdana" w:hAnsi="Verdana" w:cs="Verdana"/>
          <w:sz w:val="22"/>
          <w:szCs w:val="22"/>
        </w:rPr>
        <w:t xml:space="preserve"> — quase um mês antes da data que a reclamada fez constar da CTPS —, o obreiro já percebia pagamentos oriundos da operação da empresa ré.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Com efeito, os créditos foram realizados por </w:t>
      </w:r>
      <w:r>
        <w:rPr>
          <w:rFonts w:ascii="Verdana" w:hAnsi="Verdana" w:cs="Verdana"/>
          <w:sz w:val="22"/>
          <w:szCs w:val="22"/>
          <w:b/>
        </w:rPr>
        <w:t xml:space="preserve">PATRICIA APARECIDA DA SILVA, CPF nº 014.301.486-24</w:t>
      </w:r>
      <w:r>
        <w:rPr>
          <w:rFonts w:ascii="Verdana" w:hAnsi="Verdana" w:cs="Verdana"/>
          <w:sz w:val="22"/>
          <w:szCs w:val="22"/>
        </w:rPr>
        <w:t xml:space="preserve">, que é justamente a </w:t>
      </w:r>
      <w:r>
        <w:rPr>
          <w:rFonts w:ascii="Verdana" w:hAnsi="Verdana" w:cs="Verdana"/>
          <w:sz w:val="22"/>
          <w:szCs w:val="22"/>
          <w:b/>
        </w:rPr>
        <w:t xml:space="preserve">proprietária do caminhão-trator Scania/G 380 A4X2, placa EHH-8E45, e do semirreboque Randon, placa HGJ-0A68</w:t>
      </w:r>
      <w:r>
        <w:rPr>
          <w:rFonts w:ascii="Verdana" w:hAnsi="Verdana" w:cs="Verdana"/>
          <w:sz w:val="22"/>
          <w:szCs w:val="22"/>
        </w:rPr>
        <w:t xml:space="preserve">, veículos que o reclamante conduzia a serviço da reclamada, conforme atesta o Laudo Pericial nº 25036883B01 da Polícia Rodoviária Federal ora acostado. A referida proprietária, ademais, é domiciliada em </w:t>
      </w:r>
      <w:r>
        <w:rPr>
          <w:rFonts w:ascii="Verdana" w:hAnsi="Verdana" w:cs="Verdana"/>
          <w:sz w:val="22"/>
          <w:szCs w:val="22"/>
          <w:b/>
        </w:rPr>
        <w:t xml:space="preserve">São Francisco de Paula/MG</w:t>
      </w:r>
      <w:r>
        <w:rPr>
          <w:rFonts w:ascii="Verdana" w:hAnsi="Verdana" w:cs="Verdana"/>
          <w:sz w:val="22"/>
          <w:szCs w:val="22"/>
        </w:rPr>
        <w:t xml:space="preserve"> — o mesmo município da sede da reclamada.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Perceba-se a arquitetura montada pela empresa ré: o trabalhador dirigia veículo de terceiro, era pago por esse mesmo terceiro, e só teve sua CTPS anotada dois meses depois de já estar rodando.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O extrato analítico do FGTS confirma a irregularidade de forma inequívoca. Nele </w:t>
      </w:r>
      <w:r>
        <w:rPr>
          <w:rFonts w:ascii="Verdana" w:hAnsi="Verdana" w:cs="Verdana"/>
          <w:sz w:val="22"/>
          <w:szCs w:val="22"/>
          <w:b/>
        </w:rPr>
        <w:t xml:space="preserve">não há qualquer recolhimento relativo às competências de fevereiro e março de 2025</w:t>
      </w:r>
      <w:r>
        <w:rPr>
          <w:rFonts w:ascii="Verdana" w:hAnsi="Verdana" w:cs="Verdana"/>
          <w:sz w:val="22"/>
          <w:szCs w:val="22"/>
        </w:rPr>
        <w:t xml:space="preserve">, sendo o primeiro depósito o de 19/05/2025, referente à competência de abril de 2025. Vale dizer: nos meses em que o obreiro comprovadamente já recebia da operação da reclamada, não há um único centavo recolhido a título de FGTS.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As anotações da CTPS, como se sabe, geram presunção meramente relativa, na forma da Súmula 12 do C. TST:</w:t>
      </w:r>
    </w:p>
    <w:p>
      <w:pPr>
        <w:spacing w:before="120" w:after="120" w:line="276" w:lineRule="auto"/>
        <w:ind w:left="2268"/>
        <w:jc w:val="both"/>
      </w:pPr>
      <w:r>
        <w:rPr>
          <w:rFonts w:ascii="Verdana" w:hAnsi="Verdana" w:cs="Verdana"/>
          <w:sz w:val="20"/>
          <w:szCs w:val="20"/>
          <w:i/>
        </w:rPr>
        <w:t xml:space="preserve">Súmula 12 do TST — CARTEIRA PROFISSIONAL. As anotações apostas pelo empregador na carteira profissional do empregado não geram presunção "juris et de jure", mas apenas "juris tantum".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E o artigo 9º da CLT é categórico ao fulminar a manobra:</w:t>
      </w:r>
    </w:p>
    <w:p>
      <w:pPr>
        <w:spacing w:before="120" w:after="120" w:line="276" w:lineRule="auto"/>
        <w:ind w:left="2268"/>
        <w:jc w:val="both"/>
      </w:pPr>
      <w:r>
        <w:rPr>
          <w:rFonts w:ascii="Verdana" w:hAnsi="Verdana" w:cs="Verdana"/>
          <w:sz w:val="20"/>
          <w:szCs w:val="20"/>
          <w:i/>
        </w:rPr>
        <w:t xml:space="preserve">Art. 9º — Serão nulos de pleno direito os atos praticados com o objetivo de desvirtuar, impedir ou fraudar a aplicação dos preceitos contidos na presente Consolidação.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Assim, requer o reclamante o </w:t>
      </w:r>
      <w:r>
        <w:rPr>
          <w:rFonts w:ascii="Verdana" w:hAnsi="Verdana" w:cs="Verdana"/>
          <w:sz w:val="22"/>
          <w:szCs w:val="22"/>
          <w:b/>
        </w:rPr>
        <w:t xml:space="preserve">reconhecimento do vínculo empregatício no período de 03/02/2025 a 22/08/2025</w:t>
      </w:r>
      <w:r>
        <w:rPr>
          <w:rFonts w:ascii="Verdana" w:hAnsi="Verdana" w:cs="Verdana"/>
          <w:sz w:val="22"/>
          <w:szCs w:val="22"/>
        </w:rPr>
        <w:t xml:space="preserve"> (já computada a projeção do aviso prévio indenizado), com a consequente </w:t>
      </w:r>
      <w:r>
        <w:rPr>
          <w:rFonts w:ascii="Verdana" w:hAnsi="Verdana" w:cs="Verdana"/>
          <w:sz w:val="22"/>
          <w:szCs w:val="22"/>
          <w:b/>
        </w:rPr>
        <w:t xml:space="preserve">retificação da CTPS</w:t>
      </w:r>
      <w:r>
        <w:rPr>
          <w:rFonts w:ascii="Verdana" w:hAnsi="Verdana" w:cs="Verdana"/>
          <w:sz w:val="22"/>
          <w:szCs w:val="22"/>
        </w:rPr>
        <w:t xml:space="preserve">, sob pena de multa diária, bem como a condenação da reclamada ao pagamento de todas as verbas contratuais e rescisórias incidentes sobre o período sonegado, com os respectivos recolhimentos fundiários e previdenciários.</w:t>
      </w:r>
    </w:p>
    <w:p>
      <w:pPr>
        <w:spacing w:before="280" w:after="20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DA NULIDADE DA CONTRATAÇÃO POR PRAZO DETERMINADO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Não bastasse manter o obreiro sem registro por mais de dois meses, a reclamada, ao finalmente anotar a CTPS, o fez sob a rubrica de </w:t>
      </w:r>
      <w:r>
        <w:rPr>
          <w:rFonts w:ascii="Verdana" w:hAnsi="Verdana" w:cs="Verdana"/>
          <w:sz w:val="22"/>
          <w:szCs w:val="22"/>
          <w:b/>
        </w:rPr>
        <w:t xml:space="preserve">contrato por prazo determinado</w:t>
      </w:r>
      <w:r>
        <w:rPr>
          <w:rFonts w:ascii="Verdana" w:hAnsi="Verdana" w:cs="Verdana"/>
          <w:sz w:val="22"/>
          <w:szCs w:val="22"/>
        </w:rPr>
        <w:t xml:space="preserve">, artifício que não resiste ao menor exame.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Vejamos o que registram os próprios assentamentos do eSocial juntados pelo reclamante: em 08/04/2025 o contrato foi definido como "prazo determinado, definido em dias, data do término: 22/05/2025"; em 08/07/2025 foi novamente definido como "prazo determinado, definido em dias, data do término: </w:t>
      </w:r>
      <w:r>
        <w:rPr>
          <w:rFonts w:ascii="Verdana" w:hAnsi="Verdana" w:cs="Verdana"/>
          <w:sz w:val="22"/>
          <w:szCs w:val="22"/>
          <w:b/>
        </w:rPr>
        <w:t xml:space="preserve">06/07/2025</w:t>
      </w:r>
      <w:r>
        <w:rPr>
          <w:rFonts w:ascii="Verdana" w:hAnsi="Verdana" w:cs="Verdana"/>
          <w:sz w:val="22"/>
          <w:szCs w:val="22"/>
        </w:rPr>
        <w:t xml:space="preserve">". Ou seja, Excelência: a reclamada fixou, em 8 de julho, um termo final que já havia se esgotado em 6 de julho — dois dias antes!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 incoerência é reveladora. As anotações não retratam contratação a termo alguma; retratam manipulação de registros feita ao sabor da conveniência da empresa.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Em verdade, a função de motorista carreteiro constitui a </w:t>
      </w:r>
      <w:r>
        <w:rPr>
          <w:rFonts w:ascii="Verdana" w:hAnsi="Verdana" w:cs="Verdana"/>
          <w:sz w:val="22"/>
          <w:szCs w:val="22"/>
          <w:b/>
        </w:rPr>
        <w:t xml:space="preserve">atividade-fim</w:t>
      </w:r>
      <w:r>
        <w:rPr>
          <w:rFonts w:ascii="Verdana" w:hAnsi="Verdana" w:cs="Verdana"/>
          <w:sz w:val="22"/>
          <w:szCs w:val="22"/>
        </w:rPr>
        <w:t xml:space="preserve"> e permanente da reclamada, empresa de transporte rodoviário de cargas. Não há, no caso, serviço de natureza transitória, atividade empresarial transitória, nem contrato de experiência — únicas hipóteses autorizadas pelo § 2º do artigo 443 da CLT:</w:t>
      </w:r>
    </w:p>
    <w:p>
      <w:pPr>
        <w:spacing w:before="120" w:after="120" w:line="276" w:lineRule="auto"/>
        <w:ind w:left="2268"/>
        <w:jc w:val="both"/>
      </w:pPr>
      <w:r>
        <w:rPr>
          <w:rFonts w:ascii="Verdana" w:hAnsi="Verdana" w:cs="Verdana"/>
          <w:sz w:val="20"/>
          <w:szCs w:val="20"/>
          <w:i/>
        </w:rPr>
        <w:t xml:space="preserve">Art. 443, § 2º — O contrato por prazo determinado só será válido em se tratando: a) de serviço cuja natureza ou transitoriedade justifique a predeterminação do prazo; b) de atividades empresariais de caráter transitório; c) de contrato de experiência.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Ademais, ainda que se admitisse a validade da contratação a termo — no que não se acredita —, a sucessiva redefinição de prazos operada pela reclamada configura prorrogação por mais de uma vez, o que atrai a incidência do artigo 451 da CLT:</w:t>
      </w:r>
    </w:p>
    <w:p>
      <w:pPr>
        <w:spacing w:before="120" w:after="120" w:line="276" w:lineRule="auto"/>
        <w:ind w:left="2268"/>
        <w:jc w:val="both"/>
      </w:pPr>
      <w:r>
        <w:rPr>
          <w:rFonts w:ascii="Verdana" w:hAnsi="Verdana" w:cs="Verdana"/>
          <w:sz w:val="20"/>
          <w:szCs w:val="20"/>
          <w:i/>
        </w:rPr>
        <w:t xml:space="preserve">Art. 451 — O contrato de trabalho por prazo determinado que, tácita ou expressamente, for prorrogado mais de uma vez passará a vigorar sem determinação de prazo.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Requer, pois, o reclamante seja </w:t>
      </w:r>
      <w:r>
        <w:rPr>
          <w:rFonts w:ascii="Verdana" w:hAnsi="Verdana" w:cs="Verdana"/>
          <w:sz w:val="22"/>
          <w:szCs w:val="22"/>
          <w:b/>
        </w:rPr>
        <w:t xml:space="preserve">declarada a nulidade da contratação por prazo determinado</w:t>
      </w:r>
      <w:r>
        <w:rPr>
          <w:rFonts w:ascii="Verdana" w:hAnsi="Verdana" w:cs="Verdana"/>
          <w:sz w:val="22"/>
          <w:szCs w:val="22"/>
        </w:rPr>
        <w:t xml:space="preserve">, reconhecendo-se a vigência do contrato por prazo indeterminado desde 03/02/2025, com todos os consectários legais daí decorrentes.</w:t>
      </w:r>
    </w:p>
    <w:p>
      <w:pPr>
        <w:spacing w:before="280" w:after="20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DAS COMISSÕES PAGAS POR FORA DA FOLHA, POR INTERPOSTA PESSOA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Aqui reside o núcleo da fraude praticada pela reclamada.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O reclamante era, na dicção da própria empresa, </w:t>
      </w:r>
      <w:r>
        <w:rPr>
          <w:rFonts w:ascii="Verdana" w:hAnsi="Verdana" w:cs="Verdana"/>
          <w:sz w:val="22"/>
          <w:szCs w:val="22"/>
          <w:b/>
        </w:rPr>
        <w:t xml:space="preserve">comissionista</w:t>
      </w:r>
      <w:r>
        <w:rPr>
          <w:rFonts w:ascii="Verdana" w:hAnsi="Verdana" w:cs="Verdana"/>
          <w:sz w:val="22"/>
          <w:szCs w:val="22"/>
        </w:rPr>
        <w:t xml:space="preserve">: percebia </w:t>
      </w:r>
      <w:r>
        <w:rPr>
          <w:rFonts w:ascii="Verdana" w:hAnsi="Verdana" w:cs="Verdana"/>
          <w:sz w:val="22"/>
          <w:szCs w:val="22"/>
          <w:b/>
        </w:rPr>
        <w:t xml:space="preserve">14% (quatorze por cento) sobre o valor de cada frete, acrescidos de R$ 700,00 (setecentos reais) por operação de carga e descarga</w:t>
      </w:r>
      <w:r>
        <w:rPr>
          <w:rFonts w:ascii="Verdana" w:hAnsi="Verdana" w:cs="Verdana"/>
          <w:sz w:val="22"/>
          <w:szCs w:val="22"/>
        </w:rPr>
        <w:t xml:space="preserve">. Tais valores, todavia, jamais transitaram pela folha de pagamento. Eram pagos </w:t>
      </w:r>
      <w:r>
        <w:rPr>
          <w:rFonts w:ascii="Verdana" w:hAnsi="Verdana" w:cs="Verdana"/>
          <w:sz w:val="22"/>
          <w:szCs w:val="22"/>
          <w:b/>
        </w:rPr>
        <w:t xml:space="preserve">por fora</w:t>
      </w:r>
      <w:r>
        <w:rPr>
          <w:rFonts w:ascii="Verdana" w:hAnsi="Verdana" w:cs="Verdana"/>
          <w:sz w:val="22"/>
          <w:szCs w:val="22"/>
        </w:rPr>
        <w:t xml:space="preserve">, mediante transferências PIX realizadas por terceira pessoa e creditadas em conta bancária de familiar do obreiro, tudo com o claro objetivo de desonerar a folha e sonegar a integração da parcela à remuneração.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 prova é documental, contemporânea e aritmética. Os extratos do Banco Inter anexos, relativos à conta de titularidade de </w:t>
      </w:r>
      <w:r>
        <w:rPr>
          <w:rFonts w:ascii="Verdana" w:hAnsi="Verdana" w:cs="Verdana"/>
          <w:sz w:val="22"/>
          <w:szCs w:val="22"/>
          <w:b/>
        </w:rPr>
        <w:t xml:space="preserve">PATRICIA DE LOURDES EMILIA CICERO, CPF nº 311.688.548-65</w:t>
      </w:r>
      <w:r>
        <w:rPr>
          <w:rFonts w:ascii="Verdana" w:hAnsi="Verdana" w:cs="Verdana"/>
          <w:sz w:val="22"/>
          <w:szCs w:val="22"/>
        </w:rPr>
        <w:t xml:space="preserve">, registram, no curso do contrato de trabalho, </w:t>
      </w:r>
      <w:r>
        <w:rPr>
          <w:rFonts w:ascii="Verdana" w:hAnsi="Verdana" w:cs="Verdana"/>
          <w:sz w:val="22"/>
          <w:szCs w:val="22"/>
          <w:b/>
        </w:rPr>
        <w:t xml:space="preserve">18 (dezoito) créditos</w:t>
      </w:r>
      <w:r>
        <w:rPr>
          <w:rFonts w:ascii="Verdana" w:hAnsi="Verdana" w:cs="Verdana"/>
          <w:sz w:val="22"/>
          <w:szCs w:val="22"/>
        </w:rPr>
        <w:t xml:space="preserve"> oriundos de </w:t>
      </w:r>
      <w:r>
        <w:rPr>
          <w:rFonts w:ascii="Verdana" w:hAnsi="Verdana" w:cs="Verdana"/>
          <w:sz w:val="22"/>
          <w:szCs w:val="22"/>
          <w:b/>
        </w:rPr>
        <w:t xml:space="preserve">PATRICIA APARECIDA DA SILVA</w:t>
      </w:r>
      <w:r>
        <w:rPr>
          <w:rFonts w:ascii="Verdana" w:hAnsi="Verdana" w:cs="Verdana"/>
          <w:sz w:val="22"/>
          <w:szCs w:val="22"/>
        </w:rPr>
        <w:t xml:space="preserve"> — a já mencionada proprietária dos veículos conduzidos pelo obreiro —, totalizando </w:t>
      </w:r>
      <w:r>
        <w:rPr>
          <w:rFonts w:ascii="Verdana" w:hAnsi="Verdana" w:cs="Verdana"/>
          <w:sz w:val="22"/>
          <w:szCs w:val="22"/>
          <w:b/>
        </w:rPr>
        <w:t xml:space="preserve">R$ 15.677,00 (quinze mil, seiscentos e setenta e sete reais)</w:t>
      </w:r>
      <w:r>
        <w:rPr>
          <w:rFonts w:ascii="Verdana" w:hAnsi="Verdana" w:cs="Verdana"/>
          <w:sz w:val="22"/>
          <w:szCs w:val="22"/>
        </w:rPr>
        <w:t xml:space="preserve">, assim discriminados:</w:t>
      </w:r>
    </w:p>
    <w:p>
      <w:pPr>
        <w:spacing w:before="0" w:after="6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11/03/2025 — R$ 1.000,00 | 17/03/2025 — R$ 190,00 | 20/03/2025 — R$ 500,00 | 22/03/2025 — R$ 1.703,00 | 28/03/2025 — R$ 2.653,00</w:t>
      </w:r>
    </w:p>
    <w:p>
      <w:pPr>
        <w:spacing w:before="0" w:after="6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07/04/2025 — R$ 98,00 | 25/04/2025 — R$ 100,00 | 30/04/2025 — R$ 350,00</w:t>
      </w:r>
    </w:p>
    <w:p>
      <w:pPr>
        <w:spacing w:before="0" w:after="6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02/05/2025 — R$ 1.570,00 | 20/05/2025 — R$ 250,00 | 23/05/2025 — R$ 1.850,00</w:t>
      </w:r>
    </w:p>
    <w:p>
      <w:pPr>
        <w:spacing w:before="0" w:after="6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05/06/2025 — R$ 150,00 | 10/06/2025 — R$ 300,00 | 26/06/2025 — R$ 450,00 | 27/06/2025 — R$ 842,00</w:t>
      </w:r>
    </w:p>
    <w:p>
      <w:pPr>
        <w:spacing w:before="0" w:after="6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02/07/2025 — R$ 200,00 | 04/07/2025 — R$ 2.635,00 | 26/07/2025 — R$ 836,00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Note-se que os pagamentos </w:t>
      </w:r>
      <w:r>
        <w:rPr>
          <w:rFonts w:ascii="Verdana" w:hAnsi="Verdana" w:cs="Verdana"/>
          <w:sz w:val="22"/>
          <w:szCs w:val="22"/>
          <w:b/>
        </w:rPr>
        <w:t xml:space="preserve">acompanham fielmente o ritmo da operação</w:t>
      </w:r>
      <w:r>
        <w:rPr>
          <w:rFonts w:ascii="Verdana" w:hAnsi="Verdana" w:cs="Verdana"/>
          <w:sz w:val="22"/>
          <w:szCs w:val="22"/>
        </w:rPr>
        <w:t xml:space="preserve">: iniciam-se em março, quando o obreiro já rodava sem registro; concentram-se nos meses de maior atividade; o penúltimo crédito, de R$ 2.635,00, ocorre em </w:t>
      </w:r>
      <w:r>
        <w:rPr>
          <w:rFonts w:ascii="Verdana" w:hAnsi="Verdana" w:cs="Verdana"/>
          <w:sz w:val="22"/>
          <w:szCs w:val="22"/>
          <w:b/>
        </w:rPr>
        <w:t xml:space="preserve">04/07/2025 — véspera do acidente</w:t>
      </w:r>
      <w:r>
        <w:rPr>
          <w:rFonts w:ascii="Verdana" w:hAnsi="Verdana" w:cs="Verdana"/>
          <w:sz w:val="22"/>
          <w:szCs w:val="22"/>
        </w:rPr>
        <w:t xml:space="preserve">; e o último, de R$ 836,00, em </w:t>
      </w:r>
      <w:r>
        <w:rPr>
          <w:rFonts w:ascii="Verdana" w:hAnsi="Verdana" w:cs="Verdana"/>
          <w:sz w:val="22"/>
          <w:szCs w:val="22"/>
          <w:b/>
        </w:rPr>
        <w:t xml:space="preserve">26/07/2025</w:t>
      </w:r>
      <w:r>
        <w:rPr>
          <w:rFonts w:ascii="Verdana" w:hAnsi="Verdana" w:cs="Verdana"/>
          <w:sz w:val="22"/>
          <w:szCs w:val="22"/>
        </w:rPr>
        <w:t xml:space="preserve">, dois dias depois da dispensa. Não há como atribuir tal cadência a liberalidade, empréstimo ou favor pessoal.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Dividido o montante pelos cinco meses em que houve pagamento, apura-se média mensal de </w:t>
      </w:r>
      <w:r>
        <w:rPr>
          <w:rFonts w:ascii="Verdana" w:hAnsi="Verdana" w:cs="Verdana"/>
          <w:sz w:val="22"/>
          <w:szCs w:val="22"/>
          <w:b/>
        </w:rPr>
        <w:t xml:space="preserve">R$ 3.135,40</w:t>
      </w:r>
      <w:r>
        <w:rPr>
          <w:rFonts w:ascii="Verdana" w:hAnsi="Verdana" w:cs="Verdana"/>
          <w:sz w:val="22"/>
          <w:szCs w:val="22"/>
        </w:rPr>
        <w:t xml:space="preserve"> paga à margem da folha. Somada ao maior salário anotado em CTPS (R$ 2.903,78), a </w:t>
      </w:r>
      <w:r>
        <w:rPr>
          <w:rFonts w:ascii="Verdana" w:hAnsi="Verdana" w:cs="Verdana"/>
          <w:sz w:val="22"/>
          <w:szCs w:val="22"/>
          <w:b/>
        </w:rPr>
        <w:t xml:space="preserve">remuneração real do obreiro alcançava R$ 6.039,18 mensais</w:t>
      </w:r>
      <w:r>
        <w:rPr>
          <w:rFonts w:ascii="Verdana" w:hAnsi="Verdana" w:cs="Verdana"/>
          <w:sz w:val="22"/>
          <w:szCs w:val="22"/>
        </w:rPr>
        <w:t xml:space="preserve"> — mais que o dobro daquilo que a reclamada declarou ao Fisco, ao INSS e ao FGTS.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Cabe salientar que o artigo 457, § 1º, da CLT não deixa margem a dúvida quanto à natureza da parcela:</w:t>
      </w:r>
    </w:p>
    <w:p>
      <w:pPr>
        <w:spacing w:before="120" w:after="120" w:line="276" w:lineRule="auto"/>
        <w:ind w:left="2268"/>
        <w:jc w:val="both"/>
      </w:pPr>
      <w:r>
        <w:rPr>
          <w:rFonts w:ascii="Verdana" w:hAnsi="Verdana" w:cs="Verdana"/>
          <w:sz w:val="20"/>
          <w:szCs w:val="20"/>
          <w:i/>
        </w:rPr>
        <w:t xml:space="preserve">Art. 457, § 1º — Integram o salário a importância fixa estipulada, as gratificações legais e as comissões pagas pelo empregador.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E o pagamento por interposta pessoa, longe de descaracterizar a natureza salarial, apenas evidencia o intuito fraudulento, atraindo a nulidade do artigo 9º da CLT já transcrito. Ora, Excelência: se os valores fossem lícitos e alheios ao contrato de trabalho, por que razão seriam pagos por terceiro e em conta de familiar?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Requer, portanto, o reclamante o </w:t>
      </w:r>
      <w:r>
        <w:rPr>
          <w:rFonts w:ascii="Verdana" w:hAnsi="Verdana" w:cs="Verdana"/>
          <w:sz w:val="22"/>
          <w:szCs w:val="22"/>
          <w:b/>
        </w:rPr>
        <w:t xml:space="preserve">reconhecimento da natureza salarial das comissões pagas por fora</w:t>
      </w:r>
      <w:r>
        <w:rPr>
          <w:rFonts w:ascii="Verdana" w:hAnsi="Verdana" w:cs="Verdana"/>
          <w:sz w:val="22"/>
          <w:szCs w:val="22"/>
        </w:rPr>
        <w:t xml:space="preserve">, com sua integração à remuneração para todos os efeitos, e a condenação da reclamada ao pagamento dos respectivos reflexos em aviso prévio, 13º salário, férias acrescidas de 1/3, DSR, horas extras de todas as naturezas e FGTS acrescido da multa de 40%.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Subsidiariamente, caso este juízo entenda que a média apurada não reflete a integralidade do comissionamento — o que se admite apenas por amor ao debate, dado que os pagamentos podem ter transitado também por outras contas —, requer seja a reclamada compelida a apresentar os comprovantes de todos os fretes realizados pelo obreiro e as respectivas notas fiscais, sob pena de confissão, apurando-se o percentual de 14% em regular liquidação de sentença.</w:t>
      </w:r>
    </w:p>
    <w:p>
      <w:pPr>
        <w:spacing w:before="280" w:after="20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DA JORNADA DE TRABALHO E DAS HORAS EXTRAS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 rotina imposta ao reclamante era extenuante.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O obreiro carregava às segundas-feiras e permanecia em viagem por </w:t>
      </w:r>
      <w:r>
        <w:rPr>
          <w:rFonts w:ascii="Verdana" w:hAnsi="Verdana" w:cs="Verdana"/>
          <w:sz w:val="22"/>
          <w:szCs w:val="22"/>
          <w:b/>
        </w:rPr>
        <w:t xml:space="preserve">15 a 20 dias consecutivos</w:t>
      </w:r>
      <w:r>
        <w:rPr>
          <w:rFonts w:ascii="Verdana" w:hAnsi="Verdana" w:cs="Verdana"/>
          <w:sz w:val="22"/>
          <w:szCs w:val="22"/>
        </w:rPr>
        <w:t xml:space="preserve">, retornando à base para folgar, no máximo, 2 (dois) dias. Sua jornada iniciava-se, em média, às </w:t>
      </w:r>
      <w:r>
        <w:rPr>
          <w:rFonts w:ascii="Verdana" w:hAnsi="Verdana" w:cs="Verdana"/>
          <w:sz w:val="22"/>
          <w:szCs w:val="22"/>
          <w:b/>
        </w:rPr>
        <w:t xml:space="preserve">06h00</w:t>
      </w:r>
      <w:r>
        <w:rPr>
          <w:rFonts w:ascii="Verdana" w:hAnsi="Verdana" w:cs="Verdana"/>
          <w:sz w:val="22"/>
          <w:szCs w:val="22"/>
        </w:rPr>
        <w:t xml:space="preserve"> e encerrava-se por volta das </w:t>
      </w:r>
      <w:r>
        <w:rPr>
          <w:rFonts w:ascii="Verdana" w:hAnsi="Verdana" w:cs="Verdana"/>
          <w:sz w:val="22"/>
          <w:szCs w:val="22"/>
          <w:b/>
        </w:rPr>
        <w:t xml:space="preserve">21h00</w:t>
      </w:r>
      <w:r>
        <w:rPr>
          <w:rFonts w:ascii="Verdana" w:hAnsi="Verdana" w:cs="Verdana"/>
          <w:sz w:val="22"/>
          <w:szCs w:val="22"/>
        </w:rPr>
        <w:t xml:space="preserve">, com variações para mais, usufruindo de 1 (uma) hora de intervalo para refeição — perfazendo, portanto, </w:t>
      </w:r>
      <w:r>
        <w:rPr>
          <w:rFonts w:ascii="Verdana" w:hAnsi="Verdana" w:cs="Verdana"/>
          <w:sz w:val="22"/>
          <w:szCs w:val="22"/>
          <w:b/>
        </w:rPr>
        <w:t xml:space="preserve">14 (quatorze) horas efetivas de trabalho por dia</w:t>
      </w:r>
      <w:r>
        <w:rPr>
          <w:rFonts w:ascii="Verdana" w:hAnsi="Verdana" w:cs="Verdana"/>
          <w:sz w:val="22"/>
          <w:szCs w:val="22"/>
        </w:rPr>
        <w:t xml:space="preserve">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Considerando 6 (seis) dias de labor por semana, chega-se a uma </w:t>
      </w:r>
      <w:r>
        <w:rPr>
          <w:rFonts w:ascii="Verdana" w:hAnsi="Verdana" w:cs="Verdana"/>
          <w:sz w:val="22"/>
          <w:szCs w:val="22"/>
          <w:b/>
        </w:rPr>
        <w:t xml:space="preserve">jornada semanal de 84 horas</w:t>
      </w:r>
      <w:r>
        <w:rPr>
          <w:rFonts w:ascii="Verdana" w:hAnsi="Verdana" w:cs="Verdana"/>
          <w:sz w:val="22"/>
          <w:szCs w:val="22"/>
        </w:rPr>
        <w:t xml:space="preserve">, das quais apenas 44 são normais. Restam, pois, </w:t>
      </w:r>
      <w:r>
        <w:rPr>
          <w:rFonts w:ascii="Verdana" w:hAnsi="Verdana" w:cs="Verdana"/>
          <w:sz w:val="22"/>
          <w:szCs w:val="22"/>
          <w:b/>
        </w:rPr>
        <w:t xml:space="preserve">40 horas extraordinárias por semana</w:t>
      </w:r>
      <w:r>
        <w:rPr>
          <w:rFonts w:ascii="Verdana" w:hAnsi="Verdana" w:cs="Verdana"/>
          <w:sz w:val="22"/>
          <w:szCs w:val="22"/>
        </w:rPr>
        <w:t xml:space="preserve">, o que, ao longo das aproximadamente 25 semanas do contrato, totaliza cerca de </w:t>
      </w:r>
      <w:r>
        <w:rPr>
          <w:rFonts w:ascii="Verdana" w:hAnsi="Verdana" w:cs="Verdana"/>
          <w:sz w:val="22"/>
          <w:szCs w:val="22"/>
          <w:b/>
        </w:rPr>
        <w:t xml:space="preserve">991 horas extras</w:t>
      </w:r>
      <w:r>
        <w:rPr>
          <w:rFonts w:ascii="Verdana" w:hAnsi="Verdana" w:cs="Verdana"/>
          <w:sz w:val="22"/>
          <w:szCs w:val="22"/>
        </w:rPr>
        <w:t xml:space="preserve"> jamais quitadas.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Vale observar que a reclamada não mantinha controle de jornada fidedigno. O reclamante era monitorado apenas por </w:t>
      </w:r>
      <w:r>
        <w:rPr>
          <w:rFonts w:ascii="Verdana" w:hAnsi="Verdana" w:cs="Verdana"/>
          <w:sz w:val="22"/>
          <w:szCs w:val="22"/>
          <w:b/>
        </w:rPr>
        <w:t xml:space="preserve">rastreador contratado pela seguradora da carga</w:t>
      </w:r>
      <w:r>
        <w:rPr>
          <w:rFonts w:ascii="Verdana" w:hAnsi="Verdana" w:cs="Verdana"/>
          <w:sz w:val="22"/>
          <w:szCs w:val="22"/>
        </w:rPr>
        <w:t xml:space="preserve"> — e nem toda viagem era rastreada —, havendo sistema de macro somente conforme o tipo de carga transportada. Frise-se: </w:t>
      </w:r>
      <w:r>
        <w:rPr>
          <w:rFonts w:ascii="Verdana" w:hAnsi="Verdana" w:cs="Verdana"/>
          <w:sz w:val="22"/>
          <w:szCs w:val="22"/>
          <w:b/>
        </w:rPr>
        <w:t xml:space="preserve">o obreiro jamais teve acesso à sua folha de ponto.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 obrigação de controlar a jornada do motorista é legal e indisponível, na forma do artigo 2º, inciso V, alínea "b", da Lei 13.103/2015:</w:t>
      </w:r>
    </w:p>
    <w:p>
      <w:pPr>
        <w:spacing w:before="120" w:after="120" w:line="276" w:lineRule="auto"/>
        <w:ind w:left="2268"/>
        <w:jc w:val="both"/>
      </w:pPr>
      <w:r>
        <w:rPr>
          <w:rFonts w:ascii="Verdana" w:hAnsi="Verdana" w:cs="Verdana"/>
          <w:sz w:val="20"/>
          <w:szCs w:val="20"/>
          <w:i/>
        </w:rPr>
        <w:t xml:space="preserve">Art. 2º — São direitos dos motoristas profissionais [...] V - se empregados: [...] b) ter jornada de trabalho controlada e registrada de maneira fidedigna mediante anotação em diário de bordo, papeleta ou ficha de trabalho externo, ou sistema e meios eletrônicos instalados nos veículos, a critério do empregador.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Assim, deve a reclamada trazer aos autos os controles de jornada de todo o período, sob pena de confissão, aplicando-se o entendimento consolidado na Súmula 338 do C. TST:</w:t>
      </w:r>
    </w:p>
    <w:p>
      <w:pPr>
        <w:spacing w:before="120" w:after="120" w:line="276" w:lineRule="auto"/>
        <w:ind w:left="2268"/>
        <w:jc w:val="both"/>
      </w:pPr>
      <w:r>
        <w:rPr>
          <w:rFonts w:ascii="Verdana" w:hAnsi="Verdana" w:cs="Verdana"/>
          <w:sz w:val="20"/>
          <w:szCs w:val="20"/>
          <w:i/>
        </w:rPr>
        <w:t xml:space="preserve">Súmula 338, I, do TST — É ônus do empregador que conta com mais de 10 (dez) empregados o registro da jornada de trabalho na forma do art. 74, § 2º, da CLT. A não-apresentação injustificada dos controles de frequência gera presunção relativa de veracidade da jornada de trabalho, a qual pode ser elidida por prova em contrário.</w:t>
      </w:r>
    </w:p>
    <w:p>
      <w:pPr>
        <w:spacing w:before="120" w:after="120" w:line="276" w:lineRule="auto"/>
        <w:ind w:left="2268"/>
        <w:jc w:val="both"/>
      </w:pPr>
      <w:r>
        <w:rPr>
          <w:rFonts w:ascii="Verdana" w:hAnsi="Verdana" w:cs="Verdana"/>
          <w:sz w:val="20"/>
          <w:szCs w:val="20"/>
          <w:i/>
        </w:rPr>
        <w:t xml:space="preserve">Súmula 338, III, do TST — Os cartões de ponto que demonstram horários de entrada e saída uniformes são inválidos como meio de prova, invertendo-se o ônus da prova, relativo às horas extras, que passa a ser do empregador, prevalecendo a jornada da inicial se dele não se desincumbir.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Registre-se, ainda, que o artigo 235-C da CLT fixa a jornada do motorista profissional em 8 (oito) horas diárias, admitindo prorrogação de até 2 (duas) horas extraordinárias, ou até 4 (quatro) mediante norma coletiva — limite estourado diariamente pela reclamada.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Requer, pois, o reclamante o pagamento das </w:t>
      </w:r>
      <w:r>
        <w:rPr>
          <w:rFonts w:ascii="Verdana" w:hAnsi="Verdana" w:cs="Verdana"/>
          <w:sz w:val="22"/>
          <w:szCs w:val="22"/>
          <w:b/>
        </w:rPr>
        <w:t xml:space="preserve">horas extras excedentes da 8ª diária e da 44ª semanal, acrescidas do adicional de 50%</w:t>
      </w:r>
      <w:r>
        <w:rPr>
          <w:rFonts w:ascii="Verdana" w:hAnsi="Verdana" w:cs="Verdana"/>
          <w:sz w:val="22"/>
          <w:szCs w:val="22"/>
        </w:rPr>
        <w:t xml:space="preserve"> (ou do percentual superior previsto em norma coletiva), com reflexos em DSR, aviso prévio, 13º salário, férias acrescidas de 1/3 e FGTS acrescido da multa de 40%, tudo calculado sobre a remuneração real de R$ 6.039,18.</w:t>
      </w:r>
    </w:p>
    <w:p>
      <w:pPr>
        <w:spacing w:before="280" w:after="20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DO TEMPO DE ESPERA E DO SEU CÔMPUTO NA JORNADA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Além da jornada acima descrita, o reclamante submetia-se a longos períodos de espera nas dependências dos embarcadores e destinatários. A reclamada, contumaz, </w:t>
      </w:r>
      <w:r>
        <w:rPr>
          <w:rFonts w:ascii="Verdana" w:hAnsi="Verdana" w:cs="Verdana"/>
          <w:sz w:val="22"/>
          <w:szCs w:val="22"/>
          <w:b/>
        </w:rPr>
        <w:t xml:space="preserve">mandava carregar com o horário já fechado</w:t>
      </w:r>
      <w:r>
        <w:rPr>
          <w:rFonts w:ascii="Verdana" w:hAnsi="Verdana" w:cs="Verdana"/>
          <w:sz w:val="22"/>
          <w:szCs w:val="22"/>
        </w:rPr>
        <w:t xml:space="preserve">, de modo que o obreiro chegava a permanecer </w:t>
      </w:r>
      <w:r>
        <w:rPr>
          <w:rFonts w:ascii="Verdana" w:hAnsi="Verdana" w:cs="Verdana"/>
          <w:sz w:val="22"/>
          <w:szCs w:val="22"/>
          <w:b/>
        </w:rPr>
        <w:t xml:space="preserve">24 (vinte e quatro) horas parado na doca</w:t>
      </w:r>
      <w:r>
        <w:rPr>
          <w:rFonts w:ascii="Verdana" w:hAnsi="Verdana" w:cs="Verdana"/>
          <w:sz w:val="22"/>
          <w:szCs w:val="22"/>
        </w:rPr>
        <w:t xml:space="preserve">, aguardando carga ou descarga.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Ocorre que tal período jamais foi remunerado, sequer sob a rubrica de tempo de espera.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E aqui, Excelência, a questão está pacificada. O Excelso Supremo Tribunal Federal, no julgamento da </w:t>
      </w:r>
      <w:r>
        <w:rPr>
          <w:rFonts w:ascii="Verdana" w:hAnsi="Verdana" w:cs="Verdana"/>
          <w:sz w:val="22"/>
          <w:szCs w:val="22"/>
          <w:b/>
        </w:rPr>
        <w:t xml:space="preserve">ADI 5322</w:t>
      </w:r>
      <w:r>
        <w:rPr>
          <w:rFonts w:ascii="Verdana" w:hAnsi="Verdana" w:cs="Verdana"/>
          <w:sz w:val="22"/>
          <w:szCs w:val="22"/>
        </w:rPr>
        <w:t xml:space="preserve">, declarou a </w:t>
      </w:r>
      <w:r>
        <w:rPr>
          <w:rFonts w:ascii="Verdana" w:hAnsi="Verdana" w:cs="Verdana"/>
          <w:sz w:val="22"/>
          <w:szCs w:val="22"/>
          <w:b/>
        </w:rPr>
        <w:t xml:space="preserve">inconstitucionalidade</w:t>
      </w:r>
      <w:r>
        <w:rPr>
          <w:rFonts w:ascii="Verdana" w:hAnsi="Verdana" w:cs="Verdana"/>
          <w:sz w:val="22"/>
          <w:szCs w:val="22"/>
        </w:rPr>
        <w:t xml:space="preserve"> da exclusão do tempo de espera da jornada de trabalho, promovida pelos §§ 8º e 9º do artigo 235-C da CLT, com efeitos a partir de </w:t>
      </w:r>
      <w:r>
        <w:rPr>
          <w:rFonts w:ascii="Verdana" w:hAnsi="Verdana" w:cs="Verdana"/>
          <w:sz w:val="22"/>
          <w:szCs w:val="22"/>
          <w:b/>
        </w:rPr>
        <w:t xml:space="preserve">12/07/2023</w:t>
      </w:r>
      <w:r>
        <w:rPr>
          <w:rFonts w:ascii="Verdana" w:hAnsi="Verdana" w:cs="Verdana"/>
          <w:sz w:val="22"/>
          <w:szCs w:val="22"/>
        </w:rPr>
        <w:t xml:space="preserve">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Perceba-se que o contrato de trabalho do reclamante vigorou integralmente </w:t>
      </w:r>
      <w:r>
        <w:rPr>
          <w:rFonts w:ascii="Verdana" w:hAnsi="Verdana" w:cs="Verdana"/>
          <w:sz w:val="22"/>
          <w:szCs w:val="22"/>
          <w:b/>
        </w:rPr>
        <w:t xml:space="preserve">no ano de 2025</w:t>
      </w:r>
      <w:r>
        <w:rPr>
          <w:rFonts w:ascii="Verdana" w:hAnsi="Verdana" w:cs="Verdana"/>
          <w:sz w:val="22"/>
          <w:szCs w:val="22"/>
        </w:rPr>
        <w:t xml:space="preserve">, ou seja, em período inteiramente posterior ao marco de modulação fixado pela Suprema Corte. Não há, portanto, qualquer segmentação temporal a fazer: </w:t>
      </w:r>
      <w:r>
        <w:rPr>
          <w:rFonts w:ascii="Verdana" w:hAnsi="Verdana" w:cs="Verdana"/>
          <w:sz w:val="22"/>
          <w:szCs w:val="22"/>
          <w:b/>
        </w:rPr>
        <w:t xml:space="preserve">todo o tempo de espera integra a jornada de trabalho do obreiro, para todos os efeitos legais.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No mesmo sentido é a orientação do C. TST, conforme precedente da 7ª Turma nos autos do </w:t>
      </w:r>
      <w:r>
        <w:rPr>
          <w:rFonts w:ascii="Verdana" w:hAnsi="Verdana" w:cs="Verdana"/>
          <w:sz w:val="22"/>
          <w:szCs w:val="22"/>
          <w:b/>
        </w:rPr>
        <w:t xml:space="preserve">RRAg-0021436-68.2018.5.04.0221</w:t>
      </w:r>
      <w:r>
        <w:rPr>
          <w:rFonts w:ascii="Verdana" w:hAnsi="Verdana" w:cs="Verdana"/>
          <w:sz w:val="22"/>
          <w:szCs w:val="22"/>
        </w:rPr>
        <w:t xml:space="preserve">, de relatoria do Exmo. Ministro Cláudio Brandão, julgado em 21/08/2024.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Requer, assim, o reclamante que </w:t>
      </w:r>
      <w:r>
        <w:rPr>
          <w:rFonts w:ascii="Verdana" w:hAnsi="Verdana" w:cs="Verdana"/>
          <w:sz w:val="22"/>
          <w:szCs w:val="22"/>
          <w:b/>
        </w:rPr>
        <w:t xml:space="preserve">os períodos de espera sejam computados como tempo à disposição do empregador</w:t>
      </w:r>
      <w:r>
        <w:rPr>
          <w:rFonts w:ascii="Verdana" w:hAnsi="Verdana" w:cs="Verdana"/>
          <w:sz w:val="22"/>
          <w:szCs w:val="22"/>
        </w:rPr>
        <w:t xml:space="preserve">, na forma do artigo 4º da CLT, integrando a jornada e sendo pagos como horas extraordinárias com o adicional de 50%, acrescidos dos reflexos já enumerados.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Alternativamente, caso este juízo perfilhe entendimento diverso quanto ao cômputo integral — no que não se acredita —, requer-se, em caráter subsidiário, o pagamento das horas de espera à razão de </w:t>
      </w:r>
      <w:r>
        <w:rPr>
          <w:rFonts w:ascii="Verdana" w:hAnsi="Verdana" w:cs="Verdana"/>
          <w:sz w:val="22"/>
          <w:szCs w:val="22"/>
          <w:b/>
        </w:rPr>
        <w:t xml:space="preserve">1/3 (um terço) da hora normal</w:t>
      </w:r>
      <w:r>
        <w:rPr>
          <w:rFonts w:ascii="Verdana" w:hAnsi="Verdana" w:cs="Verdana"/>
          <w:sz w:val="22"/>
          <w:szCs w:val="22"/>
        </w:rPr>
        <w:t xml:space="preserve">, a título de sobreaviso, na forma do item II da Súmula 428 do C. TST.</w:t>
      </w:r>
    </w:p>
    <w:p>
      <w:pPr>
        <w:spacing w:before="280" w:after="20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DA SUPRESSÃO DO INTERVALO INTERJORNADA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Encerrando o labor por volta das 21h00 e reiniciando-o às 06h00 do dia seguinte, o reclamante usufruía de apenas </w:t>
      </w:r>
      <w:r>
        <w:rPr>
          <w:rFonts w:ascii="Verdana" w:hAnsi="Verdana" w:cs="Verdana"/>
          <w:sz w:val="22"/>
          <w:szCs w:val="22"/>
          <w:b/>
        </w:rPr>
        <w:t xml:space="preserve">9 (nove) horas</w:t>
      </w:r>
      <w:r>
        <w:rPr>
          <w:rFonts w:ascii="Verdana" w:hAnsi="Verdana" w:cs="Verdana"/>
          <w:sz w:val="22"/>
          <w:szCs w:val="22"/>
        </w:rPr>
        <w:t xml:space="preserve"> de descanso entre duas jornadas, quando a lei lhe assegura no mínimo 11 (onze). Verifica-se, portanto, supressão diária de </w:t>
      </w:r>
      <w:r>
        <w:rPr>
          <w:rFonts w:ascii="Verdana" w:hAnsi="Verdana" w:cs="Verdana"/>
          <w:sz w:val="22"/>
          <w:szCs w:val="22"/>
          <w:b/>
        </w:rPr>
        <w:t xml:space="preserve">2 (duas) horas</w:t>
      </w:r>
      <w:r>
        <w:rPr>
          <w:rFonts w:ascii="Verdana" w:hAnsi="Verdana" w:cs="Verdana"/>
          <w:sz w:val="22"/>
          <w:szCs w:val="22"/>
        </w:rPr>
        <w:t xml:space="preserve">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Dispõe o artigo 66 da CLT:</w:t>
      </w:r>
    </w:p>
    <w:p>
      <w:pPr>
        <w:spacing w:before="120" w:after="120" w:line="276" w:lineRule="auto"/>
        <w:ind w:left="2268"/>
        <w:jc w:val="both"/>
      </w:pPr>
      <w:r>
        <w:rPr>
          <w:rFonts w:ascii="Verdana" w:hAnsi="Verdana" w:cs="Verdana"/>
          <w:sz w:val="20"/>
          <w:szCs w:val="20"/>
          <w:i/>
        </w:rPr>
        <w:t xml:space="preserve">Art. 66 — Entre 2 (duas) jornadas de trabalho haverá um período mínimo de 11 (onze) horas consecutivas para descanso.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E a consequência do descumprimento está fixada na Orientação Jurisprudencial 355 da SDI-1 do C. TST:</w:t>
      </w:r>
    </w:p>
    <w:p>
      <w:pPr>
        <w:spacing w:before="120" w:after="120" w:line="276" w:lineRule="auto"/>
        <w:ind w:left="2268"/>
        <w:jc w:val="both"/>
      </w:pPr>
      <w:r>
        <w:rPr>
          <w:rFonts w:ascii="Verdana" w:hAnsi="Verdana" w:cs="Verdana"/>
          <w:sz w:val="20"/>
          <w:szCs w:val="20"/>
          <w:i/>
        </w:rPr>
        <w:t xml:space="preserve">OJ 355 da SDI-1 do TST — INTERVALO INTERJORNADAS. INOBSERVÂNCIA. HORAS EXTRAS. PERÍODO PAGO COMO SOBREJORNADA. ART. 66 DA CLT. APLICAÇÃO ANALÓGICA DO § 4º DO ART. 71 DA CLT. O desrespeito ao intervalo mínimo interjornadas previsto no art. 66 da CLT acarreta, por analogia, os mesmos efeitos previstos no § 4º do art. 71 da CLT e na Súmula nº 110 do TST, devendo-se pagar a integralidade das horas que foram subtraídas do intervalo, acrescidas do respectivo adicional.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Requer, pois, o pagamento das </w:t>
      </w:r>
      <w:r>
        <w:rPr>
          <w:rFonts w:ascii="Verdana" w:hAnsi="Verdana" w:cs="Verdana"/>
          <w:sz w:val="22"/>
          <w:szCs w:val="22"/>
          <w:b/>
        </w:rPr>
        <w:t xml:space="preserve">2 (duas) horas diárias suprimidas do intervalo interjornada</w:t>
      </w:r>
      <w:r>
        <w:rPr>
          <w:rFonts w:ascii="Verdana" w:hAnsi="Verdana" w:cs="Verdana"/>
          <w:sz w:val="22"/>
          <w:szCs w:val="22"/>
        </w:rPr>
        <w:t xml:space="preserve">, ao longo dos aproximadamente 149 dias de efetivo labor, acrescidas do adicional de 50% e dos respectivos reflexos.</w:t>
      </w:r>
    </w:p>
    <w:p>
      <w:pPr>
        <w:spacing w:before="280" w:after="20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DO DESCANSO INTERSEMANAL DE 35 HORAS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O regime imposto pela reclamada — viagens de 15 a 20 dias consecutivos com folgas acumuladas ao final — suprimiu, semana após semana, o descanso intersemanal a que o obreiro fazia jus.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Com efeito, a soma do intervalo interjornada de 11 horas (art. 66 da CLT) com o repouso semanal remunerado de 24 horas (art. 67 da CLT) impõe descanso mínimo de </w:t>
      </w:r>
      <w:r>
        <w:rPr>
          <w:rFonts w:ascii="Verdana" w:hAnsi="Verdana" w:cs="Verdana"/>
          <w:sz w:val="22"/>
          <w:szCs w:val="22"/>
          <w:b/>
        </w:rPr>
        <w:t xml:space="preserve">35 (trinta e cinco) horas consecutivas</w:t>
      </w:r>
      <w:r>
        <w:rPr>
          <w:rFonts w:ascii="Verdana" w:hAnsi="Verdana" w:cs="Verdana"/>
          <w:sz w:val="22"/>
          <w:szCs w:val="22"/>
        </w:rPr>
        <w:t xml:space="preserve"> a cada semana, previsão reforçada, para o motorista profissional, pelo artigo 235-D da CLT.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Estabelece o artigo 67 da CLT:</w:t>
      </w:r>
    </w:p>
    <w:p>
      <w:pPr>
        <w:spacing w:before="120" w:after="120" w:line="276" w:lineRule="auto"/>
        <w:ind w:left="2268"/>
        <w:jc w:val="both"/>
      </w:pPr>
      <w:r>
        <w:rPr>
          <w:rFonts w:ascii="Verdana" w:hAnsi="Verdana" w:cs="Verdana"/>
          <w:sz w:val="20"/>
          <w:szCs w:val="20"/>
          <w:i/>
        </w:rPr>
        <w:t xml:space="preserve">Art. 67 — Será assegurado a todo empregado um descanso semanal de 24 (vinte e quatro) horas consecutivas, o qual, salvo motivo de conveniência pública ou necessidade imperiosa do serviço, deverá coincidir com o domingo, no todo ou em parte.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Cumpre consignar que o Excelso Supremo Tribunal Federal, no já citado julgamento da </w:t>
      </w:r>
      <w:r>
        <w:rPr>
          <w:rFonts w:ascii="Verdana" w:hAnsi="Verdana" w:cs="Verdana"/>
          <w:sz w:val="22"/>
          <w:szCs w:val="22"/>
          <w:b/>
        </w:rPr>
        <w:t xml:space="preserve">ADI 5322</w:t>
      </w:r>
      <w:r>
        <w:rPr>
          <w:rFonts w:ascii="Verdana" w:hAnsi="Verdana" w:cs="Verdana"/>
          <w:sz w:val="22"/>
          <w:szCs w:val="22"/>
        </w:rPr>
        <w:t xml:space="preserve">, declarou </w:t>
      </w:r>
      <w:r>
        <w:rPr>
          <w:rFonts w:ascii="Verdana" w:hAnsi="Verdana" w:cs="Verdana"/>
          <w:sz w:val="22"/>
          <w:szCs w:val="22"/>
          <w:b/>
        </w:rPr>
        <w:t xml:space="preserve">inconstitucional o fracionamento e o acúmulo do repouso semanal</w:t>
      </w:r>
      <w:r>
        <w:rPr>
          <w:rFonts w:ascii="Verdana" w:hAnsi="Verdana" w:cs="Verdana"/>
          <w:sz w:val="22"/>
          <w:szCs w:val="22"/>
        </w:rPr>
        <w:t xml:space="preserve">, bem como a sua fruição condicionada ao retorno do motorista à base da empresa ou ao seu domicílio — que é exatamente a prática adotada pela reclamada.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O "folgar dois dias depois de vinte rodando" não é descanso semanal: é sonegação parcelada do direito à desconexão!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No mesmo sentido caminha o C. TST, conforme decidido no </w:t>
      </w:r>
      <w:r>
        <w:rPr>
          <w:rFonts w:ascii="Verdana" w:hAnsi="Verdana" w:cs="Verdana"/>
          <w:sz w:val="22"/>
          <w:szCs w:val="22"/>
          <w:b/>
        </w:rPr>
        <w:t xml:space="preserve">AIRR-0000212-77.2016.5.23.0007</w:t>
      </w:r>
      <w:r>
        <w:rPr>
          <w:rFonts w:ascii="Verdana" w:hAnsi="Verdana" w:cs="Verdana"/>
          <w:sz w:val="22"/>
          <w:szCs w:val="22"/>
        </w:rPr>
        <w:t xml:space="preserve">, de relatoria do Exmo. Ministro Mauricio Godinho Delgado, 3ª Turma, julgado em 12/11/2024.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Requer, assim, o reclamante o pagamento das </w:t>
      </w:r>
      <w:r>
        <w:rPr>
          <w:rFonts w:ascii="Verdana" w:hAnsi="Verdana" w:cs="Verdana"/>
          <w:sz w:val="22"/>
          <w:szCs w:val="22"/>
          <w:b/>
        </w:rPr>
        <w:t xml:space="preserve">horas relativas ao descanso intersemanal de 35 horas suprimido</w:t>
      </w:r>
      <w:r>
        <w:rPr>
          <w:rFonts w:ascii="Verdana" w:hAnsi="Verdana" w:cs="Verdana"/>
          <w:sz w:val="22"/>
          <w:szCs w:val="22"/>
        </w:rPr>
        <w:t xml:space="preserve">, estimadas em 20 (vinte) ocorrências ao longo do contrato, com o respectivo adicional.</w:t>
      </w:r>
    </w:p>
    <w:p>
      <w:pPr>
        <w:spacing w:before="280" w:after="20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DOS DOMINGOS E FERIADOS TRABALHADOS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Em razão do regime de viagens longas acima descrito, o reclamante laborava habitualmente aos domingos e feriados, sem que jamais tenha recebido a respectiva contraprestação em dobro ou usufruído da devida compensação.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 matéria está sumulada:</w:t>
      </w:r>
    </w:p>
    <w:p>
      <w:pPr>
        <w:spacing w:before="120" w:after="120" w:line="276" w:lineRule="auto"/>
        <w:ind w:left="2268"/>
        <w:jc w:val="both"/>
      </w:pPr>
      <w:r>
        <w:rPr>
          <w:rFonts w:ascii="Verdana" w:hAnsi="Verdana" w:cs="Verdana"/>
          <w:sz w:val="20"/>
          <w:szCs w:val="20"/>
          <w:i/>
        </w:rPr>
        <w:t xml:space="preserve">Súmula 146 do TST — TRABALHO EM DOMINGOS E FERIADOS, NÃO COMPENSADO. O trabalho prestado em domingos e feriados, não compensado, deve ser pago em dobro, sem prejuízo da remuneração relativa ao repouso semanal.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E, considerando que o obreiro permanecia até 20 dias consecutivos em labor, incide também a Orientação Jurisprudencial 410 da SDI-1:</w:t>
      </w:r>
    </w:p>
    <w:p>
      <w:pPr>
        <w:spacing w:before="120" w:after="120" w:line="276" w:lineRule="auto"/>
        <w:ind w:left="2268"/>
        <w:jc w:val="both"/>
      </w:pPr>
      <w:r>
        <w:rPr>
          <w:rFonts w:ascii="Verdana" w:hAnsi="Verdana" w:cs="Verdana"/>
          <w:sz w:val="20"/>
          <w:szCs w:val="20"/>
          <w:i/>
        </w:rPr>
        <w:t xml:space="preserve">OJ 410 da SDI-1 do TST — REPOUSO SEMANAL REMUNERADO. CONCESSÃO APÓS O SÉTIMO DIA CONSECUTIVO DE TRABALHO. ART. 7º, XV, DA CF. VIOLAÇÃO. Viola o art. 7º, XV, da CF a concessão do repouso semanal remunerado após o sétimo dia consecutivo de trabalho, importando no seu pagamento em dobro.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Requer, pois, o pagamento </w:t>
      </w:r>
      <w:r>
        <w:rPr>
          <w:rFonts w:ascii="Verdana" w:hAnsi="Verdana" w:cs="Verdana"/>
          <w:sz w:val="22"/>
          <w:szCs w:val="22"/>
          <w:b/>
        </w:rPr>
        <w:t xml:space="preserve">em dobro dos domingos e feriados laborados</w:t>
      </w:r>
      <w:r>
        <w:rPr>
          <w:rFonts w:ascii="Verdana" w:hAnsi="Verdana" w:cs="Verdana"/>
          <w:sz w:val="22"/>
          <w:szCs w:val="22"/>
        </w:rPr>
        <w:t xml:space="preserve">, estimados em 29 (vinte e nove) dias no curso do contrato, sem prejuízo da remuneração relativa ao repouso, com os reflexos legais.</w:t>
      </w:r>
    </w:p>
    <w:p>
      <w:pPr>
        <w:spacing w:before="280" w:after="20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DO ADICIONAL NOTURNO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Embora a jornada média do reclamante se iniciasse às 06h00, a natureza do transporte rodoviário de longa distância impunha-lhe, com habitualidade, o labor em período noturno.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 prova mais eloquente está nos autos: o </w:t>
      </w:r>
      <w:r>
        <w:rPr>
          <w:rFonts w:ascii="Verdana" w:hAnsi="Verdana" w:cs="Verdana"/>
          <w:sz w:val="22"/>
          <w:szCs w:val="22"/>
          <w:b/>
        </w:rPr>
        <w:t xml:space="preserve">Laudo Pericial nº 25036883B01 da Polícia Rodoviária Federal</w:t>
      </w:r>
      <w:r>
        <w:rPr>
          <w:rFonts w:ascii="Verdana" w:hAnsi="Verdana" w:cs="Verdana"/>
          <w:sz w:val="22"/>
          <w:szCs w:val="22"/>
        </w:rPr>
        <w:t xml:space="preserve"> registra que, em </w:t>
      </w:r>
      <w:r>
        <w:rPr>
          <w:rFonts w:ascii="Verdana" w:hAnsi="Verdana" w:cs="Verdana"/>
          <w:sz w:val="22"/>
          <w:szCs w:val="22"/>
          <w:b/>
        </w:rPr>
        <w:t xml:space="preserve">05/07/2025, às 04h05</w:t>
      </w:r>
      <w:r>
        <w:rPr>
          <w:rFonts w:ascii="Verdana" w:hAnsi="Verdana" w:cs="Verdana"/>
          <w:sz w:val="22"/>
          <w:szCs w:val="22"/>
        </w:rPr>
        <w:t xml:space="preserve">, em "plena noite", o reclamante conduzia o caminhão-trator da reclamada pela BR-381, no km 843,3, transportando carga de nutrição animal da empresa Multitécnica Industrial S/A (Nota Fiscal nº 000206270, no valor de R$ 201.873,71).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Ou seja, Excelência: </w:t>
      </w:r>
      <w:r>
        <w:rPr>
          <w:rFonts w:ascii="Verdana" w:hAnsi="Verdana" w:cs="Verdana"/>
          <w:sz w:val="22"/>
          <w:szCs w:val="22"/>
          <w:b/>
        </w:rPr>
        <w:t xml:space="preserve">há prova oficial, produzida por autoridade pública, de que o obreiro dirigia às quatro horas da madrugada a serviço da empresa ré.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Dispõe o artigo 73 da CLT:</w:t>
      </w:r>
    </w:p>
    <w:p>
      <w:pPr>
        <w:spacing w:before="120" w:after="120" w:line="276" w:lineRule="auto"/>
        <w:ind w:left="2268"/>
        <w:jc w:val="both"/>
      </w:pPr>
      <w:r>
        <w:rPr>
          <w:rFonts w:ascii="Verdana" w:hAnsi="Verdana" w:cs="Verdana"/>
          <w:sz w:val="20"/>
          <w:szCs w:val="20"/>
          <w:i/>
        </w:rPr>
        <w:t xml:space="preserve">Art. 73 — Salvo nos casos de revezamento semanal ou quinzenal, o trabalho noturno terá remuneração superior a do diurno e, para esse efeito, sua remuneração terá um acréscimo de 20% (vinte por cento), pelo menos, sobre a hora diurna.</w:t>
      </w:r>
    </w:p>
    <w:p>
      <w:pPr>
        <w:spacing w:before="120" w:after="120" w:line="276" w:lineRule="auto"/>
        <w:ind w:left="2268"/>
        <w:jc w:val="both"/>
      </w:pPr>
      <w:r>
        <w:rPr>
          <w:rFonts w:ascii="Verdana" w:hAnsi="Verdana" w:cs="Verdana"/>
          <w:sz w:val="20"/>
          <w:szCs w:val="20"/>
          <w:i/>
        </w:rPr>
        <w:t xml:space="preserve">Art. 73, § 2º — Considera-se noturno, para os efeitos deste artigo, o trabalho executado entre as 22 (vinte e duas) horas de um dia e as 5 (cinco) horas do dia seguinte.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Requer, portanto, o pagamento do </w:t>
      </w:r>
      <w:r>
        <w:rPr>
          <w:rFonts w:ascii="Verdana" w:hAnsi="Verdana" w:cs="Verdana"/>
          <w:sz w:val="22"/>
          <w:szCs w:val="22"/>
          <w:b/>
        </w:rPr>
        <w:t xml:space="preserve">adicional noturno de 20%</w:t>
      </w:r>
      <w:r>
        <w:rPr>
          <w:rFonts w:ascii="Verdana" w:hAnsi="Verdana" w:cs="Verdana"/>
          <w:sz w:val="22"/>
          <w:szCs w:val="22"/>
        </w:rPr>
        <w:t xml:space="preserve"> (ou do percentual superior previsto em norma coletiva), com a devida observância da hora noturna reduzida, acrescido dos reflexos legais, apurando-se as horas em liquidação de sentença a partir dos dados de rastreamento a serem exibidos pela reclamada.</w:t>
      </w:r>
    </w:p>
    <w:p>
      <w:pPr>
        <w:spacing w:before="280" w:after="20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DO ACIDENTE DO TRABALHO E DO NEXO CAUSAL COM A JORNADA EXAUSTIVA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Chega-se, Excelência, ao capítulo mais grave desta demanda.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No dia </w:t>
      </w:r>
      <w:r>
        <w:rPr>
          <w:rFonts w:ascii="Verdana" w:hAnsi="Verdana" w:cs="Verdana"/>
          <w:sz w:val="22"/>
          <w:szCs w:val="22"/>
          <w:b/>
        </w:rPr>
        <w:t xml:space="preserve">05/07/2025, por volta das 04h05</w:t>
      </w:r>
      <w:r>
        <w:rPr>
          <w:rFonts w:ascii="Verdana" w:hAnsi="Verdana" w:cs="Verdana"/>
          <w:sz w:val="22"/>
          <w:szCs w:val="22"/>
        </w:rPr>
        <w:t xml:space="preserve">, no km 843,3 da BR-381, em São Sebastião da Bela Vista/MG, o reclamante, conduzindo o caminhão-trator Scania/G 380 placa EHH-8E45 com o semirreboque Randon placa HGJ-0A68 a serviço da reclamada, </w:t>
      </w:r>
      <w:r>
        <w:rPr>
          <w:rFonts w:ascii="Verdana" w:hAnsi="Verdana" w:cs="Verdana"/>
          <w:sz w:val="22"/>
          <w:szCs w:val="22"/>
          <w:b/>
        </w:rPr>
        <w:t xml:space="preserve">colidiu contra o guard-rail, saiu do leito carroçável e capotou</w:t>
      </w:r>
      <w:r>
        <w:rPr>
          <w:rFonts w:ascii="Verdana" w:hAnsi="Verdana" w:cs="Verdana"/>
          <w:sz w:val="22"/>
          <w:szCs w:val="22"/>
        </w:rPr>
        <w:t xml:space="preserve">, sofrendo lesões corporais que exigiram sua remoção e internação no Hospital Samuel Libânio, em Pouso Alegre/MG.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O que a perícia oficial constatou é decisivo para o deslinde da causa. Transcreve-se, do Laudo Pericial nº 25036883B01 da Polícia Rodoviária Federal:</w:t>
      </w:r>
    </w:p>
    <w:p>
      <w:pPr>
        <w:spacing w:before="120" w:after="120" w:line="276" w:lineRule="auto"/>
        <w:ind w:left="2268"/>
        <w:jc w:val="both"/>
      </w:pPr>
      <w:r>
        <w:rPr>
          <w:rFonts w:ascii="Verdana" w:hAnsi="Verdana" w:cs="Verdana"/>
          <w:sz w:val="20"/>
          <w:szCs w:val="20"/>
          <w:i/>
        </w:rPr>
        <w:t xml:space="preserve">"Conforme constatações em levantamento do local, conclui-se que o fator determinante do sinistro foi ausência de reação do condutor. Não foram identificados quaisquer sinais de frenagem antes do primeiro evento (colisão com guard rail)."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O relatório de marcas no pavimento é ainda mais eloquente: </w:t>
      </w:r>
      <w:r>
        <w:rPr>
          <w:rFonts w:ascii="Verdana" w:hAnsi="Verdana" w:cs="Verdana"/>
          <w:sz w:val="22"/>
          <w:szCs w:val="22"/>
          <w:b/>
        </w:rPr>
        <w:t xml:space="preserve">frenagem 0,00 m; derrapagem 0,00 m; arrastamento 50,00 m</w:t>
      </w:r>
      <w:r>
        <w:rPr>
          <w:rFonts w:ascii="Verdana" w:hAnsi="Verdana" w:cs="Verdana"/>
          <w:sz w:val="22"/>
          <w:szCs w:val="22"/>
        </w:rPr>
        <w:t xml:space="preserve">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Vejamos o que esses números significam. Não houve frenagem. Não houve desvio. Não houve derrapagem. O veículo simplesmente seguiu em linha reta contra o guard-rail, em trecho de curva, e arrastou-se por cinquenta metros. O laudo registrou, ademais, que a pista estava </w:t>
      </w:r>
      <w:r>
        <w:rPr>
          <w:rFonts w:ascii="Verdana" w:hAnsi="Verdana" w:cs="Verdana"/>
          <w:sz w:val="22"/>
          <w:szCs w:val="22"/>
          <w:b/>
        </w:rPr>
        <w:t xml:space="preserve">seca</w:t>
      </w:r>
      <w:r>
        <w:rPr>
          <w:rFonts w:ascii="Verdana" w:hAnsi="Verdana" w:cs="Verdana"/>
          <w:sz w:val="22"/>
          <w:szCs w:val="22"/>
        </w:rPr>
        <w:t xml:space="preserve">, o céu </w:t>
      </w:r>
      <w:r>
        <w:rPr>
          <w:rFonts w:ascii="Verdana" w:hAnsi="Verdana" w:cs="Verdana"/>
          <w:sz w:val="22"/>
          <w:szCs w:val="22"/>
          <w:b/>
        </w:rPr>
        <w:t xml:space="preserve">claro</w:t>
      </w:r>
      <w:r>
        <w:rPr>
          <w:rFonts w:ascii="Verdana" w:hAnsi="Verdana" w:cs="Verdana"/>
          <w:sz w:val="22"/>
          <w:szCs w:val="22"/>
        </w:rPr>
        <w:t xml:space="preserve">, a sinalização </w:t>
      </w:r>
      <w:r>
        <w:rPr>
          <w:rFonts w:ascii="Verdana" w:hAnsi="Verdana" w:cs="Verdana"/>
          <w:sz w:val="22"/>
          <w:szCs w:val="22"/>
          <w:b/>
        </w:rPr>
        <w:t xml:space="preserve">em ordem</w:t>
      </w:r>
      <w:r>
        <w:rPr>
          <w:rFonts w:ascii="Verdana" w:hAnsi="Verdana" w:cs="Verdana"/>
          <w:sz w:val="22"/>
          <w:szCs w:val="22"/>
        </w:rPr>
        <w:t xml:space="preserve"> e o pavimento </w:t>
      </w:r>
      <w:r>
        <w:rPr>
          <w:rFonts w:ascii="Verdana" w:hAnsi="Verdana" w:cs="Verdana"/>
          <w:sz w:val="22"/>
          <w:szCs w:val="22"/>
          <w:b/>
        </w:rPr>
        <w:t xml:space="preserve">em bom estado de conservação</w:t>
      </w:r>
      <w:r>
        <w:rPr>
          <w:rFonts w:ascii="Verdana" w:hAnsi="Verdana" w:cs="Verdana"/>
          <w:sz w:val="22"/>
          <w:szCs w:val="22"/>
        </w:rPr>
        <w:t xml:space="preserve">. Não havia, portanto, qualquer fator externo a que se pudesse atribuir o sinistro.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 "ausência de reação do condutor", às 04h05 da madrugada, ao cabo de jornadas de 14 horas diárias em viagem que já se estendia por dias consecutivos, tem nome técnico e jurídico: </w:t>
      </w:r>
      <w:r>
        <w:rPr>
          <w:rFonts w:ascii="Verdana" w:hAnsi="Verdana" w:cs="Verdana"/>
          <w:sz w:val="22"/>
          <w:szCs w:val="22"/>
          <w:b/>
        </w:rPr>
        <w:t xml:space="preserve">fadiga</w:t>
      </w:r>
      <w:r>
        <w:rPr>
          <w:rFonts w:ascii="Verdana" w:hAnsi="Verdana" w:cs="Verdana"/>
          <w:sz w:val="22"/>
          <w:szCs w:val="22"/>
        </w:rPr>
        <w:t xml:space="preserve">. E a fadiga, Excelência, não é fatalidade — é o resultado previsível e evitável do regime de trabalho imposto pela reclamada.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Não por outra razão a Lei 13.103/2015 e o artigo 235-C da CLT impõem limites de jornada e descanso ao motorista profissional: precisamente porque a segurança viária depende do respeito a esses limites. A reclamada, ao exigir do obreiro 84 horas semanais, ao suprimir-lhe o intervalo interjornada e o descanso intersemanal, e ao mantê-lo em viagens de 15 a 20 dias consecutivos, </w:t>
      </w:r>
      <w:r>
        <w:rPr>
          <w:rFonts w:ascii="Verdana" w:hAnsi="Verdana" w:cs="Verdana"/>
          <w:sz w:val="22"/>
          <w:szCs w:val="22"/>
          <w:b/>
        </w:rPr>
        <w:t xml:space="preserve">criou o risco que se materializou no capotamento</w:t>
      </w:r>
      <w:r>
        <w:rPr>
          <w:rFonts w:ascii="Verdana" w:hAnsi="Verdana" w:cs="Verdana"/>
          <w:sz w:val="22"/>
          <w:szCs w:val="22"/>
        </w:rPr>
        <w:t xml:space="preserve">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Frise-se, ainda, que a reclamada remunerava o obreiro por </w:t>
      </w:r>
      <w:r>
        <w:rPr>
          <w:rFonts w:ascii="Verdana" w:hAnsi="Verdana" w:cs="Verdana"/>
          <w:sz w:val="22"/>
          <w:szCs w:val="22"/>
          <w:b/>
        </w:rPr>
        <w:t xml:space="preserve">comissão sobre o frete e por carga e descarga</w:t>
      </w:r>
      <w:r>
        <w:rPr>
          <w:rFonts w:ascii="Verdana" w:hAnsi="Verdana" w:cs="Verdana"/>
          <w:sz w:val="22"/>
          <w:szCs w:val="22"/>
        </w:rPr>
        <w:t xml:space="preserve"> — sistemática que, por si só, estimula o motorista a rodar além dos limites legais, e que o artigo 235-G da CLT admite </w:t>
      </w:r>
      <w:r>
        <w:rPr>
          <w:rFonts w:ascii="Verdana" w:hAnsi="Verdana" w:cs="Verdana"/>
          <w:sz w:val="22"/>
          <w:szCs w:val="22"/>
          <w:b/>
        </w:rPr>
        <w:t xml:space="preserve">apenas na medida em que não comprometa a segurança da rodovia e da coletividade</w:t>
      </w:r>
      <w:r>
        <w:rPr>
          <w:rFonts w:ascii="Verdana" w:hAnsi="Verdana" w:cs="Verdana"/>
          <w:sz w:val="22"/>
          <w:szCs w:val="22"/>
        </w:rPr>
        <w:t xml:space="preserve">. No caso, comprometeu.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Estão presentes, portanto, todos os elementos da responsabilidade civil: a </w:t>
      </w:r>
      <w:r>
        <w:rPr>
          <w:rFonts w:ascii="Verdana" w:hAnsi="Verdana" w:cs="Verdana"/>
          <w:sz w:val="22"/>
          <w:szCs w:val="22"/>
          <w:b/>
        </w:rPr>
        <w:t xml:space="preserve">conduta ilícita</w:t>
      </w:r>
      <w:r>
        <w:rPr>
          <w:rFonts w:ascii="Verdana" w:hAnsi="Verdana" w:cs="Verdana"/>
          <w:sz w:val="22"/>
          <w:szCs w:val="22"/>
        </w:rPr>
        <w:t xml:space="preserve"> (jornada exaustiva, em afronta à legislação de regência), o </w:t>
      </w:r>
      <w:r>
        <w:rPr>
          <w:rFonts w:ascii="Verdana" w:hAnsi="Verdana" w:cs="Verdana"/>
          <w:sz w:val="22"/>
          <w:szCs w:val="22"/>
          <w:b/>
        </w:rPr>
        <w:t xml:space="preserve">dano</w:t>
      </w:r>
      <w:r>
        <w:rPr>
          <w:rFonts w:ascii="Verdana" w:hAnsi="Verdana" w:cs="Verdana"/>
          <w:sz w:val="22"/>
          <w:szCs w:val="22"/>
        </w:rPr>
        <w:t xml:space="preserve"> (lesões corporais sofridas no capotamento) e o </w:t>
      </w:r>
      <w:r>
        <w:rPr>
          <w:rFonts w:ascii="Verdana" w:hAnsi="Verdana" w:cs="Verdana"/>
          <w:sz w:val="22"/>
          <w:szCs w:val="22"/>
          <w:b/>
        </w:rPr>
        <w:t xml:space="preserve">nexo causal</w:t>
      </w:r>
      <w:r>
        <w:rPr>
          <w:rFonts w:ascii="Verdana" w:hAnsi="Verdana" w:cs="Verdana"/>
          <w:sz w:val="22"/>
          <w:szCs w:val="22"/>
        </w:rPr>
        <w:t xml:space="preserve"> (a fadiga como fator determinante, atestada pela perícia oficial). Incidem os artigos 186 e 927 do Código Civil e o artigo 7º, XXVIII, da Constituição Federal:</w:t>
      </w:r>
    </w:p>
    <w:p>
      <w:pPr>
        <w:spacing w:before="120" w:after="120" w:line="276" w:lineRule="auto"/>
        <w:ind w:left="2268"/>
        <w:jc w:val="both"/>
      </w:pPr>
      <w:r>
        <w:rPr>
          <w:rFonts w:ascii="Verdana" w:hAnsi="Verdana" w:cs="Verdana"/>
          <w:sz w:val="20"/>
          <w:szCs w:val="20"/>
          <w:i/>
        </w:rPr>
        <w:t xml:space="preserve">Art. 186 do Código Civil — Aquele que, por ação ou omissão voluntária, negligência ou imprudência, violar direito e causar dano a outrem, ainda que exclusivamente moral, comete ato ilícito.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Outrossim, cumpre invocar o parágrafo único do artigo 927 do Código Civil, porquanto o transporte rodoviário de cargas em longa distância constitui </w:t>
      </w:r>
      <w:r>
        <w:rPr>
          <w:rFonts w:ascii="Verdana" w:hAnsi="Verdana" w:cs="Verdana"/>
          <w:sz w:val="22"/>
          <w:szCs w:val="22"/>
          <w:b/>
        </w:rPr>
        <w:t xml:space="preserve">atividade de risco acentuado</w:t>
      </w:r>
      <w:r>
        <w:rPr>
          <w:rFonts w:ascii="Verdana" w:hAnsi="Verdana" w:cs="Verdana"/>
          <w:sz w:val="22"/>
          <w:szCs w:val="22"/>
        </w:rPr>
        <w:t xml:space="preserve">, o que atrai a responsabilidade objetiva do empregador:</w:t>
      </w:r>
    </w:p>
    <w:p>
      <w:pPr>
        <w:spacing w:before="120" w:after="120" w:line="276" w:lineRule="auto"/>
        <w:ind w:left="2268"/>
        <w:jc w:val="both"/>
      </w:pPr>
      <w:r>
        <w:rPr>
          <w:rFonts w:ascii="Verdana" w:hAnsi="Verdana" w:cs="Verdana"/>
          <w:sz w:val="20"/>
          <w:szCs w:val="20"/>
          <w:i/>
        </w:rPr>
        <w:t xml:space="preserve">Art. 927, parágrafo único, do Código Civil — Haverá obrigação de reparar o dano, independentemente de culpa, nos casos especificados em lei, ou quando a atividade normalmente desenvolvida pelo autor do dano implicar, por sua natureza, risco para os direitos de outrem.</w:t>
      </w:r>
    </w:p>
    <w:p>
      <w:pPr>
        <w:spacing w:before="280" w:after="20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DA OMISSÃO NA EMISSÃO DA CAT E DA GARANTIA DE EMPREGO ACIDENTÁRIA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O acidente ocorreu em 05/07/2025. O reclamante foi hospitalizado, afastando-se do trabalho. E a reclamada, em </w:t>
      </w:r>
      <w:r>
        <w:rPr>
          <w:rFonts w:ascii="Verdana" w:hAnsi="Verdana" w:cs="Verdana"/>
          <w:sz w:val="22"/>
          <w:szCs w:val="22"/>
          <w:b/>
        </w:rPr>
        <w:t xml:space="preserve">24/07/2025 — apenas 19 (dezenove) dias depois do capotamento</w:t>
      </w:r>
      <w:r>
        <w:rPr>
          <w:rFonts w:ascii="Verdana" w:hAnsi="Verdana" w:cs="Verdana"/>
          <w:sz w:val="22"/>
          <w:szCs w:val="22"/>
        </w:rPr>
        <w:t xml:space="preserve">, com o obreiro ainda em recuperação —, dispensou-o sem justa causa.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Antes disso, contudo, a empresa </w:t>
      </w:r>
      <w:r>
        <w:rPr>
          <w:rFonts w:ascii="Verdana" w:hAnsi="Verdana" w:cs="Verdana"/>
          <w:sz w:val="22"/>
          <w:szCs w:val="22"/>
          <w:b/>
        </w:rPr>
        <w:t xml:space="preserve">deixou de emitir a Comunicação de Acidente do Trabalho — CAT</w:t>
      </w:r>
      <w:r>
        <w:rPr>
          <w:rFonts w:ascii="Verdana" w:hAnsi="Verdana" w:cs="Verdana"/>
          <w:sz w:val="22"/>
          <w:szCs w:val="22"/>
        </w:rPr>
        <w:t xml:space="preserve">, descumprindo obrigação legal expressa:</w:t>
      </w:r>
    </w:p>
    <w:p>
      <w:pPr>
        <w:spacing w:before="120" w:after="120" w:line="276" w:lineRule="auto"/>
        <w:ind w:left="2268"/>
        <w:jc w:val="both"/>
      </w:pPr>
      <w:r>
        <w:rPr>
          <w:rFonts w:ascii="Verdana" w:hAnsi="Verdana" w:cs="Verdana"/>
          <w:sz w:val="20"/>
          <w:szCs w:val="20"/>
          <w:i/>
        </w:rPr>
        <w:t xml:space="preserve">Art. 22 da Lei 8.213/91 — A empresa deverá comunicar o acidente do trabalho à Previdência Social até o primeiro dia útil seguinte ao da ocorrência e, em caso de morte, de imediato, à autoridade competente, sob pena de multa variável entre o limite mínimo e o limite máximo do salário de contribuição, sucessivamente aumentada nas reincidências, aplicada e cobrada pela Previdência Social.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 omissão não é acidental. Ao sonegar a CAT, a reclamada impediu que o obreiro percebesse o </w:t>
      </w:r>
      <w:r>
        <w:rPr>
          <w:rFonts w:ascii="Verdana" w:hAnsi="Verdana" w:cs="Verdana"/>
          <w:sz w:val="22"/>
          <w:szCs w:val="22"/>
          <w:b/>
        </w:rPr>
        <w:t xml:space="preserve">auxílio-doença acidentário</w:t>
      </w:r>
      <w:r>
        <w:rPr>
          <w:rFonts w:ascii="Verdana" w:hAnsi="Verdana" w:cs="Verdana"/>
          <w:sz w:val="22"/>
          <w:szCs w:val="22"/>
        </w:rPr>
        <w:t xml:space="preserve"> e, por via de consequência, buscou esvaziar a garantia de emprego assegurada pelo artigo 118 da Lei 8.213/91:</w:t>
      </w:r>
    </w:p>
    <w:p>
      <w:pPr>
        <w:spacing w:before="120" w:after="120" w:line="276" w:lineRule="auto"/>
        <w:ind w:left="2268"/>
        <w:jc w:val="both"/>
      </w:pPr>
      <w:r>
        <w:rPr>
          <w:rFonts w:ascii="Verdana" w:hAnsi="Verdana" w:cs="Verdana"/>
          <w:sz w:val="20"/>
          <w:szCs w:val="20"/>
          <w:i/>
        </w:rPr>
        <w:t xml:space="preserve">Art. 118 da Lei 8.213/91 — O segurado que sofreu acidente do trabalho tem garantida, pelo prazo mínimo de doze meses, a manutenção do seu contrato de trabalho na empresa, após a cessação do auxílio-doença acidentário, independentemente de percepção de auxílio-acidente.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Não se pode admitir, Excelência, que a empresa se beneficie da própria torpeza. </w:t>
      </w:r>
      <w:r>
        <w:rPr>
          <w:rFonts w:ascii="Verdana" w:hAnsi="Verdana" w:cs="Verdana"/>
          <w:sz w:val="22"/>
          <w:szCs w:val="22"/>
          <w:b/>
        </w:rPr>
        <w:t xml:space="preserve">A ausência de percepção do benefício acidentário decorreu exclusivamente da omissão patronal</w:t>
      </w:r>
      <w:r>
        <w:rPr>
          <w:rFonts w:ascii="Verdana" w:hAnsi="Verdana" w:cs="Verdana"/>
          <w:sz w:val="22"/>
          <w:szCs w:val="22"/>
        </w:rPr>
        <w:t xml:space="preserve">, de modo que o requisito formal do item II da Súmula 378 do C. TST há de ser tido por suprido, sob pena de se premiar quem descumpre a lei.</w:t>
      </w:r>
    </w:p>
    <w:p>
      <w:pPr>
        <w:spacing w:before="120" w:after="120" w:line="276" w:lineRule="auto"/>
        <w:ind w:left="2268"/>
        <w:jc w:val="both"/>
      </w:pPr>
      <w:r>
        <w:rPr>
          <w:rFonts w:ascii="Verdana" w:hAnsi="Verdana" w:cs="Verdana"/>
          <w:sz w:val="20"/>
          <w:szCs w:val="20"/>
          <w:i/>
        </w:rPr>
        <w:t xml:space="preserve">Súmula 378, II, do TST — São pressupostos para a concessão da estabilidade o afastamento superior a 15 dias e a consequente percepção do auxílio-doença acidentário, salvo se constatada, após a despedida, doença profissional que guarde relação de causalidade com a execução do contrato de emprego.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Registre-se que o obreiro permaneceu afastado do trabalho por </w:t>
      </w:r>
      <w:r>
        <w:rPr>
          <w:rFonts w:ascii="Verdana" w:hAnsi="Verdana" w:cs="Verdana"/>
          <w:sz w:val="22"/>
          <w:szCs w:val="22"/>
          <w:b/>
        </w:rPr>
        <w:t xml:space="preserve">19 dias</w:t>
      </w:r>
      <w:r>
        <w:rPr>
          <w:rFonts w:ascii="Verdana" w:hAnsi="Verdana" w:cs="Verdana"/>
          <w:sz w:val="22"/>
          <w:szCs w:val="22"/>
        </w:rPr>
        <w:t xml:space="preserve"> entre o acidente e a dispensa, período superior aos 15 dias exigidos pelo verbete.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Como se vê, a dispensa levada a efeito em 24/07/2025 é </w:t>
      </w:r>
      <w:r>
        <w:rPr>
          <w:rFonts w:ascii="Verdana" w:hAnsi="Verdana" w:cs="Verdana"/>
          <w:sz w:val="22"/>
          <w:szCs w:val="22"/>
          <w:b/>
        </w:rPr>
        <w:t xml:space="preserve">nula e obstativa</w:t>
      </w:r>
      <w:r>
        <w:rPr>
          <w:rFonts w:ascii="Verdana" w:hAnsi="Verdana" w:cs="Verdana"/>
          <w:sz w:val="22"/>
          <w:szCs w:val="22"/>
        </w:rPr>
        <w:t xml:space="preserve">, praticada com o evidente propósito de impedir a aquisição do direito à garantia de emprego. Aplica-se, por analogia, o artigo 129 do Código Civil, segundo o qual se reputa verificada a condição maliciosamente obstada pela parte a quem desfavorecer.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Tendo o reclamante obtido nova colocação no mercado de trabalho, resta prejudicada a reintegração. Requer, pois, o pagamento da </w:t>
      </w:r>
      <w:r>
        <w:rPr>
          <w:rFonts w:ascii="Verdana" w:hAnsi="Verdana" w:cs="Verdana"/>
          <w:sz w:val="22"/>
          <w:szCs w:val="22"/>
          <w:b/>
        </w:rPr>
        <w:t xml:space="preserve">indenização substitutiva do período estabilitário de 12 (doze) meses</w:t>
      </w:r>
      <w:r>
        <w:rPr>
          <w:rFonts w:ascii="Verdana" w:hAnsi="Verdana" w:cs="Verdana"/>
          <w:sz w:val="22"/>
          <w:szCs w:val="22"/>
        </w:rPr>
        <w:t xml:space="preserve">, correspondente aos salários e demais vantagens do período, calculados sobre a remuneração real de R$ 6.039,18, bem como seja a reclamada </w:t>
      </w:r>
      <w:r>
        <w:rPr>
          <w:rFonts w:ascii="Verdana" w:hAnsi="Verdana" w:cs="Verdana"/>
          <w:sz w:val="22"/>
          <w:szCs w:val="22"/>
          <w:b/>
        </w:rPr>
        <w:t xml:space="preserve">compelida a emitir a CAT</w:t>
      </w:r>
      <w:r>
        <w:rPr>
          <w:rFonts w:ascii="Verdana" w:hAnsi="Verdana" w:cs="Verdana"/>
          <w:sz w:val="22"/>
          <w:szCs w:val="22"/>
        </w:rPr>
        <w:t xml:space="preserve">, sob pena de multa diária, expedindo-se ofício ao INSS e à Superintendência Regional do Trabalho.</w:t>
      </w:r>
    </w:p>
    <w:p>
      <w:pPr>
        <w:spacing w:before="280" w:after="20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DOS DANOS MORAIS E ESTÉTICOS DECORRENTES DO ACIDENTE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Do capotamento resultaram lesões físicas ao reclamante, que sofreu </w:t>
      </w:r>
      <w:r>
        <w:rPr>
          <w:rFonts w:ascii="Verdana" w:hAnsi="Verdana" w:cs="Verdana"/>
          <w:sz w:val="22"/>
          <w:szCs w:val="22"/>
          <w:b/>
        </w:rPr>
        <w:t xml:space="preserve">fratura na região frontal da face</w:t>
      </w:r>
      <w:r>
        <w:rPr>
          <w:rFonts w:ascii="Verdana" w:hAnsi="Verdana" w:cs="Verdana"/>
          <w:sz w:val="22"/>
          <w:szCs w:val="22"/>
        </w:rPr>
        <w:t xml:space="preserve">, com rompimento de placa cirúrgica preexistente, além do inegável abalo psíquico decorrente de ver-se envolvido em sinistro de tamanha gravidade — o veículo, registre-se, foi classificado pela perícia oficial como de </w:t>
      </w:r>
      <w:r>
        <w:rPr>
          <w:rFonts w:ascii="Verdana" w:hAnsi="Verdana" w:cs="Verdana"/>
          <w:sz w:val="22"/>
          <w:szCs w:val="22"/>
          <w:b/>
        </w:rPr>
        <w:t xml:space="preserve">MÉDIA MONTA</w:t>
      </w:r>
      <w:r>
        <w:rPr>
          <w:rFonts w:ascii="Verdana" w:hAnsi="Verdana" w:cs="Verdana"/>
          <w:sz w:val="22"/>
          <w:szCs w:val="22"/>
        </w:rPr>
        <w:t xml:space="preserve">, tal a extensão das avarias.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O dano moral, na hipótese, é </w:t>
      </w:r>
      <w:r>
        <w:rPr>
          <w:rFonts w:ascii="Verdana" w:hAnsi="Verdana" w:cs="Verdana"/>
          <w:sz w:val="22"/>
          <w:szCs w:val="22"/>
          <w:b/>
        </w:rPr>
        <w:t xml:space="preserve">in re ipsa</w:t>
      </w:r>
      <w:r>
        <w:rPr>
          <w:rFonts w:ascii="Verdana" w:hAnsi="Verdana" w:cs="Verdana"/>
          <w:sz w:val="22"/>
          <w:szCs w:val="22"/>
        </w:rPr>
        <w:t xml:space="preserve">: dispensa demonstração específica, porquanto decorre da própria lesão à integridade física e à dignidade do trabalhador, bens jurídicos tutelados pelos artigos 1º, III, e 5º, V e X, da Constituição Federal.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 conduta patronal, ademais, revela-se especialmente reprovável: a reclamada impôs jornada exaustiva, deu causa ao acidente, omitiu-se quanto à CAT e, dezenove dias depois, dispensou o obreiro lesionado. A gradação prevista no artigo 223-G, § 1º, da CLT há de considerar não apenas a extensão do dano, mas a </w:t>
      </w:r>
      <w:r>
        <w:rPr>
          <w:rFonts w:ascii="Verdana" w:hAnsi="Verdana" w:cs="Verdana"/>
          <w:sz w:val="22"/>
          <w:szCs w:val="22"/>
          <w:b/>
        </w:rPr>
        <w:t xml:space="preserve">reiteração e a intensidade do desrespeito</w:t>
      </w:r>
      <w:r>
        <w:rPr>
          <w:rFonts w:ascii="Verdana" w:hAnsi="Verdana" w:cs="Verdana"/>
          <w:sz w:val="22"/>
          <w:szCs w:val="22"/>
        </w:rPr>
        <w:t xml:space="preserve">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Requer, pois, a condenação da reclamada ao pagamento de </w:t>
      </w:r>
      <w:r>
        <w:rPr>
          <w:rFonts w:ascii="Verdana" w:hAnsi="Verdana" w:cs="Verdana"/>
          <w:sz w:val="22"/>
          <w:szCs w:val="22"/>
          <w:b/>
        </w:rPr>
        <w:t xml:space="preserve">indenização por danos morais no importe de R$ 50.000,00 (cinquenta mil reais)</w:t>
      </w:r>
      <w:r>
        <w:rPr>
          <w:rFonts w:ascii="Verdana" w:hAnsi="Verdana" w:cs="Verdana"/>
          <w:sz w:val="22"/>
          <w:szCs w:val="22"/>
        </w:rPr>
        <w:t xml:space="preserve"> e de </w:t>
      </w:r>
      <w:r>
        <w:rPr>
          <w:rFonts w:ascii="Verdana" w:hAnsi="Verdana" w:cs="Verdana"/>
          <w:sz w:val="22"/>
          <w:szCs w:val="22"/>
          <w:b/>
        </w:rPr>
        <w:t xml:space="preserve">indenização por danos estéticos no importe de R$ 20.000,00 (vinte mil reais)</w:t>
      </w:r>
      <w:r>
        <w:rPr>
          <w:rFonts w:ascii="Verdana" w:hAnsi="Verdana" w:cs="Verdana"/>
          <w:sz w:val="22"/>
          <w:szCs w:val="22"/>
        </w:rPr>
        <w:t xml:space="preserve">, esta em razão da deformidade facial resultante do sinistro.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Requer, ainda, a realização de </w:t>
      </w:r>
      <w:r>
        <w:rPr>
          <w:rFonts w:ascii="Verdana" w:hAnsi="Verdana" w:cs="Verdana"/>
          <w:sz w:val="22"/>
          <w:szCs w:val="22"/>
          <w:b/>
        </w:rPr>
        <w:t xml:space="preserve">perícia médica</w:t>
      </w:r>
      <w:r>
        <w:rPr>
          <w:rFonts w:ascii="Verdana" w:hAnsi="Verdana" w:cs="Verdana"/>
          <w:sz w:val="22"/>
          <w:szCs w:val="22"/>
        </w:rPr>
        <w:t xml:space="preserve"> a fim de aferir a extensão das lesões e eventual redução da capacidade laborativa, ressalvando-se desde já o direito à pensão mensal de que trata o artigo 950 do Código Civil, caso constatada a incapacidade.</w:t>
      </w:r>
    </w:p>
    <w:p>
      <w:pPr>
        <w:spacing w:before="280" w:after="20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DO DANO EXISTENCIAL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Não é só o corpo que a reclamada feriu.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Ao manter o reclamante em viagens de </w:t>
      </w:r>
      <w:r>
        <w:rPr>
          <w:rFonts w:ascii="Verdana" w:hAnsi="Verdana" w:cs="Verdana"/>
          <w:sz w:val="22"/>
          <w:szCs w:val="22"/>
          <w:b/>
        </w:rPr>
        <w:t xml:space="preserve">15 a 20 dias consecutivos</w:t>
      </w:r>
      <w:r>
        <w:rPr>
          <w:rFonts w:ascii="Verdana" w:hAnsi="Verdana" w:cs="Verdana"/>
          <w:sz w:val="22"/>
          <w:szCs w:val="22"/>
        </w:rPr>
        <w:t xml:space="preserve">, concedendo-lhe no máximo 2 (dois) dias de folga antes de novo carregamento, a empresa ré subtraiu-lhe, de modo sistemático, o convívio familiar e social. O obreiro, homem casado, passava a quase totalidade do mês distante do lar, pernoitando na cabine do caminhão, à disposição integral da empregadora.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Cabe salientar que o dano existencial não se confunde com o dano moral: enquanto este atinge a esfera íntima, aquele lesiona o </w:t>
      </w:r>
      <w:r>
        <w:rPr>
          <w:rFonts w:ascii="Verdana" w:hAnsi="Verdana" w:cs="Verdana"/>
          <w:sz w:val="22"/>
          <w:szCs w:val="22"/>
          <w:b/>
        </w:rPr>
        <w:t xml:space="preserve">projeto de vida</w:t>
      </w:r>
      <w:r>
        <w:rPr>
          <w:rFonts w:ascii="Verdana" w:hAnsi="Verdana" w:cs="Verdana"/>
          <w:sz w:val="22"/>
          <w:szCs w:val="22"/>
        </w:rPr>
        <w:t xml:space="preserve"> e as </w:t>
      </w:r>
      <w:r>
        <w:rPr>
          <w:rFonts w:ascii="Verdana" w:hAnsi="Verdana" w:cs="Verdana"/>
          <w:sz w:val="22"/>
          <w:szCs w:val="22"/>
          <w:b/>
        </w:rPr>
        <w:t xml:space="preserve">relações sociais</w:t>
      </w:r>
      <w:r>
        <w:rPr>
          <w:rFonts w:ascii="Verdana" w:hAnsi="Verdana" w:cs="Verdana"/>
          <w:sz w:val="22"/>
          <w:szCs w:val="22"/>
        </w:rPr>
        <w:t xml:space="preserve"> do trabalhador, impedindo-o de exercer as atividades que dão sentido à sua existência fora do trabalho.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As sequências de dias consecutivos em viagem, documentalmente demonstráveis a partir dos registros de rastreamento e dos conhecimentos de transporte a serem exibidos pela reclamada, prestam-se justamente a comprovar, de forma objetiva, os períodos contínuos em que o reclamante foi impedido de retornar ao convívio dos seus.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Requer, assim, a condenação da reclamada ao pagamento de </w:t>
      </w:r>
      <w:r>
        <w:rPr>
          <w:rFonts w:ascii="Verdana" w:hAnsi="Verdana" w:cs="Verdana"/>
          <w:sz w:val="22"/>
          <w:szCs w:val="22"/>
          <w:b/>
        </w:rPr>
        <w:t xml:space="preserve">indenização por dano existencial no importe de R$ 20.000,00 (vinte mil reais)</w:t>
      </w:r>
      <w:r>
        <w:rPr>
          <w:rFonts w:ascii="Verdana" w:hAnsi="Verdana" w:cs="Verdana"/>
          <w:sz w:val="22"/>
          <w:szCs w:val="22"/>
        </w:rPr>
        <w:t xml:space="preserve">.</w:t>
      </w:r>
    </w:p>
    <w:p>
      <w:pPr>
        <w:spacing w:before="280" w:after="20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DOS DESCONTOS INDEVIDOS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 reclamada, não satisfeita, ainda </w:t>
      </w:r>
      <w:r>
        <w:rPr>
          <w:rFonts w:ascii="Verdana" w:hAnsi="Verdana" w:cs="Verdana"/>
          <w:sz w:val="22"/>
          <w:szCs w:val="22"/>
          <w:b/>
        </w:rPr>
        <w:t xml:space="preserve">descontou R$ 700,00 (setecentos reais) das verbas rescisórias</w:t>
      </w:r>
      <w:r>
        <w:rPr>
          <w:rFonts w:ascii="Verdana" w:hAnsi="Verdana" w:cs="Verdana"/>
          <w:sz w:val="22"/>
          <w:szCs w:val="22"/>
        </w:rPr>
        <w:t xml:space="preserve"> do obreiro, sem qualquer justificativa documentada, e impôs-lhe a aquisição de </w:t>
      </w:r>
      <w:r>
        <w:rPr>
          <w:rFonts w:ascii="Verdana" w:hAnsi="Verdana" w:cs="Verdana"/>
          <w:sz w:val="22"/>
          <w:szCs w:val="22"/>
          <w:b/>
        </w:rPr>
        <w:t xml:space="preserve">aparelho celular no valor de R$ 1.200,00 (mil e duzentos reais)</w:t>
      </w:r>
      <w:r>
        <w:rPr>
          <w:rFonts w:ascii="Verdana" w:hAnsi="Verdana" w:cs="Verdana"/>
          <w:sz w:val="22"/>
          <w:szCs w:val="22"/>
        </w:rPr>
        <w:t xml:space="preserve"> para o desempenho de suas funções — equipamento de trabalho cujo custeio incumbe exclusivamente ao empregador.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 vedação é expressa:</w:t>
      </w:r>
    </w:p>
    <w:p>
      <w:pPr>
        <w:spacing w:before="120" w:after="120" w:line="276" w:lineRule="auto"/>
        <w:ind w:left="2268"/>
        <w:jc w:val="both"/>
      </w:pPr>
      <w:r>
        <w:rPr>
          <w:rFonts w:ascii="Verdana" w:hAnsi="Verdana" w:cs="Verdana"/>
          <w:sz w:val="20"/>
          <w:szCs w:val="20"/>
          <w:i/>
        </w:rPr>
        <w:t xml:space="preserve">Art. 462 da CLT — Ao empregador é vedado efetuar qualquer desconto nos salários do empregado, salvo quando este resultar de adiantamentos, de dispositivos de lei ou de contrato coletivo.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Observe-se que quem desconta tem o ônus de provar a causa do desconto, o que a reclamada não fará, porquanto inexistente. E a transferência ao empregado dos custos da atividade econômica afronta o artigo 2º da CLT, que atribui ao empregador — e somente a ele — os riscos do empreendimento.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Requer, pois, a </w:t>
      </w:r>
      <w:r>
        <w:rPr>
          <w:rFonts w:ascii="Verdana" w:hAnsi="Verdana" w:cs="Verdana"/>
          <w:sz w:val="22"/>
          <w:szCs w:val="22"/>
          <w:b/>
        </w:rPr>
        <w:t xml:space="preserve">restituição integral dos valores indevidamente descontados e das despesas com o aparelho celular, no total de R$ 1.900,00 (mil e novecentos reais)</w:t>
      </w:r>
      <w:r>
        <w:rPr>
          <w:rFonts w:ascii="Verdana" w:hAnsi="Verdana" w:cs="Verdana"/>
          <w:sz w:val="22"/>
          <w:szCs w:val="22"/>
        </w:rPr>
        <w:t xml:space="preserve">.</w:t>
      </w:r>
    </w:p>
    <w:p>
      <w:pPr>
        <w:spacing w:before="280" w:after="20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DAS DIFERENÇAS DE VERBAS RESCISÓRIAS E DOS DEPÓSITOS FUNDIÁRIOS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Reconhecidos o vínculo desde 03/02/2025 e a natureza salarial das comissões pagas por fora, impõe-se o recálculo integral das verbas contratuais e rescisórias sobre a remuneração real de </w:t>
      </w:r>
      <w:r>
        <w:rPr>
          <w:rFonts w:ascii="Verdana" w:hAnsi="Verdana" w:cs="Verdana"/>
          <w:sz w:val="22"/>
          <w:szCs w:val="22"/>
          <w:b/>
        </w:rPr>
        <w:t xml:space="preserve">R$ 6.039,18</w:t>
      </w:r>
      <w:r>
        <w:rPr>
          <w:rFonts w:ascii="Verdana" w:hAnsi="Verdana" w:cs="Verdana"/>
          <w:sz w:val="22"/>
          <w:szCs w:val="22"/>
        </w:rPr>
        <w:t xml:space="preserve">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O extrato analítico do FGTS que instrui a presente revela recolhimentos totais de apenas </w:t>
      </w:r>
      <w:r>
        <w:rPr>
          <w:rFonts w:ascii="Verdana" w:hAnsi="Verdana" w:cs="Verdana"/>
          <w:sz w:val="22"/>
          <w:szCs w:val="22"/>
          <w:b/>
        </w:rPr>
        <w:t xml:space="preserve">R$ 937,71</w:t>
      </w:r>
      <w:r>
        <w:rPr>
          <w:rFonts w:ascii="Verdana" w:hAnsi="Verdana" w:cs="Verdana"/>
          <w:sz w:val="22"/>
          <w:szCs w:val="22"/>
        </w:rPr>
        <w:t xml:space="preserve">, acrescidos de multa rescisória de </w:t>
      </w:r>
      <w:r>
        <w:rPr>
          <w:rFonts w:ascii="Verdana" w:hAnsi="Verdana" w:cs="Verdana"/>
          <w:sz w:val="22"/>
          <w:szCs w:val="22"/>
          <w:b/>
        </w:rPr>
        <w:t xml:space="preserve">R$ 375,98</w:t>
      </w:r>
      <w:r>
        <w:rPr>
          <w:rFonts w:ascii="Verdana" w:hAnsi="Verdana" w:cs="Verdana"/>
          <w:sz w:val="22"/>
          <w:szCs w:val="22"/>
        </w:rPr>
        <w:t xml:space="preserve"> — valores que correspondem ao salário formal e ao período reduzido anotado em CTPS, e não à realidade do contrato.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Requer, pois, o reclamante o pagamento das </w:t>
      </w:r>
      <w:r>
        <w:rPr>
          <w:rFonts w:ascii="Verdana" w:hAnsi="Verdana" w:cs="Verdana"/>
          <w:sz w:val="22"/>
          <w:szCs w:val="22"/>
          <w:b/>
        </w:rPr>
        <w:t xml:space="preserve">diferenças de aviso prévio indenizado, 13º salário proporcional, férias proporcionais acrescidas de 1/3, saldo de salário e demais verbas rescisórias</w:t>
      </w:r>
      <w:r>
        <w:rPr>
          <w:rFonts w:ascii="Verdana" w:hAnsi="Verdana" w:cs="Verdana"/>
          <w:sz w:val="22"/>
          <w:szCs w:val="22"/>
        </w:rPr>
        <w:t xml:space="preserve">, bem como o </w:t>
      </w:r>
      <w:r>
        <w:rPr>
          <w:rFonts w:ascii="Verdana" w:hAnsi="Verdana" w:cs="Verdana"/>
          <w:sz w:val="22"/>
          <w:szCs w:val="22"/>
          <w:b/>
        </w:rPr>
        <w:t xml:space="preserve">recolhimento das diferenças de FGTS acrescidas da multa de 40%</w:t>
      </w:r>
      <w:r>
        <w:rPr>
          <w:rFonts w:ascii="Verdana" w:hAnsi="Verdana" w:cs="Verdana"/>
          <w:sz w:val="22"/>
          <w:szCs w:val="22"/>
        </w:rPr>
        <w:t xml:space="preserve"> sobre todo o período de 03/02/2025 a 22/08/2025, deduzidos os valores comprovadamente pagos e depositados.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Requer, outrossim, seja a reclamada compelida a </w:t>
      </w:r>
      <w:r>
        <w:rPr>
          <w:rFonts w:ascii="Verdana" w:hAnsi="Verdana" w:cs="Verdana"/>
          <w:sz w:val="22"/>
          <w:szCs w:val="22"/>
          <w:b/>
        </w:rPr>
        <w:t xml:space="preserve">exibir o TRCT, os holerites e os comprovantes de pagamento de todo o período contratual</w:t>
      </w:r>
      <w:r>
        <w:rPr>
          <w:rFonts w:ascii="Verdana" w:hAnsi="Verdana" w:cs="Verdana"/>
          <w:sz w:val="22"/>
          <w:szCs w:val="22"/>
        </w:rPr>
        <w:t xml:space="preserve">, sob pena de confissão quanto aos valores apontados nesta prefacial.</w:t>
      </w:r>
    </w:p>
    <w:p>
      <w:pPr>
        <w:spacing w:before="280" w:after="20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DA INSALUBRIDADE E DA PERICULOSIDADE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Consta da entrevista realizada com o reclamante que este esteve </w:t>
      </w:r>
      <w:r>
        <w:rPr>
          <w:rFonts w:ascii="Verdana" w:hAnsi="Verdana" w:cs="Verdana"/>
          <w:sz w:val="22"/>
          <w:szCs w:val="22"/>
          <w:b/>
        </w:rPr>
        <w:t xml:space="preserve">exposto a agentes nocivos à saúde</w:t>
      </w:r>
      <w:r>
        <w:rPr>
          <w:rFonts w:ascii="Verdana" w:hAnsi="Verdana" w:cs="Verdana"/>
          <w:sz w:val="22"/>
          <w:szCs w:val="22"/>
        </w:rPr>
        <w:t xml:space="preserve"> no transporte de nutrição animal e matérias-primas, sem que jamais tenha percebido qualquer adicional a esse título, tampouco recebido equipamentos de proteção individual.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[FALTA: identificar e descrever o agente insalubre a que o obreiro esteve exposto, bem como confirmar se o caminhão dispunha de tanque suplementar de combustível — NR-16, Anexo 2, item "c", com a redação da Portaria MTE 1.357/2019 — antes do protocolo.]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Requer, na forma do artigo 195 da CLT, a </w:t>
      </w:r>
      <w:r>
        <w:rPr>
          <w:rFonts w:ascii="Verdana" w:hAnsi="Verdana" w:cs="Verdana"/>
          <w:sz w:val="22"/>
          <w:szCs w:val="22"/>
          <w:b/>
        </w:rPr>
        <w:t xml:space="preserve">realização de perícia técnica</w:t>
      </w:r>
      <w:r>
        <w:rPr>
          <w:rFonts w:ascii="Verdana" w:hAnsi="Verdana" w:cs="Verdana"/>
          <w:sz w:val="22"/>
          <w:szCs w:val="22"/>
        </w:rPr>
        <w:t xml:space="preserve"> para apuração das condições de trabalho, com a consequente condenação da reclamada ao pagamento do </w:t>
      </w:r>
      <w:r>
        <w:rPr>
          <w:rFonts w:ascii="Verdana" w:hAnsi="Verdana" w:cs="Verdana"/>
          <w:sz w:val="22"/>
          <w:szCs w:val="22"/>
          <w:b/>
        </w:rPr>
        <w:t xml:space="preserve">adicional de insalubridade</w:t>
      </w:r>
      <w:r>
        <w:rPr>
          <w:rFonts w:ascii="Verdana" w:hAnsi="Verdana" w:cs="Verdana"/>
          <w:sz w:val="22"/>
          <w:szCs w:val="22"/>
        </w:rPr>
        <w:t xml:space="preserve"> em grau a ser apurado ou, </w:t>
      </w:r>
      <w:r>
        <w:rPr>
          <w:rFonts w:ascii="Verdana" w:hAnsi="Verdana" w:cs="Verdana"/>
          <w:sz w:val="22"/>
          <w:szCs w:val="22"/>
          <w:b/>
        </w:rPr>
        <w:t xml:space="preserve">alternativamente, do adicional de periculosidade de 30%</w:t>
      </w:r>
      <w:r>
        <w:rPr>
          <w:rFonts w:ascii="Verdana" w:hAnsi="Verdana" w:cs="Verdana"/>
          <w:sz w:val="22"/>
          <w:szCs w:val="22"/>
        </w:rPr>
        <w:t xml:space="preserve">, vedada a cumulação na forma do § 2º do artigo 193 da CLT, com os reflexos legais.</w:t>
      </w:r>
    </w:p>
    <w:p>
      <w:pPr>
        <w:spacing w:before="280" w:after="20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DOS HONORÁRIOS DE SUCUMBÊNCIA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Requer o reclamante a condenação da reclamada ao pagamento de honorários advocatícios sucumbenciais no importe de </w:t>
      </w:r>
      <w:r>
        <w:rPr>
          <w:rFonts w:ascii="Verdana" w:hAnsi="Verdana" w:cs="Verdana"/>
          <w:sz w:val="22"/>
          <w:szCs w:val="22"/>
          <w:b/>
        </w:rPr>
        <w:t xml:space="preserve">15% (quinze por cento) sobre o valor da condenação</w:t>
      </w:r>
      <w:r>
        <w:rPr>
          <w:rFonts w:ascii="Verdana" w:hAnsi="Verdana" w:cs="Verdana"/>
          <w:sz w:val="22"/>
          <w:szCs w:val="22"/>
        </w:rPr>
        <w:t xml:space="preserve">, na forma do artigo 791-A da CLT.</w:t>
      </w:r>
    </w:p>
    <w:p>
      <w:pPr>
        <w:spacing w:before="280" w:after="20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DO RESUMO DOS PEDIDOS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Por todo o exposto, requer a notificação da reclamada para responder aos termos da presente reclamatória, sob pena de confissão e revelia, prosseguindo-se a mesma até o final, quando então deverá ser julgada </w:t>
      </w:r>
      <w:r>
        <w:rPr>
          <w:rFonts w:ascii="Verdana" w:hAnsi="Verdana" w:cs="Verdana"/>
          <w:sz w:val="22"/>
          <w:szCs w:val="22"/>
          <w:b/>
        </w:rPr>
        <w:t xml:space="preserve">TOTALMENTE PROCEDENTE</w:t>
      </w:r>
      <w:r>
        <w:rPr>
          <w:rFonts w:ascii="Verdana" w:hAnsi="Verdana" w:cs="Verdana"/>
          <w:sz w:val="22"/>
          <w:szCs w:val="22"/>
        </w:rPr>
        <w:t xml:space="preserve"> para condenar a empresa ao cumprimento das seguintes obrigações e ao pagamento das seguintes verbas, acrescidas de juros e correção monetária:</w:t>
      </w:r>
    </w:p>
    <w:tbl>
      <w:tblPr>
        <w:tblW w:w="8662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1561"/>
        <w:gridCol w:w="5542"/>
        <w:gridCol w:w="1559"/>
      </w:tblGrid>
      <w:tr>
        <w:trPr>
          <w:trHeight w:val="300"/>
          <w:tblHeader/>
        </w:trPr>
        <w:tc>
          <w:tcPr>
            <w:tcW w:w="1561" w:type="dxa"/>
            <w:shd w:val="clear" w:color="000000" w:fill="D9EAF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Verdana" w:hAnsi="Verdana" w:cs="Verdana"/>
                <w:sz w:val="20"/>
                <w:szCs w:val="20"/>
                <w:b/>
              </w:rPr>
              <w:t xml:space="preserve">Item</w:t>
            </w:r>
          </w:p>
        </w:tc>
        <w:tc>
          <w:tcPr>
            <w:tcW w:w="5542" w:type="dxa"/>
            <w:shd w:val="clear" w:color="000000" w:fill="D9EAF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Verdana" w:hAnsi="Verdana" w:cs="Verdana"/>
                <w:sz w:val="20"/>
                <w:szCs w:val="20"/>
                <w:b/>
              </w:rPr>
              <w:t xml:space="preserve">Pedido</w:t>
            </w:r>
          </w:p>
        </w:tc>
        <w:tc>
          <w:tcPr>
            <w:tcW w:w="1559" w:type="dxa"/>
            <w:shd w:val="clear" w:color="000000" w:fill="D9EAF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Verdana" w:hAnsi="Verdana" w:cs="Verdana"/>
                <w:sz w:val="20"/>
                <w:szCs w:val="20"/>
                <w:b/>
              </w:rPr>
              <w:t xml:space="preserve">Valor estimado</w:t>
            </w:r>
          </w:p>
        </w:tc>
      </w:tr>
      <w:tr>
        <w:trPr>
          <w:trHeight w:val="300"/>
        </w:trPr>
        <w:tc>
          <w:tcPr>
            <w:tcW w:w="1561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Verdana" w:hAnsi="Verdana" w:cs="Verdana"/>
                <w:sz w:val="20"/>
                <w:szCs w:val="20"/>
              </w:rPr>
              <w:t xml:space="preserve">A</w:t>
            </w:r>
          </w:p>
        </w:tc>
        <w:tc>
          <w:tcPr>
            <w:tcW w:w="5542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Juízo 100% digital e realização de audiências de forma telepresencial</w:t>
            </w:r>
          </w:p>
        </w:tc>
        <w:tc>
          <w:tcPr>
            <w:tcW w:w="1559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Declaratório</w:t>
            </w:r>
          </w:p>
        </w:tc>
      </w:tr>
      <w:tr>
        <w:trPr>
          <w:trHeight w:val="300"/>
        </w:trPr>
        <w:tc>
          <w:tcPr>
            <w:tcW w:w="1561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Verdana" w:hAnsi="Verdana" w:cs="Verdana"/>
                <w:sz w:val="20"/>
                <w:szCs w:val="20"/>
              </w:rPr>
              <w:t xml:space="preserve">B</w:t>
            </w:r>
          </w:p>
        </w:tc>
        <w:tc>
          <w:tcPr>
            <w:tcW w:w="5542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Concessão dos benefícios da justiça gratuita</w:t>
            </w:r>
          </w:p>
        </w:tc>
        <w:tc>
          <w:tcPr>
            <w:tcW w:w="1559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Declaratório</w:t>
            </w:r>
          </w:p>
        </w:tc>
      </w:tr>
      <w:tr>
        <w:trPr>
          <w:trHeight w:val="300"/>
        </w:trPr>
        <w:tc>
          <w:tcPr>
            <w:tcW w:w="1561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Verdana" w:hAnsi="Verdana" w:cs="Verdana"/>
                <w:sz w:val="20"/>
                <w:szCs w:val="20"/>
              </w:rPr>
              <w:t xml:space="preserve">C</w:t>
            </w:r>
          </w:p>
        </w:tc>
        <w:tc>
          <w:tcPr>
            <w:tcW w:w="5542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Competência territorial desta Vara (art. 651, §§ 1º e 3º, da CLT)</w:t>
            </w:r>
          </w:p>
        </w:tc>
        <w:tc>
          <w:tcPr>
            <w:tcW w:w="1559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Declaratório</w:t>
            </w:r>
          </w:p>
        </w:tc>
      </w:tr>
      <w:tr>
        <w:trPr>
          <w:trHeight w:val="300"/>
        </w:trPr>
        <w:tc>
          <w:tcPr>
            <w:tcW w:w="1561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Verdana" w:hAnsi="Verdana" w:cs="Verdana"/>
                <w:sz w:val="20"/>
                <w:szCs w:val="20"/>
              </w:rPr>
              <w:t xml:space="preserve">D</w:t>
            </w:r>
          </w:p>
        </w:tc>
        <w:tc>
          <w:tcPr>
            <w:tcW w:w="5542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Reconhecimento do vínculo de 03/02/2025 a 22/08/2025, com retificação da CTPS, sob pena de multa diária</w:t>
            </w:r>
          </w:p>
        </w:tc>
        <w:tc>
          <w:tcPr>
            <w:tcW w:w="1559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Declaratório</w:t>
            </w:r>
          </w:p>
        </w:tc>
      </w:tr>
      <w:tr>
        <w:trPr>
          <w:trHeight w:val="300"/>
        </w:trPr>
        <w:tc>
          <w:tcPr>
            <w:tcW w:w="1561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Verdana" w:hAnsi="Verdana" w:cs="Verdana"/>
                <w:sz w:val="20"/>
                <w:szCs w:val="20"/>
              </w:rPr>
              <w:t xml:space="preserve">E</w:t>
            </w:r>
          </w:p>
        </w:tc>
        <w:tc>
          <w:tcPr>
            <w:tcW w:w="5542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Nulidade da contratação por prazo determinado, reconhecendo-se o contrato por prazo indeterminado</w:t>
            </w:r>
          </w:p>
        </w:tc>
        <w:tc>
          <w:tcPr>
            <w:tcW w:w="1559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Declaratório</w:t>
            </w:r>
          </w:p>
        </w:tc>
      </w:tr>
      <w:tr>
        <w:trPr>
          <w:trHeight w:val="300"/>
        </w:trPr>
        <w:tc>
          <w:tcPr>
            <w:tcW w:w="1561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Verdana" w:hAnsi="Verdana" w:cs="Verdana"/>
                <w:sz w:val="20"/>
                <w:szCs w:val="20"/>
              </w:rPr>
              <w:t xml:space="preserve">F</w:t>
            </w:r>
          </w:p>
        </w:tc>
        <w:tc>
          <w:tcPr>
            <w:tcW w:w="5542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Natureza salarial das comissões pagas por fora (média mensal de R$ 3.135,40) e sua integração à remuneração</w:t>
            </w:r>
          </w:p>
        </w:tc>
        <w:tc>
          <w:tcPr>
            <w:tcW w:w="1559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Declaratório</w:t>
            </w:r>
          </w:p>
        </w:tc>
      </w:tr>
      <w:tr>
        <w:trPr>
          <w:trHeight w:val="300"/>
        </w:trPr>
        <w:tc>
          <w:tcPr>
            <w:tcW w:w="1561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Verdana" w:hAnsi="Verdana" w:cs="Verdana"/>
                <w:sz w:val="20"/>
                <w:szCs w:val="20"/>
              </w:rPr>
              <w:t xml:space="preserve">G</w:t>
            </w:r>
          </w:p>
        </w:tc>
        <w:tc>
          <w:tcPr>
            <w:tcW w:w="5542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Horas extras excedentes da 8ª diária e da 44ª semanal, com adicional de 50%</w:t>
            </w:r>
          </w:p>
        </w:tc>
        <w:tc>
          <w:tcPr>
            <w:tcW w:w="1559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R$ 40.791,64</w:t>
            </w:r>
          </w:p>
        </w:tc>
      </w:tr>
      <w:tr>
        <w:trPr>
          <w:trHeight w:val="300"/>
        </w:trPr>
        <w:tc>
          <w:tcPr>
            <w:tcW w:w="1561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Verdana" w:hAnsi="Verdana" w:cs="Verdana"/>
                <w:sz w:val="20"/>
                <w:szCs w:val="20"/>
              </w:rPr>
              <w:t xml:space="preserve">G1</w:t>
            </w:r>
          </w:p>
        </w:tc>
        <w:tc>
          <w:tcPr>
            <w:tcW w:w="5542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DSR sobre as horas extras</w:t>
            </w:r>
          </w:p>
        </w:tc>
        <w:tc>
          <w:tcPr>
            <w:tcW w:w="1559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R$ 6.798,61</w:t>
            </w:r>
          </w:p>
        </w:tc>
      </w:tr>
      <w:tr>
        <w:trPr>
          <w:trHeight w:val="300"/>
        </w:trPr>
        <w:tc>
          <w:tcPr>
            <w:tcW w:w="1561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Verdana" w:hAnsi="Verdana" w:cs="Verdana"/>
                <w:sz w:val="20"/>
                <w:szCs w:val="20"/>
              </w:rPr>
              <w:t xml:space="preserve">H</w:t>
            </w:r>
          </w:p>
        </w:tc>
        <w:tc>
          <w:tcPr>
            <w:tcW w:w="5542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Horas do intervalo interjornada suprimido — 2h/dia (OJ 355 da SDI-1 do TST)</w:t>
            </w:r>
          </w:p>
        </w:tc>
        <w:tc>
          <w:tcPr>
            <w:tcW w:w="1559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R$ 12.237,49</w:t>
            </w:r>
          </w:p>
        </w:tc>
      </w:tr>
      <w:tr>
        <w:trPr>
          <w:trHeight w:val="300"/>
        </w:trPr>
        <w:tc>
          <w:tcPr>
            <w:tcW w:w="1561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Verdana" w:hAnsi="Verdana" w:cs="Verdana"/>
                <w:sz w:val="20"/>
                <w:szCs w:val="20"/>
              </w:rPr>
              <w:t xml:space="preserve">I</w:t>
            </w:r>
          </w:p>
        </w:tc>
        <w:tc>
          <w:tcPr>
            <w:tcW w:w="5542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Horas do descanso intersemanal de 35 horas suprimido (art. 235-D da CLT e ADI 5322)</w:t>
            </w:r>
          </w:p>
        </w:tc>
        <w:tc>
          <w:tcPr>
            <w:tcW w:w="1559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R$ 19.215,57</w:t>
            </w:r>
          </w:p>
        </w:tc>
      </w:tr>
      <w:tr>
        <w:trPr>
          <w:trHeight w:val="300"/>
        </w:trPr>
        <w:tc>
          <w:tcPr>
            <w:tcW w:w="1561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Verdana" w:hAnsi="Verdana" w:cs="Verdana"/>
                <w:sz w:val="20"/>
                <w:szCs w:val="20"/>
              </w:rPr>
              <w:t xml:space="preserve">J</w:t>
            </w:r>
          </w:p>
        </w:tc>
        <w:tc>
          <w:tcPr>
            <w:tcW w:w="5542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Domingos e feriados trabalhados, pagos em dobro (Súmula 146 do TST)</w:t>
            </w:r>
          </w:p>
        </w:tc>
        <w:tc>
          <w:tcPr>
            <w:tcW w:w="1559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R$ 11.675,75</w:t>
            </w:r>
          </w:p>
        </w:tc>
      </w:tr>
      <w:tr>
        <w:trPr>
          <w:trHeight w:val="300"/>
        </w:trPr>
        <w:tc>
          <w:tcPr>
            <w:tcW w:w="1561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Verdana" w:hAnsi="Verdana" w:cs="Verdana"/>
                <w:sz w:val="20"/>
                <w:szCs w:val="20"/>
              </w:rPr>
              <w:t xml:space="preserve">K</w:t>
            </w:r>
          </w:p>
        </w:tc>
        <w:tc>
          <w:tcPr>
            <w:tcW w:w="5542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Tempo de espera computado na jornada e pago como hora extraordinária (ADI 5322)</w:t>
            </w:r>
          </w:p>
        </w:tc>
        <w:tc>
          <w:tcPr>
            <w:tcW w:w="1559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R$ 8.158,33</w:t>
            </w:r>
          </w:p>
        </w:tc>
      </w:tr>
      <w:tr>
        <w:trPr>
          <w:trHeight w:val="300"/>
        </w:trPr>
        <w:tc>
          <w:tcPr>
            <w:tcW w:w="1561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Verdana" w:hAnsi="Verdana" w:cs="Verdana"/>
                <w:sz w:val="20"/>
                <w:szCs w:val="20"/>
              </w:rPr>
              <w:t xml:space="preserve">K1</w:t>
            </w:r>
          </w:p>
        </w:tc>
        <w:tc>
          <w:tcPr>
            <w:tcW w:w="5542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Pedido subsidiário ao item "K" — sobreaviso à razão de 1/3 da hora normal (Súmula 428, II, do TST)</w:t>
            </w:r>
          </w:p>
        </w:tc>
        <w:tc>
          <w:tcPr>
            <w:tcW w:w="1559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a apurar</w:t>
            </w:r>
          </w:p>
        </w:tc>
      </w:tr>
      <w:tr>
        <w:trPr>
          <w:trHeight w:val="300"/>
        </w:trPr>
        <w:tc>
          <w:tcPr>
            <w:tcW w:w="1561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Verdana" w:hAnsi="Verdana" w:cs="Verdana"/>
                <w:sz w:val="20"/>
                <w:szCs w:val="20"/>
              </w:rPr>
              <w:t xml:space="preserve">L</w:t>
            </w:r>
          </w:p>
        </w:tc>
        <w:tc>
          <w:tcPr>
            <w:tcW w:w="5542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Adicional noturno de 20%, com hora noturna reduzida</w:t>
            </w:r>
          </w:p>
        </w:tc>
        <w:tc>
          <w:tcPr>
            <w:tcW w:w="1559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R$ 658,82</w:t>
            </w:r>
          </w:p>
        </w:tc>
      </w:tr>
      <w:tr>
        <w:trPr>
          <w:trHeight w:val="300"/>
        </w:trPr>
        <w:tc>
          <w:tcPr>
            <w:tcW w:w="7103" w:type="dxa"/>
            <w:gridSpan w:val="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  <w:b/>
              </w:rPr>
              <w:t xml:space="preserve">SUBTOTAL — JORNADA</w:t>
            </w:r>
          </w:p>
        </w:tc>
        <w:tc>
          <w:tcPr>
            <w:tcW w:w="1559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Verdana" w:hAnsi="Verdana" w:cs="Verdana"/>
                <w:sz w:val="20"/>
                <w:szCs w:val="20"/>
                <w:b/>
              </w:rPr>
              <w:t xml:space="preserve">R$ 99.536,21</w:t>
            </w:r>
          </w:p>
        </w:tc>
      </w:tr>
      <w:tr>
        <w:trPr>
          <w:trHeight w:val="300"/>
        </w:trPr>
        <w:tc>
          <w:tcPr>
            <w:tcW w:w="1561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Verdana" w:hAnsi="Verdana" w:cs="Verdana"/>
                <w:sz w:val="20"/>
                <w:szCs w:val="20"/>
              </w:rPr>
              <w:t xml:space="preserve">M</w:t>
            </w:r>
          </w:p>
        </w:tc>
        <w:tc>
          <w:tcPr>
            <w:tcW w:w="5542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Diferença de aviso prévio indenizado</w:t>
            </w:r>
          </w:p>
        </w:tc>
        <w:tc>
          <w:tcPr>
            <w:tcW w:w="1559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R$ 3.135,40</w:t>
            </w:r>
          </w:p>
        </w:tc>
      </w:tr>
      <w:tr>
        <w:trPr>
          <w:trHeight w:val="300"/>
        </w:trPr>
        <w:tc>
          <w:tcPr>
            <w:tcW w:w="1561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Verdana" w:hAnsi="Verdana" w:cs="Verdana"/>
                <w:sz w:val="20"/>
                <w:szCs w:val="20"/>
              </w:rPr>
              <w:t xml:space="preserve">N</w:t>
            </w:r>
          </w:p>
        </w:tc>
        <w:tc>
          <w:tcPr>
            <w:tcW w:w="5542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Diferença de 13º salário proporcional (7/12)</w:t>
            </w:r>
          </w:p>
        </w:tc>
        <w:tc>
          <w:tcPr>
            <w:tcW w:w="1559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R$ 1.828,98</w:t>
            </w:r>
          </w:p>
        </w:tc>
      </w:tr>
      <w:tr>
        <w:trPr>
          <w:trHeight w:val="300"/>
        </w:trPr>
        <w:tc>
          <w:tcPr>
            <w:tcW w:w="1561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Verdana" w:hAnsi="Verdana" w:cs="Verdana"/>
                <w:sz w:val="20"/>
                <w:szCs w:val="20"/>
              </w:rPr>
              <w:t xml:space="preserve">O</w:t>
            </w:r>
          </w:p>
        </w:tc>
        <w:tc>
          <w:tcPr>
            <w:tcW w:w="5542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Diferença de férias proporcionais (7/12) acrescidas de 1/3</w:t>
            </w:r>
          </w:p>
        </w:tc>
        <w:tc>
          <w:tcPr>
            <w:tcW w:w="1559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R$ 2.438,64</w:t>
            </w:r>
          </w:p>
        </w:tc>
      </w:tr>
      <w:tr>
        <w:trPr>
          <w:trHeight w:val="300"/>
        </w:trPr>
        <w:tc>
          <w:tcPr>
            <w:tcW w:w="1561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Verdana" w:hAnsi="Verdana" w:cs="Verdana"/>
                <w:sz w:val="20"/>
                <w:szCs w:val="20"/>
              </w:rPr>
              <w:t xml:space="preserve">P</w:t>
            </w:r>
          </w:p>
        </w:tc>
        <w:tc>
          <w:tcPr>
            <w:tcW w:w="5542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Diferenças de depósitos de FGTS de todo o período</w:t>
            </w:r>
          </w:p>
        </w:tc>
        <w:tc>
          <w:tcPr>
            <w:tcW w:w="1559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R$ 2.283,19</w:t>
            </w:r>
          </w:p>
        </w:tc>
      </w:tr>
      <w:tr>
        <w:trPr>
          <w:trHeight w:val="300"/>
        </w:trPr>
        <w:tc>
          <w:tcPr>
            <w:tcW w:w="1561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Verdana" w:hAnsi="Verdana" w:cs="Verdana"/>
                <w:sz w:val="20"/>
                <w:szCs w:val="20"/>
              </w:rPr>
              <w:t xml:space="preserve">Q</w:t>
            </w:r>
          </w:p>
        </w:tc>
        <w:tc>
          <w:tcPr>
            <w:tcW w:w="5542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Diferença da multa de 40% do FGTS</w:t>
            </w:r>
          </w:p>
        </w:tc>
        <w:tc>
          <w:tcPr>
            <w:tcW w:w="1559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R$ 912,38</w:t>
            </w:r>
          </w:p>
        </w:tc>
      </w:tr>
      <w:tr>
        <w:trPr>
          <w:trHeight w:val="300"/>
        </w:trPr>
        <w:tc>
          <w:tcPr>
            <w:tcW w:w="7103" w:type="dxa"/>
            <w:gridSpan w:val="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  <w:b/>
              </w:rPr>
              <w:t xml:space="preserve">SUBTOTAL — VERBAS CONTRATUAIS E RESCISÓRIAS</w:t>
            </w:r>
          </w:p>
        </w:tc>
        <w:tc>
          <w:tcPr>
            <w:tcW w:w="1559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Verdana" w:hAnsi="Verdana" w:cs="Verdana"/>
                <w:sz w:val="20"/>
                <w:szCs w:val="20"/>
                <w:b/>
              </w:rPr>
              <w:t xml:space="preserve">R$ 10.598,59</w:t>
            </w:r>
          </w:p>
        </w:tc>
      </w:tr>
      <w:tr>
        <w:trPr>
          <w:trHeight w:val="300"/>
        </w:trPr>
        <w:tc>
          <w:tcPr>
            <w:tcW w:w="1561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Verdana" w:hAnsi="Verdana" w:cs="Verdana"/>
                <w:sz w:val="20"/>
                <w:szCs w:val="20"/>
              </w:rPr>
              <w:t xml:space="preserve">R</w:t>
            </w:r>
          </w:p>
        </w:tc>
        <w:tc>
          <w:tcPr>
            <w:tcW w:w="5542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Indenização substitutiva da garantia de emprego acidentária — 12 meses (art. 118 da Lei 8.213/91)</w:t>
            </w:r>
          </w:p>
        </w:tc>
        <w:tc>
          <w:tcPr>
            <w:tcW w:w="1559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R$ 72.470,16</w:t>
            </w:r>
          </w:p>
        </w:tc>
      </w:tr>
      <w:tr>
        <w:trPr>
          <w:trHeight w:val="300"/>
        </w:trPr>
        <w:tc>
          <w:tcPr>
            <w:tcW w:w="1561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Verdana" w:hAnsi="Verdana" w:cs="Verdana"/>
                <w:sz w:val="20"/>
                <w:szCs w:val="20"/>
              </w:rPr>
              <w:t xml:space="preserve">S</w:t>
            </w:r>
          </w:p>
        </w:tc>
        <w:tc>
          <w:tcPr>
            <w:tcW w:w="5542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Indenização por danos morais decorrentes do acidente do trabalho</w:t>
            </w:r>
          </w:p>
        </w:tc>
        <w:tc>
          <w:tcPr>
            <w:tcW w:w="1559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R$ 50.000,00</w:t>
            </w:r>
          </w:p>
        </w:tc>
      </w:tr>
      <w:tr>
        <w:trPr>
          <w:trHeight w:val="300"/>
        </w:trPr>
        <w:tc>
          <w:tcPr>
            <w:tcW w:w="1561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Verdana" w:hAnsi="Verdana" w:cs="Verdana"/>
                <w:sz w:val="20"/>
                <w:szCs w:val="20"/>
              </w:rPr>
              <w:t xml:space="preserve">T</w:t>
            </w:r>
          </w:p>
        </w:tc>
        <w:tc>
          <w:tcPr>
            <w:tcW w:w="5542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Indenização por danos estéticos</w:t>
            </w:r>
          </w:p>
        </w:tc>
        <w:tc>
          <w:tcPr>
            <w:tcW w:w="1559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R$ 20.000,00</w:t>
            </w:r>
          </w:p>
        </w:tc>
      </w:tr>
      <w:tr>
        <w:trPr>
          <w:trHeight w:val="300"/>
        </w:trPr>
        <w:tc>
          <w:tcPr>
            <w:tcW w:w="1561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Verdana" w:hAnsi="Verdana" w:cs="Verdana"/>
                <w:sz w:val="20"/>
                <w:szCs w:val="20"/>
              </w:rPr>
              <w:t xml:space="preserve">U</w:t>
            </w:r>
          </w:p>
        </w:tc>
        <w:tc>
          <w:tcPr>
            <w:tcW w:w="5542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Indenização por dano existencial</w:t>
            </w:r>
          </w:p>
        </w:tc>
        <w:tc>
          <w:tcPr>
            <w:tcW w:w="1559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R$ 20.000,00</w:t>
            </w:r>
          </w:p>
        </w:tc>
      </w:tr>
      <w:tr>
        <w:trPr>
          <w:trHeight w:val="300"/>
        </w:trPr>
        <w:tc>
          <w:tcPr>
            <w:tcW w:w="1561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Verdana" w:hAnsi="Verdana" w:cs="Verdana"/>
                <w:sz w:val="20"/>
                <w:szCs w:val="20"/>
              </w:rPr>
              <w:t xml:space="preserve">V</w:t>
            </w:r>
          </w:p>
        </w:tc>
        <w:tc>
          <w:tcPr>
            <w:tcW w:w="5542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Restituição dos descontos indevidos e das despesas com aparelho celular</w:t>
            </w:r>
          </w:p>
        </w:tc>
        <w:tc>
          <w:tcPr>
            <w:tcW w:w="1559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R$ 1.900,00</w:t>
            </w:r>
          </w:p>
        </w:tc>
      </w:tr>
      <w:tr>
        <w:trPr>
          <w:trHeight w:val="300"/>
        </w:trPr>
        <w:tc>
          <w:tcPr>
            <w:tcW w:w="7103" w:type="dxa"/>
            <w:gridSpan w:val="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  <w:b/>
              </w:rPr>
              <w:t xml:space="preserve">SUBTOTAL — INDENIZAÇÕES</w:t>
            </w:r>
          </w:p>
        </w:tc>
        <w:tc>
          <w:tcPr>
            <w:tcW w:w="1559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Verdana" w:hAnsi="Verdana" w:cs="Verdana"/>
                <w:sz w:val="20"/>
                <w:szCs w:val="20"/>
                <w:b/>
              </w:rPr>
              <w:t xml:space="preserve">R$ 164.370,16</w:t>
            </w:r>
          </w:p>
        </w:tc>
      </w:tr>
      <w:tr>
        <w:trPr>
          <w:trHeight w:val="300"/>
        </w:trPr>
        <w:tc>
          <w:tcPr>
            <w:tcW w:w="1561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Verdana" w:hAnsi="Verdana" w:cs="Verdana"/>
                <w:sz w:val="20"/>
                <w:szCs w:val="20"/>
              </w:rPr>
              <w:t xml:space="preserve">W</w:t>
            </w:r>
          </w:p>
        </w:tc>
        <w:tc>
          <w:tcPr>
            <w:tcW w:w="5542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Obrigação de emitir a CAT, sob pena de multa diária, com expedição de ofícios ao INSS e à SRT</w:t>
            </w:r>
          </w:p>
        </w:tc>
        <w:tc>
          <w:tcPr>
            <w:tcW w:w="1559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Obrigação de fazer</w:t>
            </w:r>
          </w:p>
        </w:tc>
      </w:tr>
      <w:tr>
        <w:trPr>
          <w:trHeight w:val="300"/>
        </w:trPr>
        <w:tc>
          <w:tcPr>
            <w:tcW w:w="1561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Verdana" w:hAnsi="Verdana" w:cs="Verdana"/>
                <w:sz w:val="20"/>
                <w:szCs w:val="20"/>
              </w:rPr>
              <w:t xml:space="preserve">X</w:t>
            </w:r>
          </w:p>
        </w:tc>
        <w:tc>
          <w:tcPr>
            <w:tcW w:w="5542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Adicional de insalubridade ou, alternativamente, de periculosidade, a apurar em perícia técnica</w:t>
            </w:r>
          </w:p>
        </w:tc>
        <w:tc>
          <w:tcPr>
            <w:tcW w:w="1559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a apurar</w:t>
            </w:r>
          </w:p>
        </w:tc>
      </w:tr>
      <w:tr>
        <w:trPr>
          <w:trHeight w:val="300"/>
        </w:trPr>
        <w:tc>
          <w:tcPr>
            <w:tcW w:w="1561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Verdana" w:hAnsi="Verdana" w:cs="Verdana"/>
                <w:sz w:val="20"/>
                <w:szCs w:val="20"/>
              </w:rPr>
              <w:t xml:space="preserve">Y</w:t>
            </w:r>
          </w:p>
        </w:tc>
        <w:tc>
          <w:tcPr>
            <w:tcW w:w="5542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Reflexos das verbas de natureza salarial em DSR, aviso prévio, 13º salário, férias + 1/3 e FGTS + 40%</w:t>
            </w:r>
          </w:p>
        </w:tc>
        <w:tc>
          <w:tcPr>
            <w:tcW w:w="1559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a apurar</w:t>
            </w:r>
          </w:p>
        </w:tc>
      </w:tr>
      <w:tr>
        <w:trPr>
          <w:trHeight w:val="300"/>
        </w:trPr>
        <w:tc>
          <w:tcPr>
            <w:tcW w:w="7103" w:type="dxa"/>
            <w:gridSpan w:val="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  <w:b/>
              </w:rPr>
              <w:t xml:space="preserve">SUBTOTAL GERAL</w:t>
            </w:r>
          </w:p>
        </w:tc>
        <w:tc>
          <w:tcPr>
            <w:tcW w:w="1559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Verdana" w:hAnsi="Verdana" w:cs="Verdana"/>
                <w:sz w:val="20"/>
                <w:szCs w:val="20"/>
                <w:b/>
              </w:rPr>
              <w:t xml:space="preserve">R$ 274.504,96</w:t>
            </w:r>
          </w:p>
        </w:tc>
      </w:tr>
      <w:tr>
        <w:trPr>
          <w:trHeight w:val="300"/>
        </w:trPr>
        <w:tc>
          <w:tcPr>
            <w:tcW w:w="1561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Verdana" w:hAnsi="Verdana" w:cs="Verdana"/>
                <w:sz w:val="20"/>
                <w:szCs w:val="20"/>
              </w:rPr>
              <w:t xml:space="preserve">Z</w:t>
            </w:r>
          </w:p>
        </w:tc>
        <w:tc>
          <w:tcPr>
            <w:tcW w:w="5542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Honorários advocatícios sucumbenciais (15% sobre o valor da condenação)</w:t>
            </w:r>
          </w:p>
        </w:tc>
        <w:tc>
          <w:tcPr>
            <w:tcW w:w="1559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Verdana" w:hAnsi="Verdana" w:cs="Verdana"/>
                <w:sz w:val="20"/>
                <w:szCs w:val="20"/>
              </w:rPr>
              <w:t xml:space="preserve">R$ 41.175,74</w:t>
            </w:r>
          </w:p>
        </w:tc>
      </w:tr>
      <w:tr>
        <w:trPr>
          <w:trHeight w:val="300"/>
        </w:trPr>
        <w:tc>
          <w:tcPr>
            <w:tcW w:w="7103" w:type="dxa"/>
            <w:gridSpan w:val="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Verdana" w:hAnsi="Verdana" w:cs="Verdana"/>
                <w:sz w:val="20"/>
                <w:szCs w:val="20"/>
                <w:b/>
              </w:rPr>
              <w:t xml:space="preserve">TOTAL GERAL</w:t>
            </w:r>
          </w:p>
        </w:tc>
        <w:tc>
          <w:tcPr>
            <w:tcW w:w="1559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Verdana" w:hAnsi="Verdana" w:cs="Verdana"/>
                <w:sz w:val="20"/>
                <w:szCs w:val="20"/>
                <w:b/>
              </w:rPr>
              <w:t xml:space="preserve">R$ 315.680,71</w:t>
            </w:r>
          </w:p>
        </w:tc>
      </w:tr>
    </w:tbl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Os respectivos valores de tais verbas deverão ser apurados em liquidação de sentença, tratando-se o cálculo acima de </w:t>
      </w:r>
      <w:r>
        <w:rPr>
          <w:rFonts w:ascii="Verdana" w:hAnsi="Verdana" w:cs="Verdana"/>
          <w:sz w:val="22"/>
          <w:szCs w:val="22"/>
          <w:b/>
        </w:rPr>
        <w:t xml:space="preserve">mera estimativa</w:t>
      </w:r>
      <w:r>
        <w:rPr>
          <w:rFonts w:ascii="Verdana" w:hAnsi="Verdana" w:cs="Verdana"/>
          <w:sz w:val="22"/>
          <w:szCs w:val="22"/>
        </w:rPr>
        <w:t xml:space="preserve">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Nesse particular, cumpre consignar que os valores indicados na petição inicial </w:t>
      </w:r>
      <w:r>
        <w:rPr>
          <w:rFonts w:ascii="Verdana" w:hAnsi="Verdana" w:cs="Verdana"/>
          <w:sz w:val="22"/>
          <w:szCs w:val="22"/>
          <w:b/>
        </w:rPr>
        <w:t xml:space="preserve">não limitam a condenação</w:t>
      </w:r>
      <w:r>
        <w:rPr>
          <w:rFonts w:ascii="Verdana" w:hAnsi="Verdana" w:cs="Verdana"/>
          <w:sz w:val="22"/>
          <w:szCs w:val="22"/>
        </w:rPr>
        <w:t xml:space="preserve">, conforme entendimento firmado pelo C. TST no julgamento do </w:t>
      </w:r>
      <w:r>
        <w:rPr>
          <w:rFonts w:ascii="Verdana" w:hAnsi="Verdana" w:cs="Verdana"/>
          <w:sz w:val="22"/>
          <w:szCs w:val="22"/>
          <w:b/>
        </w:rPr>
        <w:t xml:space="preserve">Tema 35 dos Recursos Repetitivos</w:t>
      </w:r>
      <w:r>
        <w:rPr>
          <w:rFonts w:ascii="Verdana" w:hAnsi="Verdana" w:cs="Verdana"/>
          <w:sz w:val="22"/>
          <w:szCs w:val="22"/>
        </w:rPr>
        <w:t xml:space="preserve"> e nos termos do artigo 12, § 2º, da Instrução Normativa nº 41/2018 do TST.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Provará o alegado por todos os meios de prova em direito admitidos, especialmente através da documentação que segue inclusa, do depoimento pessoal dos representantes da reclamada — sob pena de confissão —, da prova pericial médica e técnica, e ainda da oitiva de testemunhas.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Requer, por fim, seja determinada à reclamada a </w:t>
      </w:r>
      <w:r>
        <w:rPr>
          <w:rFonts w:ascii="Verdana" w:hAnsi="Verdana" w:cs="Verdana"/>
          <w:sz w:val="22"/>
          <w:szCs w:val="22"/>
          <w:b/>
        </w:rPr>
        <w:t xml:space="preserve">exibição dos controles de jornada, dados de rastreamento, diários de bordo, conhecimentos de transporte (CT-e), holerites, TRCT e comprovantes de pagamento de todo o período contratual</w:t>
      </w:r>
      <w:r>
        <w:rPr>
          <w:rFonts w:ascii="Verdana" w:hAnsi="Verdana" w:cs="Verdana"/>
          <w:sz w:val="22"/>
          <w:szCs w:val="22"/>
        </w:rPr>
        <w:t xml:space="preserve">, sob pena de confissão quanto à jornada e aos valores declinados nesta prefacial.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O trabalhador dá à causa o valor de </w:t>
      </w:r>
      <w:r>
        <w:rPr>
          <w:rFonts w:ascii="Verdana" w:hAnsi="Verdana" w:cs="Verdana"/>
          <w:sz w:val="22"/>
          <w:szCs w:val="22"/>
          <w:b/>
        </w:rPr>
        <w:t xml:space="preserve">R$ 315.680,71 (trezentos e quinze mil, seiscentos e oitenta reais e setenta e um centavos)</w:t>
      </w:r>
      <w:r>
        <w:rPr>
          <w:rFonts w:ascii="Verdana" w:hAnsi="Verdana" w:cs="Verdana"/>
          <w:sz w:val="22"/>
          <w:szCs w:val="22"/>
        </w:rPr>
        <w:t xml:space="preserve">.</w:t>
      </w:r>
    </w:p>
    <w:p>
      <w:pPr>
        <w:spacing w:before="0" w:after="0" w:line="360" w:lineRule="auto"/>
        <w:jc w:val="both"/>
      </w:pP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Nestes termos,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pede deferimento.</w:t>
      </w:r>
    </w:p>
    <w:p>
      <w:pPr>
        <w:spacing w:before="360" w:after="360" w:line="360" w:lineRule="auto"/>
        <w:jc w:val="right"/>
      </w:pPr>
      <w:r>
        <w:rPr>
          <w:rFonts w:ascii="Verdana" w:hAnsi="Verdana" w:cs="Verdana"/>
          <w:sz w:val="22"/>
          <w:szCs w:val="22"/>
        </w:rPr>
        <w:t xml:space="preserve">Sorocaba, 31 de agosto de 2026.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Alexandre Pascoal Marques</w:t>
      </w:r>
    </w:p>
    <w:p>
      <w:pPr>
        <w:spacing w:before="0" w:after="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OAB/SP 270.924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Flávia Dyandra da Silva</w:t>
      </w:r>
    </w:p>
    <w:p>
      <w:pPr>
        <w:spacing w:before="0" w:after="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OAB/SP 352.455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Vitória Silva de Freitas</w:t>
      </w:r>
    </w:p>
    <w:p>
      <w:pPr>
        <w:spacing w:before="0" w:after="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OAB/SP 508.842</w:t>
      </w:r>
    </w:p>
    <w:sectPr>
      <w:headerReference r:id="rId7" w:type="default"/>
      <w:pgSz w:h="16838" w:w="11906" w:orient="portrait"/>
      <w:pgMar w:bottom="1701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-1069501</wp:posOffset>
          </wp:positionH>
          <wp:positionV relativeFrom="paragraph">
            <wp:posOffset>-375786</wp:posOffset>
          </wp:positionV>
          <wp:extent cx="7549116" cy="10675088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49116" cy="106750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8.00000000000006" w:lineRule="auto"/>
      <w:ind w:left="0" w:right="0" w:firstLine="0"/>
      <w:jc w:val="left"/>
    </w:pPr>
    <w:rPr>
      <w:rFonts w:ascii="Verdana" w:cs="Verdana" w:eastAsia="Verdana" w:hAnsi="Verdana"/>
      <w:b w:val="0"/>
      <w:bCs w:val="0"/>
      <w:i w:val="0"/>
      <w:iCs w:val="0"/>
      <w:smallCaps w:val="0"/>
      <w:strike w:val="0"/>
      <w:color w:val="2f5496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78.00000000000006" w:lineRule="auto"/>
      <w:ind w:left="0" w:right="0" w:firstLine="0"/>
      <w:jc w:val="left"/>
    </w:pPr>
    <w:rPr>
      <w:rFonts w:ascii="Verdana" w:cs="Verdana" w:eastAsia="Verdana" w:hAnsi="Verdana"/>
      <w:b w:val="0"/>
      <w:bCs w:val="0"/>
      <w:i w:val="0"/>
      <w:iCs w:val="0"/>
      <w:smallCaps w:val="0"/>
      <w:strike w:val="0"/>
      <w:color w:val="2f5496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78.00000000000006" w:lineRule="auto"/>
      <w:ind w:left="0" w:right="0" w:firstLine="0"/>
      <w:jc w:val="left"/>
    </w:pPr>
    <w:rPr>
      <w:rFonts w:ascii="Verdana" w:cs="Verdana" w:eastAsia="Verdana" w:hAnsi="Verdana"/>
      <w:b w:val="0"/>
      <w:bCs w:val="0"/>
      <w:i w:val="0"/>
      <w:iCs w:val="0"/>
      <w:smallCaps w:val="0"/>
      <w:strike w:val="0"/>
      <w:color w:val="2f5496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80" w:line="278.00000000000006" w:lineRule="auto"/>
      <w:ind w:left="0" w:right="0" w:firstLine="0"/>
      <w:jc w:val="left"/>
    </w:pPr>
    <w:rPr>
      <w:rFonts w:ascii="Verdana" w:cs="Verdana" w:eastAsia="Verdana" w:hAnsi="Verdana"/>
      <w:b w:val="0"/>
      <w:bCs w:val="0"/>
      <w:i w:val="1"/>
      <w:iCs w:val="1"/>
      <w:smallCaps w:val="0"/>
      <w:strike w:val="0"/>
      <w:color w:val="2f5496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80" w:line="278.00000000000006" w:lineRule="auto"/>
      <w:ind w:left="0" w:right="0" w:firstLine="0"/>
      <w:jc w:val="left"/>
    </w:pPr>
    <w:rPr>
      <w:rFonts w:ascii="Verdana" w:cs="Verdana" w:eastAsia="Verdana" w:hAnsi="Verdana"/>
      <w:b w:val="0"/>
      <w:bCs w:val="0"/>
      <w:i w:val="0"/>
      <w:iCs w:val="0"/>
      <w:smallCaps w:val="0"/>
      <w:strike w:val="0"/>
      <w:color w:val="2f549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0" w:line="278.00000000000006" w:lineRule="auto"/>
      <w:ind w:left="0" w:right="0" w:firstLine="0"/>
      <w:jc w:val="left"/>
    </w:pPr>
    <w:rPr>
      <w:rFonts w:ascii="Verdana" w:cs="Verdana" w:eastAsia="Verdana" w:hAnsi="Verdana"/>
      <w:b w:val="0"/>
      <w:bCs w:val="0"/>
      <w:i w:val="1"/>
      <w:iCs w:val="1"/>
      <w:smallCaps w:val="0"/>
      <w:strike w:val="0"/>
      <w:color w:val="595959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0" w:line="240" w:lineRule="auto"/>
      <w:ind w:left="0" w:right="0" w:firstLine="0"/>
      <w:jc w:val="left"/>
    </w:pPr>
    <w:rPr>
      <w:rFonts w:ascii="Verdana" w:cs="Verdana" w:eastAsia="Verdana" w:hAnsi="Verdana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rsid w:val="009F5B37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0" w:customStyle="1">
    <w:name w:val="normal"/>
    <w:rsid w:val="009F5B37"/>
  </w:style>
  <w:style w:type="paragraph" w:styleId="Cabealho">
    <w:name w:val="header"/>
    <w:basedOn w:val="Normal"/>
    <w:link w:val="CabealhoChar"/>
    <w:uiPriority w:val="99"/>
    <w:semiHidden w:val="1"/>
    <w:unhideWhenUsed w:val="1"/>
    <w:rsid w:val="00CD20DC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semiHidden w:val="1"/>
    <w:rsid w:val="00CD20DC"/>
  </w:style>
  <w:style w:type="paragraph" w:styleId="Rodap">
    <w:name w:val="footer"/>
    <w:basedOn w:val="Normal"/>
    <w:link w:val="RodapChar"/>
    <w:uiPriority w:val="99"/>
    <w:semiHidden w:val="1"/>
    <w:unhideWhenUsed w:val="1"/>
    <w:rsid w:val="00CD20DC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semiHidden w:val="1"/>
    <w:rsid w:val="00CD20DC"/>
  </w:style>
  <w:style w:type="paragraph" w:styleId="isselectedend" w:customStyle="1">
    <w:name w:val="isselectedend"/>
    <w:basedOn w:val="Normal"/>
    <w:rsid w:val="000B373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</w:rPr>
  </w:style>
  <w:style w:type="paragraph" w:styleId="NormalWeb">
    <w:name w:val="Normal (Web)"/>
    <w:basedOn w:val="Normal"/>
    <w:uiPriority w:val="99"/>
    <w:semiHidden w:val="1"/>
    <w:unhideWhenUsed w:val="1"/>
    <w:rsid w:val="000B373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</w:rPr>
  </w:style>
  <w:style w:type="paragraph" w:styleId="MdSpace" w:customStyle="1">
    <w:name w:val="MdSpace"/>
    <w:qFormat w:val="1"/>
    <w:rsid w:val="00D97B7D"/>
    <w:pPr>
      <w:spacing w:after="0" w:line="240" w:lineRule="auto"/>
    </w:pPr>
    <w:rPr>
      <w:rFonts w:ascii="Times New Roman" w:cs="Times New Roman" w:eastAsia="Times New Roman" w:hAnsi="Times New Roman"/>
      <w:sz w:val="12"/>
      <w:szCs w:val="12"/>
    </w:rPr>
  </w:style>
  <w:style w:type="paragraph" w:styleId="MdHr" w:customStyle="1">
    <w:name w:val="MdHr"/>
    <w:qFormat w:val="1"/>
    <w:rsid w:val="00D97B7D"/>
    <w:pPr>
      <w:pBdr>
        <w:bottom w:color="a5a5a5" w:space="1" w:sz="1" w:val="single"/>
      </w:pBdr>
      <w:spacing w:after="240" w:before="240" w:line="240" w:lineRule="auto"/>
    </w:pPr>
    <w:rPr>
      <w:rFonts w:ascii="Times New Roman" w:cs="Times New Roman" w:eastAsia="Times New Roman" w:hAnsi="Times New Roman"/>
    </w:rPr>
  </w:style>
  <w:style w:type="paragraph" w:styleId="MdBlockquote" w:customStyle="1">
    <w:name w:val="MdBlockquote"/>
    <w:qFormat w:val="1"/>
    <w:rsid w:val="00D97B7D"/>
    <w:pPr>
      <w:pBdr>
        <w:left w:color="a5a5a5" w:space="12" w:sz="20" w:val="single"/>
      </w:pBdr>
      <w:spacing w:after="200" w:before="200" w:line="240" w:lineRule="auto"/>
      <w:ind w:left="360"/>
    </w:pPr>
    <w:rPr>
      <w:rFonts w:ascii="Times New Roman" w:cs="Times New Roman" w:eastAsia="Times New Roman" w:hAnsi="Times New Roman"/>
      <w:i w:val="1"/>
      <w:iCs w:val="1"/>
      <w:color w:val="666666"/>
    </w:rPr>
  </w:style>
  <w:style w:type="paragraph" w:styleId="MdParagraph" w:customStyle="1">
    <w:name w:val="MdParagraph"/>
    <w:qFormat w:val="1"/>
    <w:rsid w:val="00D97B7D"/>
    <w:pPr>
      <w:spacing w:after="120" w:before="120" w:line="240" w:lineRule="auto"/>
    </w:pPr>
    <w:rPr>
      <w:rFonts w:ascii="Times New Roman" w:cs="Times New Roman" w:eastAsia="Times New Roman" w:hAnsi="Times New Roman"/>
    </w:rPr>
  </w:style>
  <w:style w:type="paragraph" w:styleId="MdHeading2" w:customStyle="1">
    <w:name w:val="MdHeading2"/>
    <w:qFormat w:val="1"/>
    <w:rsid w:val="00D97B7D"/>
    <w:pPr>
      <w:keepNext w:val="1"/>
      <w:spacing w:after="200" w:before="400" w:line="240" w:lineRule="auto"/>
      <w:outlineLvl w:val="1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character" w:styleId="MdStrong" w:customStyle="1">
    <w:name w:val="MdStrong"/>
    <w:uiPriority w:val="99"/>
    <w:unhideWhenUsed w:val="1"/>
    <w:qFormat w:val="1"/>
    <w:rsid w:val="00D97B7D"/>
    <w:rPr>
      <w:b w:val="1"/>
      <w:bCs w:val="1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D97B7D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D97B7D"/>
    <w:rPr>
      <w:rFonts w:ascii="Tahoma" w:cs="Tahoma" w:hAnsi="Tahoma"/>
      <w:sz w:val="16"/>
      <w:szCs w:val="16"/>
    </w:rPr>
  </w:style>
  <w:style w:type="character" w:styleId="italic" w:customStyle="1">
    <w:name w:val="italic"/>
    <w:basedOn w:val="Fontepargpadro"/>
    <w:rsid w:val="001B065C"/>
  </w:style>
  <w:style w:type="character" w:styleId="font-600" w:customStyle="1">
    <w:name w:val="font-[600]"/>
    <w:basedOn w:val="Fontepargpadro"/>
    <w:rsid w:val="001B065C"/>
  </w:style>
  <w:style w:type="character" w:styleId="helvetica" w:customStyle="1">
    <w:name w:val="helvetica"/>
    <w:basedOn w:val="Fontepargpadro"/>
    <w:rsid w:val="001B065C"/>
  </w:style>
  <w:style w:type="character" w:styleId="flex-1" w:customStyle="1">
    <w:name w:val="flex-1"/>
    <w:basedOn w:val="Fontepargpadro"/>
    <w:rsid w:val="001B065C"/>
  </w:style>
  <w:style w:type="character" w:styleId="katex-mathml" w:customStyle="1">
    <w:name w:val="katex-mathml"/>
    <w:basedOn w:val="Fontepargpadro"/>
    <w:rsid w:val="001B065C"/>
  </w:style>
  <w:style w:type="character" w:styleId="mord" w:customStyle="1">
    <w:name w:val="mord"/>
    <w:basedOn w:val="Fontepargpadro"/>
    <w:rsid w:val="001B065C"/>
  </w:style>
  <w:style w:type="character" w:styleId="mpunct" w:customStyle="1">
    <w:name w:val="mpunct"/>
    <w:basedOn w:val="Fontepargpadro"/>
    <w:rsid w:val="001B065C"/>
  </w:style>
  <w:style w:type="character" w:styleId="mbin" w:customStyle="1">
    <w:name w:val="mbin"/>
    <w:basedOn w:val="Fontepargpadro"/>
    <w:rsid w:val="001B065C"/>
  </w:style>
  <w:style w:type="character" w:styleId="mclose" w:customStyle="1">
    <w:name w:val="mclose"/>
    <w:basedOn w:val="Fontepargpadro"/>
    <w:rsid w:val="001B065C"/>
  </w:style>
  <w:style w:type="character" w:styleId="mopen" w:customStyle="1">
    <w:name w:val="mopen"/>
    <w:basedOn w:val="Fontepargpadro"/>
    <w:rsid w:val="001B065C"/>
  </w:style>
  <w:style w:type="character" w:styleId="mrel" w:customStyle="1">
    <w:name w:val="mrel"/>
    <w:basedOn w:val="Fontepargpadro"/>
    <w:rsid w:val="001B065C"/>
  </w:style>
  <w:style w:type="paragraph" w:styleId="PargrafodaLista">
    <w:name w:val="List Paragraph"/>
    <w:basedOn w:val="Normal"/>
    <w:uiPriority w:val="34"/>
    <w:qFormat w:val="1"/>
    <w:rsid w:val="001B065C"/>
    <w:pPr>
      <w:ind w:left="720"/>
      <w:contextualSpacing w:val="1"/>
    </w:pPr>
  </w:style>
  <w:style w:type="paragraph" w:styleId="pdq2pgselectionanchorcontainer" w:customStyle="1">
    <w:name w:val="pdq2pg_selectionanchorcontainer"/>
    <w:basedOn w:val="Normal"/>
    <w:rsid w:val="008E28D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</w:rPr>
  </w:style>
  <w:style w:type="character" w:styleId="Forte">
    <w:name w:val="Strong"/>
    <w:basedOn w:val="Fontepargpadro"/>
    <w:uiPriority w:val="22"/>
    <w:qFormat w:val="1"/>
    <w:rsid w:val="008E28DC"/>
    <w:rPr>
      <w:b w:val="1"/>
      <w:bCs w:val="1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78.00000000000006" w:lineRule="auto"/>
      <w:ind w:left="0" w:right="0" w:firstLine="0"/>
      <w:jc w:val="left"/>
    </w:pPr>
    <w:rPr>
      <w:rFonts w:ascii="Verdana" w:cs="Verdana" w:eastAsia="Verdana" w:hAnsi="Verdana"/>
      <w:b w:val="0"/>
      <w:bCs w:val="0"/>
      <w:i w:val="0"/>
      <w:iCs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kcLZKFaHgtNniibYRy/Oq3yodA==">CgMxLjA4AHIhMWxrT2FPRlg2bTNhcXpBLU1mU09zbEZDMFdjWHE0bGQ3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2026-08-28T18:38:00Z</dcterms:created>
  <dc:creator>ADVOCACIA PASCOAL 1</dc:creator>
</cp:coreProperties>
</file>