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>
      <w:pPr>
        <w:spacing w:before="0" w:after="4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20"/>
        </w:rPr>
        <w:t>BASE DE CONHECIMENTO</w:t>
      </w:r>
    </w:p>
    <w:p>
      <w:pPr>
        <w:spacing w:before="0" w:after="80" w:line="276" w:lineRule="auto"/>
        <w:jc w:val="left"/>
      </w:pPr>
      <w:r>
        <w:rPr>
          <w:rFonts w:ascii="Verdana" w:hAnsi="Verdana" w:eastAsia="Verdana"/>
          <w:b/>
          <w:i w:val="0"/>
          <w:color w:val="1F201F"/>
          <w:sz w:val="52"/>
        </w:rPr>
        <w:t>BANCO DE TESES</w:t>
      </w:r>
    </w:p>
    <w:p>
      <w:pPr>
        <w:spacing w:before="0" w:after="200" w:line="276" w:lineRule="auto"/>
        <w:jc w:val="left"/>
        <w:pBdr>
          <w:bottom w:val="single" w:sz="12" w:space="4" w:color="CCA862"/>
        </w:pBdr>
      </w:pPr>
      <w:r>
        <w:rPr>
          <w:rFonts w:ascii="Verdana" w:hAnsi="Verdana" w:eastAsia="Verdana"/>
          <w:b w:val="0"/>
          <w:i w:val="0"/>
          <w:color w:val="555555"/>
          <w:sz w:val="26"/>
        </w:rPr>
        <w:t>Trabalhista de Motorista e Caminhoneiro</w:t>
      </w:r>
    </w:p>
    <w:p>
      <w:pPr>
        <w:spacing w:before="0" w:after="60" w:line="276" w:lineRule="auto"/>
        <w:jc w:val="left"/>
      </w:pPr>
      <w:r>
        <w:rPr>
          <w:rFonts w:ascii="Verdana" w:hAnsi="Verdana" w:eastAsia="Verdana"/>
          <w:b w:val="0"/>
          <w:i w:val="0"/>
          <w:color w:val="555555"/>
          <w:sz w:val="19"/>
        </w:rPr>
        <w:t>Documento interno de trabalho — Pascoal &amp; Dyandra Advocacia</w:t>
      </w:r>
    </w:p>
    <w:p>
      <w:pPr>
        <w:spacing w:before="0" w:after="60" w:line="276" w:lineRule="auto"/>
        <w:jc w:val="left"/>
      </w:pPr>
      <w:r>
        <w:rPr>
          <w:rFonts w:ascii="Verdana" w:hAnsi="Verdana" w:eastAsia="Verdana"/>
          <w:b w:val="0"/>
          <w:i w:val="0"/>
          <w:color w:val="555555"/>
          <w:sz w:val="19"/>
        </w:rPr>
        <w:t>Construído a partir de 136 peças próprias do acervo do escritório</w:t>
      </w:r>
    </w:p>
    <w:p>
      <w:pPr>
        <w:spacing w:before="0" w:after="60" w:line="276" w:lineRule="auto"/>
        <w:jc w:val="left"/>
      </w:pPr>
      <w:r>
        <w:rPr>
          <w:rFonts w:ascii="Verdana" w:hAnsi="Verdana" w:eastAsia="Verdana"/>
          <w:b w:val="0"/>
          <w:i w:val="0"/>
          <w:color w:val="555555"/>
          <w:sz w:val="19"/>
        </w:rPr>
        <w:t>Responsável: Dr. Alexandre Pascoal Marques — OAB/SP 270.924</w:t>
      </w:r>
    </w:p>
    <w:p>
      <w:pPr>
        <w:spacing w:before="0" w:after="60" w:line="276" w:lineRule="auto"/>
        <w:jc w:val="left"/>
      </w:pPr>
      <w:r>
        <w:rPr>
          <w:rFonts w:ascii="Verdana" w:hAnsi="Verdana" w:eastAsia="Verdana"/>
          <w:b w:val="0"/>
          <w:i w:val="0"/>
          <w:color w:val="555555"/>
          <w:sz w:val="19"/>
        </w:rPr>
        <w:t>Foro: Sorocaba — SP</w:t>
      </w:r>
    </w:p>
    <w:p/>
    <w:p/>
    <w:p>
      <w:pPr>
        <w:spacing w:before="0" w:after="8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18"/>
        </w:rPr>
        <w:t>AVISO</w:t>
      </w:r>
    </w:p>
    <w:p>
      <w:pPr>
        <w:spacing w:before="0" w:after="80" w:line="276" w:lineRule="auto"/>
        <w:jc w:val="both"/>
      </w:pPr>
      <w:r>
        <w:rPr>
          <w:rFonts w:ascii="Verdana" w:hAnsi="Verdana" w:eastAsia="Verdana"/>
          <w:b w:val="0"/>
          <w:i/>
          <w:color w:val="333333"/>
          <w:sz w:val="19"/>
        </w:rPr>
        <w:t>As teses, blocos de redação e precedentes reunidos neste documento foram extraídos do acervo próprio do escritório e servem como ponto de partida de trabalho. Nenhum bloco deve ser reutilizado sem conferência prévia da PARTE VI — ALERTAS DE ATUALIZAÇÃO, e nenhuma peça gerada a partir deste material deve ser protocolada sem revisão do advogado responsável.</w:t>
      </w:r>
    </w:p>
    <w:p>
      <w:r>
        <w:br w:type="page"/>
      </w:r>
    </w:p>
    <w:p>
      <w:pPr>
        <w:spacing w:before="0" w:after="200" w:line="276" w:lineRule="auto"/>
        <w:jc w:val="left"/>
        <w:pBdr>
          <w:bottom w:val="single" w:sz="10" w:space="4" w:color="CCA862"/>
        </w:pBdr>
      </w:pPr>
      <w:r>
        <w:rPr>
          <w:rFonts w:ascii="Verdana" w:hAnsi="Verdana" w:eastAsia="Verdana"/>
          <w:b/>
          <w:i w:val="0"/>
          <w:color w:val="1F201F"/>
          <w:sz w:val="30"/>
        </w:rPr>
        <w:t>SUMÁRIO</w:t>
      </w:r>
    </w:p>
    <w:p>
      <w:pPr>
        <w:spacing w:before="160" w:after="2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18"/>
        </w:rPr>
        <w:t xml:space="preserve">PARTE I   </w:t>
      </w:r>
      <w:r>
        <w:rPr>
          <w:rFonts w:ascii="Verdana" w:hAnsi="Verdana" w:eastAsia="Verdana"/>
          <w:b/>
          <w:i w:val="0"/>
          <w:color w:val="1F201F"/>
          <w:sz w:val="22"/>
        </w:rPr>
        <w:t>Banco de Teses</w:t>
      </w:r>
    </w:p>
    <w:p>
      <w:pPr>
        <w:spacing w:before="0" w:after="40" w:line="276" w:lineRule="auto"/>
        <w:ind w:left="907"/>
        <w:jc w:val="left"/>
      </w:pPr>
      <w:r>
        <w:rPr>
          <w:rFonts w:ascii="Verdana" w:hAnsi="Verdana" w:eastAsia="Verdana"/>
          <w:b w:val="0"/>
          <w:i w:val="0"/>
          <w:color w:val="555555"/>
          <w:sz w:val="18"/>
        </w:rPr>
        <w:t>23 teses com gatilho de intake, base legal, bloco de redação, pedido e subsidiário</w:t>
      </w:r>
    </w:p>
    <w:p>
      <w:pPr>
        <w:spacing w:before="160" w:after="2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18"/>
        </w:rPr>
        <w:t xml:space="preserve">PARTE II   </w:t>
      </w:r>
      <w:r>
        <w:rPr>
          <w:rFonts w:ascii="Verdana" w:hAnsi="Verdana" w:eastAsia="Verdana"/>
          <w:b/>
          <w:i w:val="0"/>
          <w:color w:val="1F201F"/>
          <w:sz w:val="22"/>
        </w:rPr>
        <w:t>Esqueleto da Petição Inicial</w:t>
      </w:r>
    </w:p>
    <w:p>
      <w:pPr>
        <w:spacing w:before="0" w:after="40" w:line="276" w:lineRule="auto"/>
        <w:ind w:left="907"/>
        <w:jc w:val="left"/>
      </w:pPr>
      <w:r>
        <w:rPr>
          <w:rFonts w:ascii="Verdana" w:hAnsi="Verdana" w:eastAsia="Verdana"/>
          <w:b w:val="0"/>
          <w:i w:val="0"/>
          <w:color w:val="555555"/>
          <w:sz w:val="18"/>
        </w:rPr>
        <w:t>Estrutura canônica A→Q, blocos fixos e checklist de documentos</w:t>
      </w:r>
    </w:p>
    <w:p>
      <w:pPr>
        <w:spacing w:before="160" w:after="2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18"/>
        </w:rPr>
        <w:t xml:space="preserve">PARTE III   </w:t>
      </w:r>
      <w:r>
        <w:rPr>
          <w:rFonts w:ascii="Verdana" w:hAnsi="Verdana" w:eastAsia="Verdana"/>
          <w:b/>
          <w:i w:val="0"/>
          <w:color w:val="1F201F"/>
          <w:sz w:val="22"/>
        </w:rPr>
        <w:t>Base Legal e Precedentes</w:t>
      </w:r>
    </w:p>
    <w:p>
      <w:pPr>
        <w:spacing w:before="0" w:after="40" w:line="276" w:lineRule="auto"/>
        <w:ind w:left="907"/>
        <w:jc w:val="left"/>
      </w:pPr>
      <w:r>
        <w:rPr>
          <w:rFonts w:ascii="Verdana" w:hAnsi="Verdana" w:eastAsia="Verdana"/>
          <w:b w:val="0"/>
          <w:i w:val="0"/>
          <w:color w:val="555555"/>
          <w:sz w:val="18"/>
        </w:rPr>
        <w:t>Catálogo do que o escritório cita, com frequência medida no acervo</w:t>
      </w:r>
    </w:p>
    <w:p>
      <w:pPr>
        <w:spacing w:before="160" w:after="2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18"/>
        </w:rPr>
        <w:t xml:space="preserve">PARTE IV   </w:t>
      </w:r>
      <w:r>
        <w:rPr>
          <w:rFonts w:ascii="Verdana" w:hAnsi="Verdana" w:eastAsia="Verdana"/>
          <w:b/>
          <w:i w:val="0"/>
          <w:color w:val="1F201F"/>
          <w:sz w:val="22"/>
        </w:rPr>
        <w:t>Padrões de Escrita</w:t>
      </w:r>
    </w:p>
    <w:p>
      <w:pPr>
        <w:spacing w:before="0" w:after="40" w:line="276" w:lineRule="auto"/>
        <w:ind w:left="907"/>
        <w:jc w:val="left"/>
      </w:pPr>
      <w:r>
        <w:rPr>
          <w:rFonts w:ascii="Verdana" w:hAnsi="Verdana" w:eastAsia="Verdana"/>
          <w:b w:val="0"/>
          <w:i w:val="0"/>
          <w:color w:val="555555"/>
          <w:sz w:val="18"/>
        </w:rPr>
        <w:t>Conectores, verbos e arquitetura de tópico, com contagem real</w:t>
      </w:r>
    </w:p>
    <w:p>
      <w:pPr>
        <w:spacing w:before="160" w:after="2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18"/>
        </w:rPr>
        <w:t xml:space="preserve">PARTE V   </w:t>
      </w:r>
      <w:r>
        <w:rPr>
          <w:rFonts w:ascii="Verdana" w:hAnsi="Verdana" w:eastAsia="Verdana"/>
          <w:b/>
          <w:i w:val="0"/>
          <w:color w:val="1F201F"/>
          <w:sz w:val="22"/>
        </w:rPr>
        <w:t>Jurimetria Interna</w:t>
      </w:r>
    </w:p>
    <w:p>
      <w:pPr>
        <w:spacing w:before="0" w:after="40" w:line="276" w:lineRule="auto"/>
        <w:ind w:left="907"/>
        <w:jc w:val="left"/>
      </w:pPr>
      <w:r>
        <w:rPr>
          <w:rFonts w:ascii="Verdana" w:hAnsi="Verdana" w:eastAsia="Verdana"/>
          <w:b w:val="0"/>
          <w:i w:val="0"/>
          <w:color w:val="555555"/>
          <w:sz w:val="18"/>
        </w:rPr>
        <w:t>Planilha de resultados por tese — a preencher</w:t>
      </w:r>
    </w:p>
    <w:p>
      <w:pPr>
        <w:spacing w:before="160" w:after="2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18"/>
        </w:rPr>
        <w:t xml:space="preserve">PARTE VI   </w:t>
      </w:r>
      <w:r>
        <w:rPr>
          <w:rFonts w:ascii="Verdana" w:hAnsi="Verdana" w:eastAsia="Verdana"/>
          <w:b/>
          <w:i w:val="0"/>
          <w:color w:val="1F201F"/>
          <w:sz w:val="22"/>
        </w:rPr>
        <w:t>Alertas de Atualização</w:t>
      </w:r>
    </w:p>
    <w:p>
      <w:pPr>
        <w:spacing w:before="0" w:after="40" w:line="276" w:lineRule="auto"/>
        <w:ind w:left="907"/>
        <w:jc w:val="left"/>
      </w:pPr>
      <w:r>
        <w:rPr>
          <w:rFonts w:ascii="Verdana" w:hAnsi="Verdana" w:eastAsia="Verdana"/>
          <w:b w:val="0"/>
          <w:i w:val="0"/>
          <w:color w:val="555555"/>
          <w:sz w:val="18"/>
        </w:rPr>
        <w:t>Pontos do acervo antigo que exigem conferência antes do reuso</w:t>
      </w:r>
    </w:p>
    <w:p>
      <w:r>
        <w:br w:type="page"/>
      </w:r>
    </w:p>
    <w:p>
      <w:pPr>
        <w:spacing w:before="0" w:after="4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20"/>
        </w:rPr>
        <w:t>PARTE I</w:t>
      </w:r>
    </w:p>
    <w:p>
      <w:pPr>
        <w:spacing w:before="0" w:after="240" w:line="276" w:lineRule="auto"/>
        <w:jc w:val="left"/>
        <w:pBdr>
          <w:bottom w:val="single" w:sz="12" w:space="4" w:color="CCA862"/>
        </w:pBdr>
      </w:pPr>
      <w:r>
        <w:rPr>
          <w:rFonts w:ascii="Verdana" w:hAnsi="Verdana" w:eastAsia="Verdana"/>
          <w:b/>
          <w:i w:val="0"/>
          <w:color w:val="1F201F"/>
          <w:sz w:val="36"/>
        </w:rPr>
        <w:t>BANCO DE TESES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Cada tese traz a letra que ela ocupa no esqueleto padrão do escritório (ver </w:t>
      </w:r>
      <w:r>
        <w:rPr>
          <w:rFonts w:ascii="Verdana" w:hAnsi="Verdana" w:eastAsia="Verdana"/>
          <w:b w:val="0"/>
          <w:i w:val="0"/>
          <w:sz w:val="20"/>
        </w:rPr>
        <w:t>PARTE II</w:t>
      </w:r>
      <w:r>
        <w:rPr>
          <w:rFonts w:ascii="Verdana" w:hAnsi="Verdana" w:eastAsia="Verdana"/>
          <w:b w:val="0"/>
          <w:i w:val="0"/>
          <w:sz w:val="20"/>
        </w:rPr>
        <w:t xml:space="preserve">) e a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 xml:space="preserve"> com que aparece no acervo — a frequência é o melhor indicador de qual tese é núcleo do produto e qual é acessória.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680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6503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Tese</w:t>
            </w:r>
          </w:p>
        </w:tc>
        <w:tc>
          <w:tcPr>
            <w:tcW w:type="dxa" w:w="680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Letra</w:t>
            </w:r>
          </w:p>
        </w:tc>
        <w:tc>
          <w:tcPr>
            <w:tcW w:type="dxa" w:w="680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Freq.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T01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Grupo de empresas / responsabilidade solidária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T02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Comissões pagas na forma de outras verbas (fraude de rubrica)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B/C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T03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Reembolso de despesas (diárias) e natureza salarial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C/D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T04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Pedido alternativo — reflexos do "reembolso de despesas"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D/D1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T05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Efetivo pagamento de horas extras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E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T06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Domingos trabalhados — 100% e DSR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F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T07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Horas noturnas por guarda e proteção do caminhão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G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T08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Período em filas — horas de espera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G/H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T09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Intervalo do art. 235-D, I, CLT (30 min a cada 4h/6h)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H/I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T10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Supressão do intervalo intrajornada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I/J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T11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Supressão do intervalo interjornada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J/K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T12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Reflexos consolidados sobre férias, 13º e FGTS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K/L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T13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Acúmulo de função (abastecimento, carga, aquecimento)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M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T14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Adicional de carregamento/descarregamento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N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T15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Depósitos fundiários (FGTS)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L/N/O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T16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Dano existencial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M/O/P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T17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Indenização suplementar de honorários (CC 389/395/404)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P/Q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T18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Rescisão indireta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B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T19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Descanso de 35h / art. 235-D + ADI 5322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emergente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T20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Periculosidade (dois tanques) e insalubridade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acessória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T21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Multa do art. 477 §8º e art. 467 CLT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acessória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T22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Descontos indevidos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acessória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T23</w:t>
            </w:r>
          </w:p>
        </w:tc>
        <w:tc>
          <w:tcPr>
            <w:tcW w:type="dxa" w:w="650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Feriados 100% / vale-transporte / reajuste de dissídio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acessória</w:t>
            </w:r>
          </w:p>
        </w:tc>
      </w:tr>
    </w:tbl>
    <w:p>
      <w:pPr>
        <w:spacing w:after="80"/>
      </w:pP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T01 — GRUPO DE EMPRESAS / RESPONSABILIDADE SOLIDÁRIA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A (abre a peça)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22 peças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Gatilho no intake</w:t>
      </w:r>
      <w:r>
        <w:rPr>
          <w:rFonts w:ascii="Verdana" w:hAnsi="Verdana" w:eastAsia="Verdana"/>
          <w:b w:val="0"/>
          <w:i w:val="0"/>
          <w:sz w:val="20"/>
        </w:rPr>
        <w:t>: cliente prestou serviço a duas ou mais empresas; carregava produto nas dependências de outra empresa; reportava-se a sócios comuns; pagamentos alternados entre CNPJs.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>: art. 2º, §§2º e 3º, CLT · Súmula 129 TST (unicidade contratual).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Prova que o escritório usa</w:t>
      </w:r>
      <w:r>
        <w:rPr>
          <w:rFonts w:ascii="Verdana" w:hAnsi="Verdana" w:eastAsia="Verdana"/>
          <w:b w:val="0"/>
          <w:i w:val="0"/>
          <w:sz w:val="20"/>
        </w:rPr>
        <w:t xml:space="preserve">: certidões da </w:t>
      </w:r>
      <w:r>
        <w:rPr>
          <w:rFonts w:ascii="Verdana" w:hAnsi="Verdana" w:eastAsia="Verdana"/>
          <w:b/>
          <w:i w:val="0"/>
          <w:sz w:val="20"/>
        </w:rPr>
        <w:t>JUCESP</w:t>
      </w:r>
      <w:r>
        <w:rPr>
          <w:rFonts w:ascii="Verdana" w:hAnsi="Verdana" w:eastAsia="Verdana"/>
          <w:b w:val="0"/>
          <w:i w:val="0"/>
          <w:sz w:val="20"/>
        </w:rPr>
        <w:t xml:space="preserve"> com identidade de sócios; mesmo ramo de atividade; direção conjunta do negócio; carregamento de produto nas dependências da 2ª ré.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Bloco de redação (base do acervo)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Cabe esclarecer que o reclamante sempre prestou serviços ininterruptamente para as duas reclamadas, sendo que 1ª e 2ª são propriedade em comum da família, sendo ambas as empresas atuantes do mesmo ramo, o que se vislumbra através das certidões da Jucesp ora colacionadas. Vale frisar ainda que o reclamante reportou-se sempre a ambos os sócios das reclamadas durante todo o pacto laboral, sendo o negócio dirigido conjuntamente, bem como carregava os produtos ([PRODUTO]) da segunda reclamada em suas dependências. Ainda, observa-se pelos registros da empresa extraídos da Jucesp a identidade de sócios, a exemplo [SÓCIO 1] e [SÓCIO 2]. Encontra-se evidente a caracterização do grupo de empresas.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Pedido</w:t>
      </w:r>
      <w:r>
        <w:rPr>
          <w:rFonts w:ascii="Verdana" w:hAnsi="Verdana" w:eastAsia="Verdana"/>
          <w:b w:val="0"/>
          <w:i w:val="0"/>
          <w:sz w:val="20"/>
        </w:rPr>
        <w:t xml:space="preserve">: responsabilização </w:t>
      </w:r>
      <w:r>
        <w:rPr>
          <w:rFonts w:ascii="Verdana" w:hAnsi="Verdana" w:eastAsia="Verdana"/>
          <w:b/>
          <w:i w:val="0"/>
          <w:sz w:val="20"/>
        </w:rPr>
        <w:t>solidária</w:t>
      </w:r>
      <w:r>
        <w:rPr>
          <w:rFonts w:ascii="Verdana" w:hAnsi="Verdana" w:eastAsia="Verdana"/>
          <w:b w:val="0"/>
          <w:i w:val="0"/>
          <w:sz w:val="20"/>
        </w:rPr>
        <w:t xml:space="preserve"> de todas as reclamadas. </w:t>
      </w:r>
      <w:r>
        <w:rPr>
          <w:rFonts w:ascii="Verdana" w:hAnsi="Verdana" w:eastAsia="Verdana"/>
          <w:b/>
          <w:i w:val="0"/>
          <w:sz w:val="20"/>
        </w:rPr>
        <w:t>Subsidiário (sempre presente)</w:t>
      </w:r>
      <w:r>
        <w:rPr>
          <w:rFonts w:ascii="Verdana" w:hAnsi="Verdana" w:eastAsia="Verdana"/>
          <w:b w:val="0"/>
          <w:i w:val="0"/>
          <w:sz w:val="20"/>
        </w:rPr>
        <w:t>: "Alternativamente, requer, ao menos, a responsabilização subsidiária da 2ª ré."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Contra-tese a antecipar</w:t>
      </w:r>
      <w:r>
        <w:rPr>
          <w:rFonts w:ascii="Verdana" w:hAnsi="Verdana" w:eastAsia="Verdana"/>
          <w:b w:val="0"/>
          <w:i w:val="0"/>
          <w:sz w:val="20"/>
        </w:rPr>
        <w:t>: defesa conjunta que não impugna especificamente o grupo — registrar o silêncio em réplica (art. 341 CPC).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T02 — COMISSÕES PAGAS NA FORMA DE OUTRAS VERBAS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B (ou C)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 xml:space="preserve">: 25 peças · </w:t>
      </w:r>
      <w:r>
        <w:rPr>
          <w:rFonts w:ascii="Verdana" w:hAnsi="Verdana" w:eastAsia="Verdana"/>
          <w:b/>
          <w:i w:val="0"/>
          <w:sz w:val="20"/>
        </w:rPr>
        <w:t>Tese-assinatura do escritório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Esta é a tese central do produto "caminhoneiro" do escritório: a empresa pagava comissão por quilômetro rodado e, após a Lei do Motorista, passou a lançar esse valor no holerite sob rubricas de </w:t>
      </w:r>
      <w:r>
        <w:rPr>
          <w:rFonts w:ascii="Verdana" w:hAnsi="Verdana" w:eastAsia="Verdana"/>
          <w:b/>
          <w:i w:val="0"/>
          <w:sz w:val="20"/>
        </w:rPr>
        <w:t>horas extras, diárias, reembolso de despesas, horas de espera e DSR</w:t>
      </w:r>
      <w:r>
        <w:rPr>
          <w:rFonts w:ascii="Verdana" w:hAnsi="Verdana" w:eastAsia="Verdana"/>
          <w:b w:val="0"/>
          <w:i w:val="0"/>
          <w:sz w:val="20"/>
        </w:rPr>
        <w:t xml:space="preserve"> — verbas que na realidade nunca foram pagas. A tese ataca os dois lados ao mesmo tempo: </w:t>
      </w:r>
      <w:r>
        <w:rPr>
          <w:rFonts w:ascii="Verdana" w:hAnsi="Verdana" w:eastAsia="Verdana"/>
          <w:b/>
          <w:i w:val="0"/>
          <w:sz w:val="20"/>
        </w:rPr>
        <w:t>a rubrica é falsa</w:t>
      </w:r>
      <w:r>
        <w:rPr>
          <w:rFonts w:ascii="Verdana" w:hAnsi="Verdana" w:eastAsia="Verdana"/>
          <w:b w:val="0"/>
          <w:i w:val="0"/>
          <w:sz w:val="20"/>
        </w:rPr>
        <w:t xml:space="preserve"> (logo a verba real não foi paga) </w:t>
      </w:r>
      <w:r>
        <w:rPr>
          <w:rFonts w:ascii="Verdana" w:hAnsi="Verdana" w:eastAsia="Verdana"/>
          <w:b/>
          <w:i w:val="0"/>
          <w:sz w:val="20"/>
        </w:rPr>
        <w:t>e a comissão é real</w:t>
      </w:r>
      <w:r>
        <w:rPr>
          <w:rFonts w:ascii="Verdana" w:hAnsi="Verdana" w:eastAsia="Verdana"/>
          <w:b w:val="0"/>
          <w:i w:val="0"/>
          <w:sz w:val="20"/>
        </w:rPr>
        <w:t xml:space="preserve"> (logo deve integrar a remuneração).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Gatilho no intake</w:t>
      </w:r>
      <w:r>
        <w:rPr>
          <w:rFonts w:ascii="Verdana" w:hAnsi="Verdana" w:eastAsia="Verdana"/>
          <w:b w:val="0"/>
          <w:i w:val="0"/>
          <w:sz w:val="20"/>
        </w:rPr>
        <w:t>: cliente recebia valor por km rodado; holerite mostra "horas extras" em valor relativamente fixo mês a mês; rubricas de reembolso/diária/hora de espera sem correspondência com viagens reais.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>: art. 9º CLT (fraude) · art. 457, §1º, CLT · art. 235-G CLT (vedação à remuneração por distância/tempo que comprometa a segurança — texto original da Lei 12.619/2012 e redação alterada pela Lei 13.103/2015) · Súmula 91 TST (salário complessivo) · Súmula 264 TST (base de cálculo).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Bloco de redação (base do acervo)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A primeira reclamada comissionava o autor, assim como os demais motoristas, no valor de R$ [VALOR] por quilômetro rodado, a depender do tipo de veículo que o motorista dirigia ([EIXOS]), o que se traduzia, no caso do reclamante, na média de R$ [MÉDIA MENSAL], considerando a média de quilômetros rodados ao mês. No entanto, tais comissões eram pagas, até [DATA] de forma clandestina, e após tal data, ou seja, a partir da vigência da Lei 12.619/2012, passaram a ser lançadas na forma de "horas extras", "diárias" e "reembolso de despesas" nos contracheques do trabalhador, verbas estas que, efetivamente, não eram recebidas. Ou seja, as comissões que antes da Lei do motorista eram pagas "por fora", a partir da sua vigência passaram a ser "forjadas", "maquiadas", "transformadas" em holerites do trabalhador na forma de verbas que na verdade eram suprimidas. Tal prática é comum pela primeira reclamada que, no intuito de burlar o pagamento efetivo dos demais títulos e ainda comissionar os motoristas de maneira menos onerosa para si, realizava o pagamento das comissões em holerite, distribuindo seu valor sob a rubrica de reembolso de despesas com almoço, jantar e pernoite, bem como sob a rubrica de horas extras, horas de espera e DSR, permanecendo tais valores sendo pagos sem a devida integração à remuneração do obreiro.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Pedido</w:t>
      </w:r>
      <w:r>
        <w:rPr>
          <w:rFonts w:ascii="Verdana" w:hAnsi="Verdana" w:eastAsia="Verdana"/>
          <w:b w:val="0"/>
          <w:i w:val="0"/>
          <w:sz w:val="20"/>
        </w:rPr>
        <w:t xml:space="preserve">: (a) reflexos das verbas mascaradas sobre todas as verbas contratuais e rescisórias; </w:t>
      </w:r>
      <w:r>
        <w:rPr>
          <w:rFonts w:ascii="Verdana" w:hAnsi="Verdana" w:eastAsia="Verdana"/>
          <w:b/>
          <w:i w:val="0"/>
          <w:sz w:val="20"/>
        </w:rPr>
        <w:t>e</w:t>
      </w:r>
      <w:r>
        <w:rPr>
          <w:rFonts w:ascii="Verdana" w:hAnsi="Verdana" w:eastAsia="Verdana"/>
          <w:b w:val="0"/>
          <w:i w:val="0"/>
          <w:sz w:val="20"/>
        </w:rPr>
        <w:t xml:space="preserve"> (b) o efetivo pagamento das verbas forjadas (cada uma pedida em tópico próprio abaixo).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Reflexos padrão</w:t>
      </w:r>
      <w:r>
        <w:rPr>
          <w:rFonts w:ascii="Verdana" w:hAnsi="Verdana" w:eastAsia="Verdana"/>
          <w:b w:val="0"/>
          <w:i w:val="0"/>
          <w:sz w:val="20"/>
        </w:rPr>
        <w:t>: adicional de periculosidade, aviso prévio, férias + 1/3, 13º salário, horas extras, FGTS + 40%.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Técnica de reforço (recomendada, ver TEMA 10 da base legal)</w:t>
      </w:r>
      <w:r>
        <w:rPr>
          <w:rFonts w:ascii="Verdana" w:hAnsi="Verdana" w:eastAsia="Verdana"/>
          <w:b w:val="0"/>
          <w:i w:val="0"/>
          <w:sz w:val="20"/>
        </w:rPr>
        <w:t xml:space="preserve">: demonstrar a </w:t>
      </w:r>
      <w:r>
        <w:rPr>
          <w:rFonts w:ascii="Verdana" w:hAnsi="Verdana" w:eastAsia="Verdana"/>
          <w:b/>
          <w:i w:val="0"/>
          <w:sz w:val="20"/>
        </w:rPr>
        <w:t>impossibilidade aritmética</w:t>
      </w:r>
      <w:r>
        <w:rPr>
          <w:rFonts w:ascii="Verdana" w:hAnsi="Verdana" w:eastAsia="Verdana"/>
          <w:b w:val="0"/>
          <w:i w:val="0"/>
          <w:sz w:val="20"/>
        </w:rPr>
        <w:t xml:space="preserve"> — calcular o teto teórico de horas do adicional lançado e provar que o valor pago excede esse teto. Prova simultânea da fraude e da jornada real.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Variante do acervo</w:t>
      </w:r>
      <w:r>
        <w:rPr>
          <w:rFonts w:ascii="Verdana" w:hAnsi="Verdana" w:eastAsia="Verdana"/>
          <w:b w:val="0"/>
          <w:i w:val="0"/>
          <w:sz w:val="20"/>
        </w:rPr>
        <w:t>: "COMISSÕES PAGAS SOB A RÚBRICA DE GRATIFICAÇÃO DO MOTORISTA" — mesma tese, rubrica diferente.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T03 — REEMBOLSO DE DESPESAS (DIÁRIAS) E SUA NATUREZA SALARIAL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C (ou D)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23 peças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Gatilho</w:t>
      </w:r>
      <w:r>
        <w:rPr>
          <w:rFonts w:ascii="Verdana" w:hAnsi="Verdana" w:eastAsia="Verdana"/>
          <w:b w:val="0"/>
          <w:i w:val="0"/>
          <w:sz w:val="20"/>
        </w:rPr>
        <w:t>: cliente nunca recebeu diária de almoço/jantar/pernoite, ou recebeu valor inferior ao da CCT; pernoitava no caminhão.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 xml:space="preserve">: </w:t>
      </w:r>
      <w:r>
        <w:rPr>
          <w:rFonts w:ascii="Verdana" w:hAnsi="Verdana" w:eastAsia="Verdana"/>
          <w:b/>
          <w:i w:val="0"/>
          <w:sz w:val="20"/>
        </w:rPr>
        <w:t>cláusula 16ª</w:t>
      </w:r>
      <w:r>
        <w:rPr>
          <w:rFonts w:ascii="Verdana" w:hAnsi="Verdana" w:eastAsia="Verdana"/>
          <w:b w:val="0"/>
          <w:i w:val="0"/>
          <w:sz w:val="20"/>
        </w:rPr>
        <w:t xml:space="preserve"> (almoço e jantar) e </w:t>
      </w:r>
      <w:r>
        <w:rPr>
          <w:rFonts w:ascii="Verdana" w:hAnsi="Verdana" w:eastAsia="Verdana"/>
          <w:b/>
          <w:i w:val="0"/>
          <w:sz w:val="20"/>
        </w:rPr>
        <w:t>cláusula 23ª</w:t>
      </w:r>
      <w:r>
        <w:rPr>
          <w:rFonts w:ascii="Verdana" w:hAnsi="Verdana" w:eastAsia="Verdana"/>
          <w:b w:val="0"/>
          <w:i w:val="0"/>
          <w:sz w:val="20"/>
        </w:rPr>
        <w:t xml:space="preserve"> (pernoite) das CCTs do setor — são as duas cláusulas mais invocadas no acervo (31 e 28 peças); art. 457, §2º, CLT; Súmula 101 TST.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/>
          <w:i/>
          <w:color w:val="333333"/>
          <w:sz w:val="19"/>
        </w:rPr>
        <w:t>ATENÇÃO — este é o ponto mais desatualizado do acervo.</w:t>
      </w:r>
      <w:r>
        <w:rPr>
          <w:rFonts w:ascii="Verdana" w:hAnsi="Verdana" w:eastAsia="Verdana"/>
          <w:b w:val="0"/>
          <w:i/>
          <w:color w:val="333333"/>
          <w:sz w:val="19"/>
        </w:rPr>
        <w:t xml:space="preserve"> A tese de integração salarial da diária que excede 50% da remuneração foi </w:t>
      </w:r>
      <w:r>
        <w:rPr>
          <w:rFonts w:ascii="Verdana" w:hAnsi="Verdana" w:eastAsia="Verdana"/>
          <w:b/>
          <w:i/>
          <w:color w:val="333333"/>
          <w:sz w:val="19"/>
        </w:rPr>
        <w:t>revogada pela Lei 13.467/2017</w:t>
      </w:r>
      <w:r>
        <w:rPr>
          <w:rFonts w:ascii="Verdana" w:hAnsi="Verdana" w:eastAsia="Verdana"/>
          <w:b w:val="0"/>
          <w:i/>
          <w:color w:val="333333"/>
          <w:sz w:val="19"/>
        </w:rPr>
        <w:t xml:space="preserve">. Ver </w:t>
      </w:r>
      <w:r>
        <w:rPr>
          <w:rFonts w:ascii="Verdana" w:hAnsi="Verdana" w:eastAsia="Verdana"/>
          <w:b w:val="0"/>
          <w:i/>
          <w:color w:val="333333"/>
          <w:sz w:val="19"/>
        </w:rPr>
        <w:t>PARTE VI</w:t>
      </w:r>
      <w:r>
        <w:rPr>
          <w:rFonts w:ascii="Verdana" w:hAnsi="Verdana" w:eastAsia="Verdana"/>
          <w:b w:val="0"/>
          <w:i/>
          <w:color w:val="333333"/>
          <w:sz w:val="19"/>
        </w:rPr>
        <w:t xml:space="preserve"> antes de reusar este bloco.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Bloco de redação (base do acervo)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Conforme acima relatado, em verdade o obreiro jamais recebeu qualquer reembolso a título de despesas de viagem, uma vez que as verbas pagas sob tais rubricas correspondiam à comissão por quilometragem rodada, pactuada pela empresa com o reclamante. O reembolso de despesas encontra-se discriminado nas cláusulas 16ª e 26ª das CCTs que seguem inclusas, aplicáveis à categoria, sendo que nestas há previsão de diárias conforme o respectivo ano vigente, sendo, por exemplo, o valor de R$ [VALOR] para almoço e mais R$ [VALOR] para jantar, para a vigência da CCT de [PERÍODO]. Ainda, a cláusula 23ª prevê o pagamento de pernoite, estipulado no valor de R$ [VALOR] (CCT [PERÍODO]). Portanto, requer o obreiro a percepção de tais reembolsos a título de diárias e pernoites, observando os respectivos valores das épocas próprias, de acordo com as CCTs acostadas à presente reclamação.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Pedido</w:t>
      </w:r>
      <w:r>
        <w:rPr>
          <w:rFonts w:ascii="Verdana" w:hAnsi="Verdana" w:eastAsia="Verdana"/>
          <w:b w:val="0"/>
          <w:i w:val="0"/>
          <w:sz w:val="20"/>
        </w:rPr>
        <w:t>: percepção dos reembolsos inadimplidos por todo o lapso contratual + integração às demais verbas.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Regra operacional</w:t>
      </w:r>
      <w:r>
        <w:rPr>
          <w:rFonts w:ascii="Verdana" w:hAnsi="Verdana" w:eastAsia="Verdana"/>
          <w:b w:val="0"/>
          <w:i w:val="0"/>
          <w:sz w:val="20"/>
        </w:rPr>
        <w:t xml:space="preserve">: </w:t>
      </w:r>
      <w:r>
        <w:rPr>
          <w:rFonts w:ascii="Verdana" w:hAnsi="Verdana" w:eastAsia="Verdana"/>
          <w:b/>
          <w:i w:val="0"/>
          <w:sz w:val="20"/>
        </w:rPr>
        <w:t>ler a CCT inteira do período</w:t>
      </w:r>
      <w:r>
        <w:rPr>
          <w:rFonts w:ascii="Verdana" w:hAnsi="Verdana" w:eastAsia="Verdana"/>
          <w:b w:val="0"/>
          <w:i w:val="0"/>
          <w:sz w:val="20"/>
        </w:rPr>
        <w:t xml:space="preserve"> e juntar todas as CCTs de vigência do contrato. O valor da diária muda a cada ano — o cálculo tem que respeitar a CCT de cada período.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T04 — PEDIDO ALTERNATIVO: REFLEXOS DO "REEMBOLSO DE DESPESAS"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D (ou D1)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21 peças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>Tese subsidiária de T02+T03. Se o juízo não acolher nem o salário por fora nem o inadimplemento das diárias, ainda assim os valores efetivamente pagos sob aquela rubrica devem integrar a remuneração.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Bloco de redação (base do acervo)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Alternativamente, ainda que improvável, em não sendo o entendimento pelo salário por fora, tampouco pelo inadimplemento das diárias, tendo em vista que o autor recebeu a verba de comissão paga em holerite como, além de outros títulos, reembolso de despesas, durante todo período trabalhado, deverá a reclamada ser compelida a integrar os valores pagos na remuneração do autor, por força da fundamentação supra, para efeitos de cálculo do adicional de periculosidade, além dos reflexos em aviso prévio, férias + 1/3 Constitucional, 13º Salário, DSR sobre horas extras, FGTS + 40%, durante todo período trabalhado.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Nota de arquitetura</w:t>
      </w:r>
      <w:r>
        <w:rPr>
          <w:rFonts w:ascii="Verdana" w:hAnsi="Verdana" w:eastAsia="Verdana"/>
          <w:b w:val="0"/>
          <w:i w:val="0"/>
          <w:sz w:val="20"/>
        </w:rPr>
        <w:t>: este é o modelo de como o escritório encadeia tese principal subsidiária. Nenhum tópico econômico relevante fica sem alternativa.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T05 — EFETIVO PAGAMENTO DE HORAS EXTRAS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E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 xml:space="preserve">: 25 peças · </w:t>
      </w:r>
      <w:r>
        <w:rPr>
          <w:rFonts w:ascii="Verdana" w:hAnsi="Verdana" w:eastAsia="Verdana"/>
          <w:b/>
          <w:i w:val="0"/>
          <w:sz w:val="20"/>
        </w:rPr>
        <w:t>Maior tópico da peça</w:t>
      </w:r>
      <w:r>
        <w:rPr>
          <w:rFonts w:ascii="Verdana" w:hAnsi="Verdana" w:eastAsia="Verdana"/>
          <w:b w:val="0"/>
          <w:i w:val="0"/>
          <w:sz w:val="20"/>
        </w:rPr>
        <w:t xml:space="preserve"> (~7.000 caracteres)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Gatilho</w:t>
      </w:r>
      <w:r>
        <w:rPr>
          <w:rFonts w:ascii="Verdana" w:hAnsi="Verdana" w:eastAsia="Verdana"/>
          <w:b w:val="0"/>
          <w:i w:val="0"/>
          <w:sz w:val="20"/>
        </w:rPr>
        <w:t>: jornada real muito superior à registrada; holerite com HE de valor quase fixo; ausência ou insuficiência de diário de bordo.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 xml:space="preserve">: art. 7º, XIII e XVI, CF · arts. 58 e 59 CLT · art. 74, §2º, CLT · </w:t>
      </w:r>
      <w:r>
        <w:rPr>
          <w:rFonts w:ascii="Verdana" w:hAnsi="Verdana" w:eastAsia="Verdana"/>
          <w:b/>
          <w:i w:val="0"/>
          <w:sz w:val="20"/>
        </w:rPr>
        <w:t>art. 2º, V, "b", Lei 12.619/2012</w:t>
      </w:r>
      <w:r>
        <w:rPr>
          <w:rFonts w:ascii="Verdana" w:hAnsi="Verdana" w:eastAsia="Verdana"/>
          <w:b w:val="0"/>
          <w:i w:val="0"/>
          <w:sz w:val="20"/>
        </w:rPr>
        <w:t xml:space="preserve"> (dever de controle fidedigno) · art. 235-G CLT · Súmula 338, I e III, TST · Súmula 85, IV · Súmula 264 · OJ 415 SDI-1.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Estrutura argumentativa do acervo</w:t>
      </w:r>
      <w:r>
        <w:rPr>
          <w:rFonts w:ascii="Verdana" w:hAnsi="Verdana" w:eastAsia="Verdana"/>
          <w:b w:val="0"/>
          <w:i w:val="0"/>
          <w:sz w:val="20"/>
        </w:rPr>
        <w:t xml:space="preserve"> (nesta ordem):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1.  </w:t>
      </w:r>
      <w:r>
        <w:rPr>
          <w:rFonts w:ascii="Verdana" w:hAnsi="Verdana" w:eastAsia="Verdana"/>
          <w:b w:val="0"/>
          <w:i w:val="0"/>
          <w:sz w:val="20"/>
        </w:rPr>
        <w:t>Marco da regulamentação da profissão (Lei 12.619/2012, depois 13.103/2015).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2.  </w:t>
      </w:r>
      <w:r>
        <w:rPr>
          <w:rFonts w:ascii="Verdana" w:hAnsi="Verdana" w:eastAsia="Verdana"/>
          <w:b/>
          <w:i w:val="0"/>
          <w:sz w:val="20"/>
        </w:rPr>
        <w:t>Obrigação legal de controle de jornada</w:t>
      </w:r>
      <w:r>
        <w:rPr>
          <w:rFonts w:ascii="Verdana" w:hAnsi="Verdana" w:eastAsia="Verdana"/>
          <w:b w:val="0"/>
          <w:i w:val="0"/>
          <w:sz w:val="20"/>
        </w:rPr>
        <w:t xml:space="preserve"> — transcrição do art. 2º, V, "b" — com pedido de exibição </w:t>
      </w:r>
      <w:r>
        <w:rPr>
          <w:rFonts w:ascii="Verdana" w:hAnsi="Verdana" w:eastAsia="Verdana"/>
          <w:b/>
          <w:i w:val="0"/>
          <w:sz w:val="20"/>
        </w:rPr>
        <w:t>sob pena de confissão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3.  </w:t>
      </w:r>
      <w:r>
        <w:rPr>
          <w:rFonts w:ascii="Verdana" w:hAnsi="Verdana" w:eastAsia="Verdana"/>
          <w:b w:val="0"/>
          <w:i w:val="0"/>
          <w:sz w:val="20"/>
        </w:rPr>
        <w:t>Demonstração de que os lançamentos de HE no holerite são a comissão travestida (liga em T02).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4.  </w:t>
      </w:r>
      <w:r>
        <w:rPr>
          <w:rFonts w:ascii="Verdana" w:hAnsi="Verdana" w:eastAsia="Verdana"/>
          <w:b w:val="0"/>
          <w:i w:val="0"/>
          <w:sz w:val="20"/>
        </w:rPr>
        <w:t>Transcrição do art. 235-G (proibição/limitação da remuneração por distância).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5.  </w:t>
      </w:r>
      <w:r>
        <w:rPr>
          <w:rFonts w:ascii="Verdana" w:hAnsi="Verdana" w:eastAsia="Verdana"/>
          <w:b w:val="0"/>
          <w:i w:val="0"/>
          <w:sz w:val="20"/>
        </w:rPr>
        <w:t>Fixação da jornada real declarada e pedido com adicional de 50%.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6.  </w:t>
      </w:r>
      <w:r>
        <w:rPr>
          <w:rFonts w:ascii="Verdana" w:hAnsi="Verdana" w:eastAsia="Verdana"/>
          <w:b/>
          <w:i w:val="0"/>
          <w:sz w:val="20"/>
        </w:rPr>
        <w:t>Pedido subsidiário</w:t>
      </w:r>
      <w:r>
        <w:rPr>
          <w:rFonts w:ascii="Verdana" w:hAnsi="Verdana" w:eastAsia="Verdana"/>
          <w:b w:val="0"/>
          <w:i w:val="0"/>
          <w:sz w:val="20"/>
        </w:rPr>
        <w:t xml:space="preserve"> de diferenças a apurar em réplica.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Trecho-chave de pedido de exibição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Assim, deve a reclamada trazer aos autos os controles de jornada do reclamante, consoante disposição do artigo 2º, inciso V, da Lei 12.619 de 30/04/12, bem como da Lei 13.103/2015, sob pena de confissão.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Pedido subsidiário (padrão)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Alternativamente, caso o entendimento desse juízo seja pela validade das horas extras discriminadas em holerite, contrariando a tese obreira, requer seja compelida a reclamada ao pagamento das diferenças, a serem apontadas em sede de réplica, após a análise de todos os comprovantes de pagamento, bem como registros válidos de jornada, que deverão ser colacionados pela empresa Ré.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Risco conhecido</w:t>
      </w:r>
      <w:r>
        <w:rPr>
          <w:rFonts w:ascii="Verdana" w:hAnsi="Verdana" w:eastAsia="Verdana"/>
          <w:b w:val="0"/>
          <w:i w:val="0"/>
          <w:sz w:val="20"/>
        </w:rPr>
        <w:t xml:space="preserve">: jornada declarada uniforme e "redonda" (o acervo usa "18 horas por dia") entrega à defesa a bandeira da inverossimilhança e ativa a Súmula 338, III, contra o próprio autor. </w:t>
      </w:r>
      <w:r>
        <w:rPr>
          <w:rFonts w:ascii="Verdana" w:hAnsi="Verdana" w:eastAsia="Verdana"/>
          <w:b/>
          <w:i w:val="0"/>
          <w:sz w:val="20"/>
        </w:rPr>
        <w:t>Preferir jornada variável descrita com faixa de horário e dias concretos.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T06 — DOMINGOS TRABALHADOS — 100% E DSR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F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23 peças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Gatilho</w:t>
      </w:r>
      <w:r>
        <w:rPr>
          <w:rFonts w:ascii="Verdana" w:hAnsi="Verdana" w:eastAsia="Verdana"/>
          <w:b w:val="0"/>
          <w:i w:val="0"/>
          <w:sz w:val="20"/>
        </w:rPr>
        <w:t>: escala superior a 6x1 (o acervo trabalha com o padrão "27 dias corridos, 3 de folga").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>: art. 7º, XV, CF · art. 67 CLT · Lei 605/49 · Súmula 146 TST · OJ 410 SDI-1.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Bloco de redação (base do acervo)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A despeito do que preceitua o art. 67 da CLT, perceba-se que o trabalhador, durante todo o contrato de trabalho, laborou também aos domingos, eis que este laborava [N] dias corridos e folgava [N], razão pela qual requer a percepção destes devidamente acrescidos do adicional suplementar de 100%. Ainda, laborando durante [N] dias sem direito à folga, o reclamante também tinha violado seu direito ao descanso semanal remunerado.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Melhoria recomendada</w:t>
      </w:r>
      <w:r>
        <w:rPr>
          <w:rFonts w:ascii="Verdana" w:hAnsi="Verdana" w:eastAsia="Verdana"/>
          <w:b w:val="0"/>
          <w:i w:val="0"/>
          <w:sz w:val="20"/>
        </w:rPr>
        <w:t xml:space="preserve">: liquidar em </w:t>
      </w:r>
      <w:r>
        <w:rPr>
          <w:rFonts w:ascii="Verdana" w:hAnsi="Verdana" w:eastAsia="Verdana"/>
          <w:b/>
          <w:i w:val="0"/>
          <w:sz w:val="20"/>
        </w:rPr>
        <w:t>números absolutos</w:t>
      </w:r>
      <w:r>
        <w:rPr>
          <w:rFonts w:ascii="Verdana" w:hAnsi="Verdana" w:eastAsia="Verdana"/>
          <w:b w:val="0"/>
          <w:i w:val="0"/>
          <w:sz w:val="20"/>
        </w:rPr>
        <w:t xml:space="preserve"> ("168 domingos + 32 feriados") — dá concretude e dificulta impugnação genérica. O acervo hoje pede de forma aberta, o que enfraquece o pedido.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T07 — HORAS NOTURNAS POR GUARDA E PROTEÇÃO DO CAMINHÃO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G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 xml:space="preserve">: 12 peças · </w:t>
      </w:r>
      <w:r>
        <w:rPr>
          <w:rFonts w:ascii="Verdana" w:hAnsi="Verdana" w:eastAsia="Verdana"/>
          <w:b/>
          <w:i w:val="0"/>
          <w:sz w:val="20"/>
        </w:rPr>
        <w:t>Tese autoral do escritório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Tese de alto valor e pouco explorada pelo mercado: o motorista que pernoita na boleia </w:t>
      </w:r>
      <w:r>
        <w:rPr>
          <w:rFonts w:ascii="Verdana" w:hAnsi="Verdana" w:eastAsia="Verdana"/>
          <w:b/>
          <w:i w:val="0"/>
          <w:sz w:val="20"/>
        </w:rPr>
        <w:t>não encerra a jornada</w:t>
      </w:r>
      <w:r>
        <w:rPr>
          <w:rFonts w:ascii="Verdana" w:hAnsi="Verdana" w:eastAsia="Verdana"/>
          <w:b w:val="0"/>
          <w:i w:val="0"/>
          <w:sz w:val="20"/>
        </w:rPr>
        <w:t xml:space="preserve"> — permanece à disposição, prestando serviço de guarda do patrimônio do empregador.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Gatilho</w:t>
      </w:r>
      <w:r>
        <w:rPr>
          <w:rFonts w:ascii="Verdana" w:hAnsi="Verdana" w:eastAsia="Verdana"/>
          <w:b w:val="0"/>
          <w:i w:val="0"/>
          <w:sz w:val="20"/>
        </w:rPr>
        <w:t>: cliente pernoitava no caminhão; carga de valor; ausência de pátio seguro ou hotel custeado.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 xml:space="preserve">: </w:t>
      </w:r>
      <w:r>
        <w:rPr>
          <w:rFonts w:ascii="Verdana" w:hAnsi="Verdana" w:eastAsia="Verdana"/>
          <w:b/>
          <w:i w:val="0"/>
          <w:sz w:val="20"/>
        </w:rPr>
        <w:t>art. 4º CLT</w:t>
      </w:r>
      <w:r>
        <w:rPr>
          <w:rFonts w:ascii="Verdana" w:hAnsi="Verdana" w:eastAsia="Verdana"/>
          <w:b w:val="0"/>
          <w:i w:val="0"/>
          <w:sz w:val="20"/>
        </w:rPr>
        <w:t xml:space="preserve"> (tempo à disposição) · art. 73 CLT e §5º · Súmula 60, I e II, TST · adicional convencional (o acervo usa o percentual de 30% constante dos próprios holerites da ré).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Precedente do acervo</w:t>
      </w:r>
      <w:r>
        <w:rPr>
          <w:rFonts w:ascii="Verdana" w:hAnsi="Verdana" w:eastAsia="Verdana"/>
          <w:b w:val="0"/>
          <w:i w:val="0"/>
          <w:sz w:val="20"/>
        </w:rPr>
        <w:t>: TRT-2, RO 00007200137202008, Rel. Des. Paulo Augusto Câmara — *"Inequívoco que o caminhoneiro, ao permanecer no veículo para repousar, presta serviço confiável de guarda e proteção do patrimônio do empregador, estando caracterizado o tempo à disposição"*; e, somada a jornada ao pernoite, *"o excesso (inclusive o pernoite) configura trabalho suplementar, a ser remunerado como tal"*.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Bloco de redação (base do acervo)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Conforme mencionado acima, quando encerrava a atividade e ia descansar, o reclamante pernoitava na boleia do próprio caminhão da empresa, vez que tinha a função ainda de guardá-lo e protegê-lo. Assim, a despeito de acima ter sido elencada como jornada apenas o período em que o obreiro estava na condução do veículo, em realidade o obreiro não encerrava sua jornada nunca, já que não se distanciava do veículo, estando sempre incumbido de zelar pelo mesmo, até mesmo quando do seu repouso noturno.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Pedido</w:t>
      </w:r>
      <w:r>
        <w:rPr>
          <w:rFonts w:ascii="Verdana" w:hAnsi="Verdana" w:eastAsia="Verdana"/>
          <w:b w:val="0"/>
          <w:i w:val="0"/>
          <w:sz w:val="20"/>
        </w:rPr>
        <w:t>: pagamento como horas noturnas com hora reduzida e adicional ([PERCENTUAL adotado pela ré nos holerites, ou o legal de 20%]).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Cuidado de coerência</w:t>
      </w:r>
      <w:r>
        <w:rPr>
          <w:rFonts w:ascii="Verdana" w:hAnsi="Verdana" w:eastAsia="Verdana"/>
          <w:b w:val="0"/>
          <w:i w:val="0"/>
          <w:sz w:val="20"/>
        </w:rPr>
        <w:t xml:space="preserve">: esta tese convive mal com T16 (dano existencial por falta de descanso) se mal redigida — a peça precisa deixar claro que o pernoite é </w:t>
      </w:r>
      <w:r>
        <w:rPr>
          <w:rFonts w:ascii="Verdana" w:hAnsi="Verdana" w:eastAsia="Verdana"/>
          <w:b/>
          <w:i w:val="0"/>
          <w:sz w:val="20"/>
        </w:rPr>
        <w:t>interrupção forçada do repouso</w:t>
      </w:r>
      <w:r>
        <w:rPr>
          <w:rFonts w:ascii="Verdana" w:hAnsi="Verdana" w:eastAsia="Verdana"/>
          <w:b w:val="0"/>
          <w:i w:val="0"/>
          <w:sz w:val="20"/>
        </w:rPr>
        <w:t>, não descanso. O escritório resolve isso com a frase-marca: *"O 'cochilar e puxar caminhão' não é descanso, mas interrupção forçada do repouso para atender à demanda operacional da reclamada!"*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T08 — PERÍODO EM FILAS / HORAS DE ESPERA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G ou H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22 peças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Gatilho</w:t>
      </w:r>
      <w:r>
        <w:rPr>
          <w:rFonts w:ascii="Verdana" w:hAnsi="Verdana" w:eastAsia="Verdana"/>
          <w:b w:val="0"/>
          <w:i w:val="0"/>
          <w:sz w:val="20"/>
        </w:rPr>
        <w:t>: espera em fila de carga/descarga, terminal, porto, usina — sempre que o motorista não podia se ausentar do veículo.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 xml:space="preserve">: art. 4º CLT · art. 235-C, §§8º e 9º, CLT · art. 818 CLT e 373 CPC (ônus da ré) · </w:t>
      </w:r>
      <w:r>
        <w:rPr>
          <w:rFonts w:ascii="Verdana" w:hAnsi="Verdana" w:eastAsia="Verdana"/>
          <w:b/>
          <w:i w:val="0"/>
          <w:sz w:val="20"/>
        </w:rPr>
        <w:t>ADI 5322/STF</w:t>
      </w:r>
      <w:r>
        <w:rPr>
          <w:rFonts w:ascii="Verdana" w:hAnsi="Verdana" w:eastAsia="Verdana"/>
          <w:b w:val="0"/>
          <w:i w:val="0"/>
          <w:sz w:val="20"/>
        </w:rPr>
        <w:t xml:space="preserve"> · Súmula 428, II, TST (sobreaviso).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Distinção que a peça faz</w:t>
      </w:r>
      <w:r>
        <w:rPr>
          <w:rFonts w:ascii="Verdana" w:hAnsi="Verdana" w:eastAsia="Verdana"/>
          <w:b w:val="0"/>
          <w:i w:val="0"/>
          <w:sz w:val="20"/>
        </w:rPr>
        <w:t xml:space="preserve"> (importante): fila </w:t>
      </w:r>
      <w:r>
        <w:rPr>
          <w:rFonts w:ascii="Verdana" w:hAnsi="Verdana" w:eastAsia="Verdana"/>
          <w:b/>
          <w:i w:val="0"/>
          <w:sz w:val="20"/>
        </w:rPr>
        <w:t>não é</w:t>
      </w:r>
      <w:r>
        <w:rPr>
          <w:rFonts w:ascii="Verdana" w:hAnsi="Verdana" w:eastAsia="Verdana"/>
          <w:b w:val="0"/>
          <w:i w:val="0"/>
          <w:sz w:val="20"/>
        </w:rPr>
        <w:t xml:space="preserve"> barreira fiscal ou alfandegária do art. 235-C, §8º — porque o motorista estava trabalhando, vigiando o caminhão e "puxando fila".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Bloco de redação (base do acervo)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O reclamante, quando não estava na boleia do caminhão em efetiva direção, continuava à disposição da reclamada, eis que em filas. Ainda, aguardando em filas, não poderia ausentar-se do caminhão. Sendo ainda que, quando estava em filas, não permanecia em barreiras fiscais ou alfandegárias, nos termos do artigo 235-C, § 8º da CLT, porquanto estava sempre à disposição da empresa, trabalhando, vigiando o caminhão e "puxando fila". As horas correspondentes aos períodos em que o autor permanecia nas filas deverão ser comprovadas pela reclamada, conforme prevê o artigo 818 da CLT.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Pedido principal</w:t>
      </w:r>
      <w:r>
        <w:rPr>
          <w:rFonts w:ascii="Verdana" w:hAnsi="Verdana" w:eastAsia="Verdana"/>
          <w:b w:val="0"/>
          <w:i w:val="0"/>
          <w:sz w:val="20"/>
        </w:rPr>
        <w:t xml:space="preserve">: cômputo integral como hora extra. </w:t>
      </w:r>
      <w:r>
        <w:rPr>
          <w:rFonts w:ascii="Verdana" w:hAnsi="Verdana" w:eastAsia="Verdana"/>
          <w:b/>
          <w:i w:val="0"/>
          <w:sz w:val="20"/>
        </w:rPr>
        <w:t>Subsidiário</w:t>
      </w:r>
      <w:r>
        <w:rPr>
          <w:rFonts w:ascii="Verdana" w:hAnsi="Verdana" w:eastAsia="Verdana"/>
          <w:b w:val="0"/>
          <w:i w:val="0"/>
          <w:sz w:val="20"/>
        </w:rPr>
        <w:t>: tempo de espera na forma do art. 235-C, §9º / sobreaviso a 1/3.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/>
          <w:i/>
          <w:color w:val="333333"/>
          <w:sz w:val="19"/>
        </w:rPr>
        <w:t>Segmentar por regime temporal</w:t>
      </w:r>
      <w:r>
        <w:rPr>
          <w:rFonts w:ascii="Verdana" w:hAnsi="Verdana" w:eastAsia="Verdana"/>
          <w:b w:val="0"/>
          <w:i/>
          <w:color w:val="333333"/>
          <w:sz w:val="19"/>
        </w:rPr>
        <w:t xml:space="preserve">: a ADI 5322 declarou inconstitucional a exclusão do tempo de espera, </w:t>
      </w:r>
      <w:r>
        <w:rPr>
          <w:rFonts w:ascii="Verdana" w:hAnsi="Verdana" w:eastAsia="Verdana"/>
          <w:b/>
          <w:i/>
          <w:color w:val="333333"/>
          <w:sz w:val="19"/>
        </w:rPr>
        <w:t>com efeitos a partir de 12/07/2023</w:t>
      </w:r>
      <w:r>
        <w:rPr>
          <w:rFonts w:ascii="Verdana" w:hAnsi="Verdana" w:eastAsia="Verdana"/>
          <w:b w:val="0"/>
          <w:i/>
          <w:color w:val="333333"/>
          <w:sz w:val="19"/>
        </w:rPr>
        <w:t xml:space="preserve">. Contratos que atravessam essa data exigem dois pedidos distintos. Ver </w:t>
      </w:r>
      <w:r>
        <w:rPr>
          <w:rFonts w:ascii="Verdana" w:hAnsi="Verdana" w:eastAsia="Verdana"/>
          <w:b w:val="0"/>
          <w:i/>
          <w:color w:val="333333"/>
          <w:sz w:val="19"/>
        </w:rPr>
        <w:t>PARTE VI</w:t>
      </w:r>
      <w:r>
        <w:rPr>
          <w:rFonts w:ascii="Verdana" w:hAnsi="Verdana" w:eastAsia="Verdana"/>
          <w:b w:val="0"/>
          <w:i/>
          <w:color w:val="333333"/>
          <w:sz w:val="19"/>
        </w:rPr>
        <w:t>.</w:t>
      </w:r>
    </w:p>
    <w:p>
      <w:pPr>
        <w:spacing w:after="40"/>
      </w:pP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T09 — INTERVALO DO ART. 235-D, I, CLT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H ou I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23 peças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Lei 12.619/2012</w:t>
      </w:r>
      <w:r>
        <w:rPr>
          <w:rFonts w:ascii="Verdana" w:hAnsi="Verdana" w:eastAsia="Verdana"/>
          <w:b w:val="0"/>
          <w:i w:val="0"/>
          <w:sz w:val="20"/>
        </w:rPr>
        <w:t xml:space="preserve">: 30 min de descanso a cada </w:t>
      </w:r>
      <w:r>
        <w:rPr>
          <w:rFonts w:ascii="Verdana" w:hAnsi="Verdana" w:eastAsia="Verdana"/>
          <w:b/>
          <w:i w:val="0"/>
          <w:sz w:val="20"/>
        </w:rPr>
        <w:t>4 horas</w:t>
      </w:r>
      <w:r>
        <w:rPr>
          <w:rFonts w:ascii="Verdana" w:hAnsi="Verdana" w:eastAsia="Verdana"/>
          <w:b w:val="0"/>
          <w:i w:val="0"/>
          <w:sz w:val="20"/>
        </w:rPr>
        <w:t xml:space="preserve"> de direção contínua.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Lei 13.103/2015</w:t>
      </w:r>
      <w:r>
        <w:rPr>
          <w:rFonts w:ascii="Verdana" w:hAnsi="Verdana" w:eastAsia="Verdana"/>
          <w:b w:val="0"/>
          <w:i w:val="0"/>
          <w:sz w:val="20"/>
        </w:rPr>
        <w:t xml:space="preserve">: 30 min a cada </w:t>
      </w:r>
      <w:r>
        <w:rPr>
          <w:rFonts w:ascii="Verdana" w:hAnsi="Verdana" w:eastAsia="Verdana"/>
          <w:b/>
          <w:i w:val="0"/>
          <w:sz w:val="20"/>
        </w:rPr>
        <w:t>6 horas</w:t>
      </w:r>
      <w:r>
        <w:rPr>
          <w:rFonts w:ascii="Verdana" w:hAnsi="Verdana" w:eastAsia="Verdana"/>
          <w:b w:val="0"/>
          <w:i w:val="0"/>
          <w:sz w:val="20"/>
        </w:rPr>
        <w:t xml:space="preserve"> de direção (art. 67-C, §1º).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Regra de aplicação temporal</w:t>
      </w:r>
      <w:r>
        <w:rPr>
          <w:rFonts w:ascii="Verdana" w:hAnsi="Verdana" w:eastAsia="Verdana"/>
          <w:b w:val="0"/>
          <w:i w:val="0"/>
          <w:sz w:val="20"/>
        </w:rPr>
        <w:t>: identificar a data de vigência de cada lei dentro do contrato e pedir separadamente por período. O acervo faz isso corretamente ("aplicável ao contrato de abril até demissão").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Bloco de redação (base do acervo)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Segundo o artigo 235-D, inciso I, da Lei 12.619/2012, em viagens de longa distância deve o motorista gozar de 01 intervalo de 30 minutos a cada 4 horas de direção. Ainda, na Lei 13.103/2015 há previsão de descanso de 30 minutos a cada 06 horas de direção, nos termos do art. 67-C, §1º. Ocorre que o obreiro, mesmo ativando-se em longas jornadas, não usufruía de tal direito.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Pedido</w:t>
      </w:r>
      <w:r>
        <w:rPr>
          <w:rFonts w:ascii="Verdana" w:hAnsi="Verdana" w:eastAsia="Verdana"/>
          <w:b w:val="0"/>
          <w:i w:val="0"/>
          <w:sz w:val="20"/>
        </w:rPr>
        <w:t>: horas remuneradas como extras pela ausência do intervalo.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T10 — SUPRESSÃO DO INTERVALO INTRAJORNADA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I ou J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26 peças (a mais recorrente do acervo)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>: art. 71, caput e §4º, CLT · Súmula 437, I/III/IV, TST · OJ 307 SDI-1.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Argumento diferenciador do acervo</w:t>
      </w:r>
      <w:r>
        <w:rPr>
          <w:rFonts w:ascii="Verdana" w:hAnsi="Verdana" w:eastAsia="Verdana"/>
          <w:b w:val="0"/>
          <w:i w:val="0"/>
          <w:sz w:val="20"/>
        </w:rPr>
        <w:t xml:space="preserve"> — a natureza indenizatória e a não-duplicidade: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Perceba-se que tais verbas não se confundem com as horas extras, possuindo estas natureza indenizatória, pelo que inclusive não incidem contribuições previdenciárias, bem como devem ser calculadas à parte e recaírem também integrando sobre o cálculo daquelas, não havendo o que se falar em pagamento duplicado ou se invocar o princípio "non bis in idem", pois, frise-se, possuem naturezas distintas, conforme já pacificado pelo TST.</w:t>
      </w:r>
    </w:p>
    <w:p>
      <w:pPr>
        <w:spacing w:after="40"/>
      </w:pP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 xml:space="preserve">Para contratos </w:t>
      </w:r>
      <w:r>
        <w:rPr>
          <w:rFonts w:ascii="Verdana" w:hAnsi="Verdana" w:eastAsia="Verdana"/>
          <w:b/>
          <w:i/>
          <w:color w:val="333333"/>
          <w:sz w:val="19"/>
        </w:rPr>
        <w:t>posteriores a 11/11/2017</w:t>
      </w:r>
      <w:r>
        <w:rPr>
          <w:rFonts w:ascii="Verdana" w:hAnsi="Verdana" w:eastAsia="Verdana"/>
          <w:b w:val="0"/>
          <w:i/>
          <w:color w:val="333333"/>
          <w:sz w:val="19"/>
        </w:rPr>
        <w:t xml:space="preserve">, o art. 71, §4º, CLT (redação da Lei 13.467/2017) manda pagar </w:t>
      </w:r>
      <w:r>
        <w:rPr>
          <w:rFonts w:ascii="Verdana" w:hAnsi="Verdana" w:eastAsia="Verdana"/>
          <w:b/>
          <w:i/>
          <w:color w:val="333333"/>
          <w:sz w:val="19"/>
        </w:rPr>
        <w:t>apenas o período suprimido</w:t>
      </w:r>
      <w:r>
        <w:rPr>
          <w:rFonts w:ascii="Verdana" w:hAnsi="Verdana" w:eastAsia="Verdana"/>
          <w:b w:val="0"/>
          <w:i/>
          <w:color w:val="333333"/>
          <w:sz w:val="19"/>
        </w:rPr>
        <w:t xml:space="preserve">, com natureza </w:t>
      </w:r>
      <w:r>
        <w:rPr>
          <w:rFonts w:ascii="Verdana" w:hAnsi="Verdana" w:eastAsia="Verdana"/>
          <w:b/>
          <w:i/>
          <w:color w:val="333333"/>
          <w:sz w:val="19"/>
        </w:rPr>
        <w:t>indenizatória</w:t>
      </w:r>
      <w:r>
        <w:rPr>
          <w:rFonts w:ascii="Verdana" w:hAnsi="Verdana" w:eastAsia="Verdana"/>
          <w:b w:val="0"/>
          <w:i/>
          <w:color w:val="333333"/>
          <w:sz w:val="19"/>
        </w:rPr>
        <w:t xml:space="preserve"> e </w:t>
      </w:r>
      <w:r>
        <w:rPr>
          <w:rFonts w:ascii="Verdana" w:hAnsi="Verdana" w:eastAsia="Verdana"/>
          <w:b/>
          <w:i/>
          <w:color w:val="333333"/>
          <w:sz w:val="19"/>
        </w:rPr>
        <w:t>sem reflexos</w:t>
      </w:r>
      <w:r>
        <w:rPr>
          <w:rFonts w:ascii="Verdana" w:hAnsi="Verdana" w:eastAsia="Verdana"/>
          <w:b w:val="0"/>
          <w:i/>
          <w:color w:val="333333"/>
          <w:sz w:val="19"/>
        </w:rPr>
        <w:t>. O bloco acima, que pede reflexos, só vale integralmente para o período anterior. Ver alertas.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Contra-tese a antecipar</w:t>
      </w:r>
      <w:r>
        <w:rPr>
          <w:rFonts w:ascii="Verdana" w:hAnsi="Verdana" w:eastAsia="Verdana"/>
          <w:b w:val="0"/>
          <w:i w:val="0"/>
          <w:sz w:val="20"/>
        </w:rPr>
        <w:t>: defesa alega "autonomia do motorista para gerir o próprio intervalo" (aproximação indevida do art. 62, I, CLT — invocado em 11 peças do acervo). Rebater com rotas predefinidas e horários rígidos de clientes.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T11 — SUPRESSÃO DO INTERVALO INTERJORNADA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J ou K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25 peças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 xml:space="preserve">: </w:t>
      </w:r>
      <w:r>
        <w:rPr>
          <w:rFonts w:ascii="Verdana" w:hAnsi="Verdana" w:eastAsia="Verdana"/>
          <w:b/>
          <w:i w:val="0"/>
          <w:sz w:val="20"/>
        </w:rPr>
        <w:t>art. 66 CLT</w:t>
      </w:r>
      <w:r>
        <w:rPr>
          <w:rFonts w:ascii="Verdana" w:hAnsi="Verdana" w:eastAsia="Verdana"/>
          <w:b w:val="0"/>
          <w:i w:val="0"/>
          <w:sz w:val="20"/>
        </w:rPr>
        <w:t xml:space="preserve"> (64 peças) · </w:t>
      </w:r>
      <w:r>
        <w:rPr>
          <w:rFonts w:ascii="Verdana" w:hAnsi="Verdana" w:eastAsia="Verdana"/>
          <w:b/>
          <w:i w:val="0"/>
          <w:sz w:val="20"/>
        </w:rPr>
        <w:t>Súmula 110 TST</w:t>
      </w:r>
      <w:r>
        <w:rPr>
          <w:rFonts w:ascii="Verdana" w:hAnsi="Verdana" w:eastAsia="Verdana"/>
          <w:b w:val="0"/>
          <w:i w:val="0"/>
          <w:sz w:val="20"/>
        </w:rPr>
        <w:t xml:space="preserve"> (64 peças) · </w:t>
      </w:r>
      <w:r>
        <w:rPr>
          <w:rFonts w:ascii="Verdana" w:hAnsi="Verdana" w:eastAsia="Verdana"/>
          <w:b/>
          <w:i w:val="0"/>
          <w:sz w:val="20"/>
        </w:rPr>
        <w:t>OJ 307 SDI-1</w:t>
      </w:r>
      <w:r>
        <w:rPr>
          <w:rFonts w:ascii="Verdana" w:hAnsi="Verdana" w:eastAsia="Verdana"/>
          <w:b w:val="0"/>
          <w:i w:val="0"/>
          <w:sz w:val="20"/>
        </w:rPr>
        <w:t xml:space="preserve"> (63 peças) · aplicação analógica do art. 71, §4º, CLT · fracionamento: art. 235-D (Lei 12.619) e art. 67-C, §3º (Lei 13.103).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Regra técnica do acervo</w:t>
      </w:r>
      <w:r>
        <w:rPr>
          <w:rFonts w:ascii="Verdana" w:hAnsi="Verdana" w:eastAsia="Verdana"/>
          <w:b w:val="0"/>
          <w:i w:val="0"/>
          <w:sz w:val="20"/>
        </w:rPr>
        <w:t xml:space="preserve"> (bem construída, manter):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 xml:space="preserve">Lei 12.619/2012: fracionamento permitido, mas com bloco mínimo de </w:t>
      </w:r>
      <w:r>
        <w:rPr>
          <w:rFonts w:ascii="Verdana" w:hAnsi="Verdana" w:eastAsia="Verdana"/>
          <w:b/>
          <w:i w:val="0"/>
          <w:sz w:val="20"/>
        </w:rPr>
        <w:t>9 horas</w:t>
      </w:r>
      <w:r>
        <w:rPr>
          <w:rFonts w:ascii="Verdana" w:hAnsi="Verdana" w:eastAsia="Verdana"/>
          <w:b w:val="0"/>
          <w:i w:val="0"/>
          <w:sz w:val="20"/>
        </w:rPr>
        <w:t xml:space="preserve"> ininterruptas + 2h fracionadas.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 xml:space="preserve">Lei 13.103/2015: bloco mínimo de </w:t>
      </w:r>
      <w:r>
        <w:rPr>
          <w:rFonts w:ascii="Verdana" w:hAnsi="Verdana" w:eastAsia="Verdana"/>
          <w:b/>
          <w:i w:val="0"/>
          <w:sz w:val="20"/>
        </w:rPr>
        <w:t>8 horas</w:t>
      </w:r>
      <w:r>
        <w:rPr>
          <w:rFonts w:ascii="Verdana" w:hAnsi="Verdana" w:eastAsia="Verdana"/>
          <w:b w:val="0"/>
          <w:i w:val="0"/>
          <w:sz w:val="20"/>
        </w:rPr>
        <w:t xml:space="preserve"> + 3h ao longo das 24 horas.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Bloco de redação (base do acervo)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Note-se que o trabalhador não tinha respeitado seu intervalo interjornada, usufruindo deste por apenas [N] horas. Vale observar, a despeito de haver permissão na Lei 12.619/2012 de fracionamento de tal intervalo, que este deve ser usufruído em um momento de no mínimo 09 horas, sendo fracionadas ao longo do dia as 02 horas restantes, o que jamais ocorreu no presente caso. Ainda, na Lei 13.103/2015 há previsão, no artigo 67-C, §3º, de fracionamento, sendo usufruído o mínimo de 08 horas e as outras 03 ao longo do dia. Sendo assim, considerando que a reclamada não cumpria a legislação aplicável, e considerando o que dispõe o art. 66 da CLT, requer a percepção de tal período também como hora extra, em analogia ao referido §4º do art. 71 da CLT e à Súmula 110 e OJ nº 307, ambas do TST.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Ponto de atenção</w:t>
      </w:r>
      <w:r>
        <w:rPr>
          <w:rFonts w:ascii="Verdana" w:hAnsi="Verdana" w:eastAsia="Verdana"/>
          <w:b w:val="0"/>
          <w:i w:val="0"/>
          <w:sz w:val="20"/>
        </w:rPr>
        <w:t>: cláusulas de CCT que "quitam automaticamente" o interjornada via diária/pernoite são comuns no setor e podem neutralizar o pedido. Atacar preventivamente (nulidade / distinção interjornada x intersemanal).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T12 — REFLEXOS CONSOLIDADOS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K ou L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22 peças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Tópico curto que consolida os reflexos de todas as verbas de jornada. </w:t>
      </w:r>
      <w:r>
        <w:rPr>
          <w:rFonts w:ascii="Verdana" w:hAnsi="Verdana" w:eastAsia="Verdana"/>
          <w:b/>
          <w:i w:val="0"/>
          <w:sz w:val="20"/>
        </w:rPr>
        <w:t>Os três fundamentos são sempre os mesmos</w:t>
      </w:r>
      <w:r>
        <w:rPr>
          <w:rFonts w:ascii="Verdana" w:hAnsi="Verdana" w:eastAsia="Verdana"/>
          <w:b w:val="0"/>
          <w:i w:val="0"/>
          <w:sz w:val="20"/>
        </w:rPr>
        <w:t xml:space="preserve"> e estão entre as citações mais frequentes do acervo inteiro: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35"/>
        <w:gridCol w:w="2835"/>
        <w:gridCol w:w="2835"/>
      </w:tblGrid>
      <w:tr>
        <w:tc>
          <w:tcPr>
            <w:tcW w:type="dxa" w:w="2298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Reflexo</w:t>
            </w:r>
          </w:p>
        </w:tc>
        <w:tc>
          <w:tcPr>
            <w:tcW w:type="dxa" w:w="4482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Fundamento</w:t>
            </w:r>
          </w:p>
        </w:tc>
        <w:tc>
          <w:tcPr>
            <w:tcW w:type="dxa" w:w="1724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Freq.</w:t>
            </w:r>
          </w:p>
        </w:tc>
      </w:tr>
      <w:tr>
        <w:tc>
          <w:tcPr>
            <w:tcW w:type="dxa" w:w="229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Férias + 1/3</w:t>
            </w:r>
          </w:p>
        </w:tc>
        <w:tc>
          <w:tcPr>
            <w:tcW w:type="dxa" w:w="448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487, §5º, CLT</w:t>
            </w:r>
          </w:p>
        </w:tc>
        <w:tc>
          <w:tcPr>
            <w:tcW w:type="dxa" w:w="17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70 peças</w:t>
            </w:r>
          </w:p>
        </w:tc>
      </w:tr>
      <w:tr>
        <w:tc>
          <w:tcPr>
            <w:tcW w:type="dxa" w:w="229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13º salário</w:t>
            </w:r>
          </w:p>
        </w:tc>
        <w:tc>
          <w:tcPr>
            <w:tcW w:type="dxa" w:w="448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Súmula 45 TST</w:t>
            </w:r>
          </w:p>
        </w:tc>
        <w:tc>
          <w:tcPr>
            <w:tcW w:type="dxa" w:w="17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70 peças</w:t>
            </w:r>
          </w:p>
        </w:tc>
      </w:tr>
      <w:tr>
        <w:tc>
          <w:tcPr>
            <w:tcW w:type="dxa" w:w="229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FGTS</w:t>
            </w:r>
          </w:p>
        </w:tc>
        <w:tc>
          <w:tcPr>
            <w:tcW w:type="dxa" w:w="448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Súmula 63 TST</w:t>
            </w:r>
          </w:p>
        </w:tc>
        <w:tc>
          <w:tcPr>
            <w:tcW w:type="dxa" w:w="17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70 peças</w:t>
            </w:r>
          </w:p>
        </w:tc>
      </w:tr>
      <w:tr>
        <w:tc>
          <w:tcPr>
            <w:tcW w:type="dxa" w:w="229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Demais</w:t>
            </w:r>
          </w:p>
        </w:tc>
        <w:tc>
          <w:tcPr>
            <w:tcW w:type="dxa" w:w="448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CCT da categoria</w:t>
            </w:r>
          </w:p>
        </w:tc>
        <w:tc>
          <w:tcPr>
            <w:tcW w:type="dxa" w:w="17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</w:tbl>
    <w:p>
      <w:pPr>
        <w:spacing w:after="8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Bloco de redação (base do acervo)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Ressalta-se que, no caso em tela, o labor em sobrejornada realizado pelo trabalhador era habitual. Assim, inquestionavelmente, as horas extras, horas extras pela supressão do intervalo intrajornada, domingos 100% e adicional noturno deverão refletir sobre as Férias Proporcionais acrescidas de 1/3 (de acordo com o §5º do art. 487 da CLT), sobre o 13º (à luz da Súmula 45 do TST) e sobre o FGTS (de acordo com a Súmula 63 do TST), tudo conforme previsto ainda na CCT celebrada entre os órgãos representantes da categoria, cuja cópia segue inclusa.</w:t>
      </w:r>
    </w:p>
    <w:p>
      <w:pPr>
        <w:spacing w:after="40"/>
      </w:pP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T13 — ACÚMULO DE FUNÇÃO (ABASTECIMENTO, CARGA, AQUECIMENTO)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M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 xml:space="preserve">: 12 peças · </w:t>
      </w:r>
      <w:r>
        <w:rPr>
          <w:rFonts w:ascii="Verdana" w:hAnsi="Verdana" w:eastAsia="Verdana"/>
          <w:b/>
          <w:i w:val="0"/>
          <w:sz w:val="20"/>
        </w:rPr>
        <w:t>Tese de nicho específico (asfalto/granel)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Gatilho</w:t>
      </w:r>
      <w:r>
        <w:rPr>
          <w:rFonts w:ascii="Verdana" w:hAnsi="Verdana" w:eastAsia="Verdana"/>
          <w:b w:val="0"/>
          <w:i w:val="0"/>
          <w:sz w:val="20"/>
        </w:rPr>
        <w:t xml:space="preserve">: motorista abastecia o veículo, carregava/descarregava, e — no nicho de manta asfáltica/betume — </w:t>
      </w:r>
      <w:r>
        <w:rPr>
          <w:rFonts w:ascii="Verdana" w:hAnsi="Verdana" w:eastAsia="Verdana"/>
          <w:b/>
          <w:i w:val="0"/>
          <w:sz w:val="20"/>
        </w:rPr>
        <w:t>aquecia a carga com maçarico</w:t>
      </w:r>
      <w:r>
        <w:rPr>
          <w:rFonts w:ascii="Verdana" w:hAnsi="Verdana" w:eastAsia="Verdana"/>
          <w:b w:val="0"/>
          <w:i w:val="0"/>
          <w:sz w:val="20"/>
        </w:rPr>
        <w:t xml:space="preserve"> por horas antes do descarregamento.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 xml:space="preserve">: art. 468 CLT · art. 9º CLT · </w:t>
      </w:r>
      <w:r>
        <w:rPr>
          <w:rFonts w:ascii="Verdana" w:hAnsi="Verdana" w:eastAsia="Verdana"/>
          <w:b/>
          <w:i w:val="0"/>
          <w:sz w:val="20"/>
        </w:rPr>
        <w:t>Classificação Brasileira de Ocupações (CBO)</w:t>
      </w:r>
      <w:r>
        <w:rPr>
          <w:rFonts w:ascii="Verdana" w:hAnsi="Verdana" w:eastAsia="Verdana"/>
          <w:b w:val="0"/>
          <w:i w:val="0"/>
          <w:sz w:val="20"/>
        </w:rPr>
        <w:t xml:space="preserve"> — argumento de que ao motorista cabe dirigir.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Bloco de redação (base do acervo)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Além de suas próprias funções, o autor era obrigado a abastecer o veículo, descarregar e carregar o caminhão e, a função mais cansativa, realizar o aquecimento da carga para descarregamento. É que o reclamante transportava [PRODUTO], que era carregada nas dependências da [Nª] reclamada e descarregada em empresas como [CLIENTE], onde tinha que ser aquecida para atingir temperatura que possibilitasse seu descarregamento. Esse procedimento era corriqueiro e tinha que ser realizado pelo motorista, que aquecia o produto utilizando uma espécie de maçarico contido nos veículos da reclamada, e durava cerca de [N] horas. Frise-se ainda que não era permitido ao motorista lançar no relatório de viagem esse tempo em que o reclamante se ativava em tal função.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Percentual pedido no acervo</w:t>
      </w:r>
      <w:r>
        <w:rPr>
          <w:rFonts w:ascii="Verdana" w:hAnsi="Verdana" w:eastAsia="Verdana"/>
          <w:b w:val="0"/>
          <w:i w:val="0"/>
          <w:sz w:val="20"/>
        </w:rPr>
        <w:t xml:space="preserve">: </w:t>
      </w:r>
      <w:r>
        <w:rPr>
          <w:rFonts w:ascii="Verdana" w:hAnsi="Verdana" w:eastAsia="Verdana"/>
          <w:b/>
          <w:i w:val="0"/>
          <w:sz w:val="20"/>
        </w:rPr>
        <w:t>40%</w:t>
      </w:r>
      <w:r>
        <w:rPr>
          <w:rFonts w:ascii="Verdana" w:hAnsi="Verdana" w:eastAsia="Verdana"/>
          <w:b w:val="0"/>
          <w:i w:val="0"/>
          <w:sz w:val="20"/>
        </w:rPr>
        <w:t>, justificado por quantidade de trabalho, complexidade e tempo dispendido.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Reflexos</w:t>
      </w:r>
      <w:r>
        <w:rPr>
          <w:rFonts w:ascii="Verdana" w:hAnsi="Verdana" w:eastAsia="Verdana"/>
          <w:b w:val="0"/>
          <w:i w:val="0"/>
          <w:sz w:val="20"/>
        </w:rPr>
        <w:t>: horas extras, saldo de salário, férias + 1/3, 13º, FGTS + 40%.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Ponto forte oculto</w:t>
      </w:r>
      <w:r>
        <w:rPr>
          <w:rFonts w:ascii="Verdana" w:hAnsi="Verdana" w:eastAsia="Verdana"/>
          <w:b w:val="0"/>
          <w:i w:val="0"/>
          <w:sz w:val="20"/>
        </w:rPr>
        <w:t xml:space="preserve">: a frase sobre a </w:t>
      </w:r>
      <w:r>
        <w:rPr>
          <w:rFonts w:ascii="Verdana" w:hAnsi="Verdana" w:eastAsia="Verdana"/>
          <w:b/>
          <w:i w:val="0"/>
          <w:sz w:val="20"/>
        </w:rPr>
        <w:t>proibição de lançar o tempo no relatório de viagem</w:t>
      </w:r>
      <w:r>
        <w:rPr>
          <w:rFonts w:ascii="Verdana" w:hAnsi="Verdana" w:eastAsia="Verdana"/>
          <w:b w:val="0"/>
          <w:i w:val="0"/>
          <w:sz w:val="20"/>
        </w:rPr>
        <w:t xml:space="preserve"> serve duas teses ao mesmo tempo — acúmulo de função </w:t>
      </w:r>
      <w:r>
        <w:rPr>
          <w:rFonts w:ascii="Verdana" w:hAnsi="Verdana" w:eastAsia="Verdana"/>
          <w:b/>
          <w:i w:val="0"/>
          <w:sz w:val="20"/>
        </w:rPr>
        <w:t>e</w:t>
      </w:r>
      <w:r>
        <w:rPr>
          <w:rFonts w:ascii="Verdana" w:hAnsi="Verdana" w:eastAsia="Verdana"/>
          <w:b w:val="0"/>
          <w:i w:val="0"/>
          <w:sz w:val="20"/>
        </w:rPr>
        <w:t xml:space="preserve"> invalidade dos controles (Súmula 338). Manter sempre.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T14 — ADICIONAL DE CARREGAMENTO/DESCARREGAMENTO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N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12 peças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Tese de apropriação: o tomador (ex.: a grande empresa cliente) </w:t>
      </w:r>
      <w:r>
        <w:rPr>
          <w:rFonts w:ascii="Verdana" w:hAnsi="Verdana" w:eastAsia="Verdana"/>
          <w:b/>
          <w:i w:val="0"/>
          <w:sz w:val="20"/>
        </w:rPr>
        <w:t>paga à transportadora</w:t>
      </w:r>
      <w:r>
        <w:rPr>
          <w:rFonts w:ascii="Verdana" w:hAnsi="Verdana" w:eastAsia="Verdana"/>
          <w:b w:val="0"/>
          <w:i w:val="0"/>
          <w:sz w:val="20"/>
        </w:rPr>
        <w:t xml:space="preserve"> um valor por carregamento/descarregamento executado pelo motorista, e a transportadora não repassa.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Bloco de redação (base do acervo)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Em razão de tal serviço, a referida empresa ([TOMADOR]) realizava um pagamento às reclamadas no importe de R$ [VALOR] por procedimento (carregamento ou descarregamento). No entanto, as rés, ao invés de procederem ao repasse de tal valor ao motorista, auferiam tal importe como lucro, lesando o direito do trabalhador.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Pedido</w:t>
      </w:r>
      <w:r>
        <w:rPr>
          <w:rFonts w:ascii="Verdana" w:hAnsi="Verdana" w:eastAsia="Verdana"/>
          <w:b w:val="0"/>
          <w:i w:val="0"/>
          <w:sz w:val="20"/>
        </w:rPr>
        <w:t xml:space="preserve">: percepção do valor, traduzido em </w:t>
      </w:r>
      <w:r>
        <w:rPr>
          <w:rFonts w:ascii="Verdana" w:hAnsi="Verdana" w:eastAsia="Verdana"/>
          <w:b/>
          <w:i w:val="0"/>
          <w:sz w:val="20"/>
        </w:rPr>
        <w:t>um carregamento/descarregamento por dia efetivamente trabalhado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Prova necessária</w:t>
      </w:r>
      <w:r>
        <w:rPr>
          <w:rFonts w:ascii="Verdana" w:hAnsi="Verdana" w:eastAsia="Verdana"/>
          <w:b w:val="0"/>
          <w:i w:val="0"/>
          <w:sz w:val="20"/>
        </w:rPr>
        <w:t>: contrato ou tabela de preços entre a transportadora e o tomador, CT-e, ou prova testemunhal do valor. Sem isso o valor unitário é arbitrário — é o elo mais frágil desta tese.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T15 — DEPÓSITOS FUNDIÁRIOS (FGTS)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L, N ou O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16 peças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 xml:space="preserve">: art. 818 CLT e art. 373, II, CPC · </w:t>
      </w:r>
      <w:r>
        <w:rPr>
          <w:rFonts w:ascii="Verdana" w:hAnsi="Verdana" w:eastAsia="Verdana"/>
          <w:b/>
          <w:i w:val="0"/>
          <w:sz w:val="20"/>
        </w:rPr>
        <w:t>princípio da aptidão para a prova</w:t>
      </w:r>
      <w:r>
        <w:rPr>
          <w:rFonts w:ascii="Verdana" w:hAnsi="Verdana" w:eastAsia="Verdana"/>
          <w:b w:val="0"/>
          <w:i w:val="0"/>
          <w:sz w:val="20"/>
        </w:rPr>
        <w:t xml:space="preserve"> · </w:t>
      </w:r>
      <w:r>
        <w:rPr>
          <w:rFonts w:ascii="Verdana" w:hAnsi="Verdana" w:eastAsia="Verdana"/>
          <w:b/>
          <w:i w:val="0"/>
          <w:sz w:val="20"/>
        </w:rPr>
        <w:t>cancelamento da OJ 301 da SBDI-1 do TST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Precedente-âncora do acervo</w:t>
      </w:r>
      <w:r>
        <w:rPr>
          <w:rFonts w:ascii="Verdana" w:hAnsi="Verdana" w:eastAsia="Verdana"/>
          <w:b w:val="0"/>
          <w:i w:val="0"/>
          <w:sz w:val="20"/>
        </w:rPr>
        <w:t xml:space="preserve"> (citado em 20 peças):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TST — RR 197300-96.2009.5.02.0446, publ. 07/06/2013: *"Esta c. Corte cancelou a Orientação Jurisprudencial 301 da SBDI-1 do c. TST, por concluir que o ônus da prova, nos casos de diferenças de FGTS, será regulado pelo princípio da aptidão para a prova, pois a pretensão resistida em torno da irregularidade dos depósitos do FGTS necessita de confronto com as guias de recolhimento que estão em poder do empregador."*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Argumento processual-chave</w:t>
      </w:r>
      <w:r>
        <w:rPr>
          <w:rFonts w:ascii="Verdana" w:hAnsi="Verdana" w:eastAsia="Verdana"/>
          <w:b w:val="0"/>
          <w:i w:val="0"/>
          <w:sz w:val="20"/>
        </w:rPr>
        <w:t xml:space="preserve">: o ônus é da ré e </w:t>
      </w:r>
      <w:r>
        <w:rPr>
          <w:rFonts w:ascii="Verdana" w:hAnsi="Verdana" w:eastAsia="Verdana"/>
          <w:b/>
          <w:i w:val="0"/>
          <w:sz w:val="20"/>
        </w:rPr>
        <w:t>não cabe expedição de ofício</w:t>
      </w:r>
      <w:r>
        <w:rPr>
          <w:rFonts w:ascii="Verdana" w:hAnsi="Verdana" w:eastAsia="Verdana"/>
          <w:b w:val="0"/>
          <w:i w:val="0"/>
          <w:sz w:val="20"/>
        </w:rPr>
        <w:t xml:space="preserve"> — os comprovantes estão em poder do empregador.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Pedido</w:t>
      </w:r>
      <w:r>
        <w:rPr>
          <w:rFonts w:ascii="Verdana" w:hAnsi="Verdana" w:eastAsia="Verdana"/>
          <w:b w:val="0"/>
          <w:i w:val="0"/>
          <w:sz w:val="20"/>
        </w:rPr>
        <w:t xml:space="preserve">: condenação ao pagamento das verbas </w:t>
      </w:r>
      <w:r>
        <w:rPr>
          <w:rFonts w:ascii="Verdana" w:hAnsi="Verdana" w:eastAsia="Verdana"/>
          <w:b/>
          <w:i w:val="0"/>
          <w:sz w:val="20"/>
        </w:rPr>
        <w:t>diretamente ao trabalhador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T16 — DANO EXISTENCIAL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M, O ou P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 xml:space="preserve">: 25 peças · </w:t>
      </w:r>
      <w:r>
        <w:rPr>
          <w:rFonts w:ascii="Verdana" w:hAnsi="Verdana" w:eastAsia="Verdana"/>
          <w:b/>
          <w:i w:val="0"/>
          <w:sz w:val="20"/>
        </w:rPr>
        <w:t>Maior tópico da peça</w:t>
      </w:r>
      <w:r>
        <w:rPr>
          <w:rFonts w:ascii="Verdana" w:hAnsi="Verdana" w:eastAsia="Verdana"/>
          <w:b w:val="0"/>
          <w:i w:val="0"/>
          <w:sz w:val="20"/>
        </w:rPr>
        <w:t xml:space="preserve"> (~8.200 caracteres)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>: art. 1º, III, CF (dignidade) · art. 5º, X, CF · arts. 186 e 927 CC · arts. 223-A e ss. CLT.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Precedente-âncora do acervo</w:t>
      </w:r>
      <w:r>
        <w:rPr>
          <w:rFonts w:ascii="Verdana" w:hAnsi="Verdana" w:eastAsia="Verdana"/>
          <w:b w:val="0"/>
          <w:i w:val="0"/>
          <w:sz w:val="20"/>
        </w:rPr>
        <w:t xml:space="preserve"> (citado em </w:t>
      </w:r>
      <w:r>
        <w:rPr>
          <w:rFonts w:ascii="Verdana" w:hAnsi="Verdana" w:eastAsia="Verdana"/>
          <w:b/>
          <w:i w:val="0"/>
          <w:sz w:val="20"/>
        </w:rPr>
        <w:t>56 peças</w:t>
      </w:r>
      <w:r>
        <w:rPr>
          <w:rFonts w:ascii="Verdana" w:hAnsi="Verdana" w:eastAsia="Verdana"/>
          <w:b w:val="0"/>
          <w:i w:val="0"/>
          <w:sz w:val="20"/>
        </w:rPr>
        <w:t xml:space="preserve"> — a citação mais frequente de todo o corpus):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TRT-4, RO 0000105-14.2011.5.04.0241, 1ª Turma — *"O dano existencial é uma espécie de dano imaterial mediante o qual, no caso das relações de trabalho, o trabalhador sofre danos/limitações em relação à sua vida fora do ambiente de trabalho em razão de condutas ilícitas praticadas pelo tomador do trabalho. Havendo a prestação habitual de trabalho em jornadas extras excedentes do limite legal relativo à quantidade de horas extras, resta configurado dano à existência."*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Precedente complementar</w:t>
      </w:r>
      <w:r>
        <w:rPr>
          <w:rFonts w:ascii="Verdana" w:hAnsi="Verdana" w:eastAsia="Verdana"/>
          <w:b w:val="0"/>
          <w:i w:val="0"/>
          <w:sz w:val="20"/>
        </w:rPr>
        <w:t>: TST — RR 727-76.2011.5.24.0002, Rel. Min. Hugo Carlos Scheuermann, 1ª Turma, j. 19/06/2013 (férias não concedidas por dez anos — violação do art. 5º, X, CF).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Bloco de redação (base do acervo)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Verifica-se que o obreiro, durante todo o período ao qual se ativou em favor da empresa reclamada, exerceu horas extraordinárias em quantidades absurdas, o que lhe privava de desfrutar de seu lazer e convívio familiar, dentre outros prejuízos, como o cansaço excessivo, o desgaste físico e emocional decorrentes de tais períodos trabalhados extenuantes e ainda sem o gozo de folgas. Os períodos de descanso do reclamante não eram respeitados pela empregadora, havendo violação contumaz das normas cogentes para pausas, descansos e folgas. Frise-se que não é apenas a inadimplência das parcelas correspondentes à sobrejornada que torna o seu uso indiscriminado e abusivo, mas sim o prejuízo subjetivo que a conduta arbitrária da empresa gera ao trabalhador, impedindo-o de desfrutar do convívio com seus familiares e amigos, fazendo-lhe perder a oportunidade de ver seus filhos crescerem, entre outras privações.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Valor pedido no acervo</w:t>
      </w:r>
      <w:r>
        <w:rPr>
          <w:rFonts w:ascii="Verdana" w:hAnsi="Verdana" w:eastAsia="Verdana"/>
          <w:b w:val="0"/>
          <w:i w:val="0"/>
          <w:sz w:val="20"/>
        </w:rPr>
        <w:t xml:space="preserve">: </w:t>
      </w:r>
      <w:r>
        <w:rPr>
          <w:rFonts w:ascii="Verdana" w:hAnsi="Verdana" w:eastAsia="Verdana"/>
          <w:b/>
          <w:i w:val="0"/>
          <w:sz w:val="20"/>
        </w:rPr>
        <w:t>R$ 20.000,00</w:t>
      </w:r>
      <w:r>
        <w:rPr>
          <w:rFonts w:ascii="Verdana" w:hAnsi="Verdana" w:eastAsia="Verdana"/>
          <w:b w:val="0"/>
          <w:i w:val="0"/>
          <w:sz w:val="20"/>
        </w:rPr>
        <w:t xml:space="preserve"> (padrão nas iniciais de caminhoneiro). Na modalidade rescisão indireta, o acervo pede dano moral em </w:t>
      </w:r>
      <w:r>
        <w:rPr>
          <w:rFonts w:ascii="Verdana" w:hAnsi="Verdana" w:eastAsia="Verdana"/>
          <w:b/>
          <w:i w:val="0"/>
          <w:sz w:val="20"/>
        </w:rPr>
        <w:t>12 vezes o salário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Risco real</w:t>
      </w:r>
      <w:r>
        <w:rPr>
          <w:rFonts w:ascii="Verdana" w:hAnsi="Verdana" w:eastAsia="Verdana"/>
          <w:b w:val="0"/>
          <w:i w:val="0"/>
          <w:sz w:val="20"/>
        </w:rPr>
        <w:t xml:space="preserve"> (ver TEMA 16 da base legal): há corrente majoritária em várias regiões que </w:t>
      </w:r>
      <w:r>
        <w:rPr>
          <w:rFonts w:ascii="Verdana" w:hAnsi="Verdana" w:eastAsia="Verdana"/>
          <w:b/>
          <w:i w:val="0"/>
          <w:sz w:val="20"/>
        </w:rPr>
        <w:t>exige prova concreta</w:t>
      </w:r>
      <w:r>
        <w:rPr>
          <w:rFonts w:ascii="Verdana" w:hAnsi="Verdana" w:eastAsia="Verdana"/>
          <w:b w:val="0"/>
          <w:i w:val="0"/>
          <w:sz w:val="20"/>
        </w:rPr>
        <w:t xml:space="preserve"> da frustração do projeto de vida e rejeita o *in re ipsa*. O bloco acima é puramente *in re ipsa*. </w:t>
      </w:r>
      <w:r>
        <w:rPr>
          <w:rFonts w:ascii="Verdana" w:hAnsi="Verdana" w:eastAsia="Verdana"/>
          <w:b/>
          <w:i w:val="0"/>
          <w:sz w:val="20"/>
        </w:rPr>
        <w:t>Reforçar sempre com prova específica</w:t>
      </w:r>
      <w:r>
        <w:rPr>
          <w:rFonts w:ascii="Verdana" w:hAnsi="Verdana" w:eastAsia="Verdana"/>
          <w:b w:val="0"/>
          <w:i w:val="0"/>
          <w:sz w:val="20"/>
        </w:rPr>
        <w:t>: períodos contínuos documentados sem retorno ao lar, eventos familiares perdidos, testemunho de familiar.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T17 — INDENIZAÇÃO SUPLEMENTAR DE HONORÁRIOS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P ou Q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12 peças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Pedido de indenização de </w:t>
      </w:r>
      <w:r>
        <w:rPr>
          <w:rFonts w:ascii="Verdana" w:hAnsi="Verdana" w:eastAsia="Verdana"/>
          <w:b/>
          <w:i w:val="0"/>
          <w:sz w:val="20"/>
        </w:rPr>
        <w:t>30% do valor da condenação</w:t>
      </w:r>
      <w:r>
        <w:rPr>
          <w:rFonts w:ascii="Verdana" w:hAnsi="Verdana" w:eastAsia="Verdana"/>
          <w:b w:val="0"/>
          <w:i w:val="0"/>
          <w:sz w:val="20"/>
        </w:rPr>
        <w:t xml:space="preserve"> para que os honorários contratuais não corroam o crédito alimentar do trabalhador.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 xml:space="preserve">: </w:t>
      </w:r>
      <w:r>
        <w:rPr>
          <w:rFonts w:ascii="Verdana" w:hAnsi="Verdana" w:eastAsia="Verdana"/>
          <w:b/>
          <w:i w:val="0"/>
          <w:sz w:val="20"/>
        </w:rPr>
        <w:t>arts. 389, 395, 402, 403 e 404 do Código Civil</w:t>
      </w:r>
      <w:r>
        <w:rPr>
          <w:rFonts w:ascii="Verdana" w:hAnsi="Verdana" w:eastAsia="Verdana"/>
          <w:b w:val="0"/>
          <w:i w:val="0"/>
          <w:sz w:val="20"/>
        </w:rPr>
        <w:t xml:space="preserve"> (56 peças) · art. 8º CLT · art. 1º, III, CF.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Precedentes do acervo</w:t>
      </w:r>
      <w:r>
        <w:rPr>
          <w:rFonts w:ascii="Verdana" w:hAnsi="Verdana" w:eastAsia="Verdana"/>
          <w:b w:val="0"/>
          <w:i w:val="0"/>
          <w:sz w:val="20"/>
        </w:rPr>
        <w:t>: sentença da 32ª Vara do Trabalho de São Paulo (proc. 1722/2003); TRT-3, RO 01104-2009-139-03-00-9, Rel. Conv. Eduardo Aurélio P. Ferri.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Distinguir de T-sucumbência</w:t>
      </w:r>
      <w:r>
        <w:rPr>
          <w:rFonts w:ascii="Verdana" w:hAnsi="Verdana" w:eastAsia="Verdana"/>
          <w:b w:val="0"/>
          <w:i w:val="0"/>
          <w:sz w:val="20"/>
        </w:rPr>
        <w:t xml:space="preserve">: este pedido </w:t>
      </w:r>
      <w:r>
        <w:rPr>
          <w:rFonts w:ascii="Verdana" w:hAnsi="Verdana" w:eastAsia="Verdana"/>
          <w:b/>
          <w:i w:val="0"/>
          <w:sz w:val="20"/>
        </w:rPr>
        <w:t>não se confunde</w:t>
      </w:r>
      <w:r>
        <w:rPr>
          <w:rFonts w:ascii="Verdana" w:hAnsi="Verdana" w:eastAsia="Verdana"/>
          <w:b w:val="0"/>
          <w:i w:val="0"/>
          <w:sz w:val="20"/>
        </w:rPr>
        <w:t xml:space="preserve"> com os honorários de sucumbência do art. 791-A CLT (pedidos em tópico separado, 15% da condenação — 21 peças do acervo). Nas peças mais recentes ambos convivem.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T18 — RESCISÃO INDIRETA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Letra</w:t>
      </w:r>
      <w:r>
        <w:rPr>
          <w:rFonts w:ascii="Verdana" w:hAnsi="Verdana" w:eastAsia="Verdana"/>
          <w:b w:val="0"/>
          <w:i w:val="0"/>
          <w:sz w:val="20"/>
        </w:rPr>
        <w:t xml:space="preserve">: B (quando cabível, entra logo após o grupo de empresas) · </w:t>
      </w: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9 peças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Gatilho</w:t>
      </w:r>
      <w:r>
        <w:rPr>
          <w:rFonts w:ascii="Verdana" w:hAnsi="Verdana" w:eastAsia="Verdana"/>
          <w:b w:val="0"/>
          <w:i w:val="0"/>
          <w:sz w:val="20"/>
        </w:rPr>
        <w:t xml:space="preserve">: contrato </w:t>
      </w:r>
      <w:r>
        <w:rPr>
          <w:rFonts w:ascii="Verdana" w:hAnsi="Verdana" w:eastAsia="Verdana"/>
          <w:b/>
          <w:i w:val="0"/>
          <w:sz w:val="20"/>
        </w:rPr>
        <w:t>ainda vigente</w:t>
      </w:r>
      <w:r>
        <w:rPr>
          <w:rFonts w:ascii="Verdana" w:hAnsi="Verdana" w:eastAsia="Verdana"/>
          <w:b w:val="0"/>
          <w:i w:val="0"/>
          <w:sz w:val="20"/>
        </w:rPr>
        <w:t xml:space="preserve"> ou rompido há pouco, com inadimplemento sistemático (HE, diárias, FGTS, comissão por fora).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 xml:space="preserve">: </w:t>
      </w:r>
      <w:r>
        <w:rPr>
          <w:rFonts w:ascii="Verdana" w:hAnsi="Verdana" w:eastAsia="Verdana"/>
          <w:b/>
          <w:i w:val="0"/>
          <w:sz w:val="20"/>
        </w:rPr>
        <w:t>art. 483, "a", "c" e "d", CLT</w:t>
      </w:r>
      <w:r>
        <w:rPr>
          <w:rFonts w:ascii="Verdana" w:hAnsi="Verdana" w:eastAsia="Verdana"/>
          <w:b w:val="0"/>
          <w:i w:val="0"/>
          <w:sz w:val="20"/>
        </w:rPr>
        <w:t xml:space="preserve"> · art. 483, §3º (permanecer ou não no serviço até decisão final).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Estrutura do acervo</w:t>
      </w:r>
      <w:r>
        <w:rPr>
          <w:rFonts w:ascii="Verdana" w:hAnsi="Verdana" w:eastAsia="Verdana"/>
          <w:b w:val="0"/>
          <w:i w:val="0"/>
          <w:sz w:val="20"/>
        </w:rPr>
        <w:t xml:space="preserve">: abre com a </w:t>
      </w:r>
      <w:r>
        <w:rPr>
          <w:rFonts w:ascii="Verdana" w:hAnsi="Verdana" w:eastAsia="Verdana"/>
          <w:b/>
          <w:i w:val="0"/>
          <w:sz w:val="20"/>
        </w:rPr>
        <w:t>lista resumida das faltas patronais</w:t>
      </w:r>
      <w:r>
        <w:rPr>
          <w:rFonts w:ascii="Verdana" w:hAnsi="Verdana" w:eastAsia="Verdana"/>
          <w:b w:val="0"/>
          <w:i w:val="0"/>
          <w:sz w:val="20"/>
        </w:rPr>
        <w:t>, depois transcreve o art. 483 inteiro em bloco, depois a jurisprudência, depois o rol.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Faltas listadas no modelo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– Exposição do trabalhador a penosa jornada de trabalho sem o devido pagamento das horas extras compensatórias; – Falta de pagamento das diárias (almoço, jantar e pernoite) previstas convencionalmente; – Não observação de intervalos mínimos de intrajornada e interjornada; – Pagamento de comissões na forma de outras verbas, fraudando direitos do reclamante.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Precedente do acervo</w:t>
      </w:r>
      <w:r>
        <w:rPr>
          <w:rFonts w:ascii="Verdana" w:hAnsi="Verdana" w:eastAsia="Verdana"/>
          <w:b w:val="0"/>
          <w:i w:val="0"/>
          <w:sz w:val="20"/>
        </w:rPr>
        <w:t>: TST — RR (Lei 13.015/2014): *"o descumprimento de obrigação essencial do contrato de trabalho, tal como a ausência de regularidade no recolhimento dos depósitos do FGTS, consubstancia justificativa suficientemente grave para configurar a justa causa, por culpa do empregador, a ensejar a rescisão indireta do pacto laboral, nos termos do artigo 483, d, da CLT."*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Rol de pedidos consequentes</w:t>
      </w:r>
      <w:r>
        <w:rPr>
          <w:rFonts w:ascii="Verdana" w:hAnsi="Verdana" w:eastAsia="Verdana"/>
          <w:b w:val="0"/>
          <w:i w:val="0"/>
          <w:sz w:val="20"/>
        </w:rPr>
        <w:t xml:space="preserve"> (transcrito do modelo):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- Seja declarada a rescisão indireta do contrato de trabalho diante do descumprimento contratual por parte da reclamada; - A percepção de suas verbas rescisórias, tais quais: Saldo de Salário; Aviso Prévio Indenizado; Férias vencidas e proporcionais acrescidas de 1/3; Trezenos vencidos e proporcionais; FGTS + 40% de todo o período; - Indenização por dano moral calculado em 12 vezes o salário do obreiro; - Anotação de Baixa na CTPS do autor, com projeção de eventual período estabilitário e de aviso prévio, e expedição de alvarás para soerguimento do FGTS e Seguro Desemprego.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Regra estratégica</w:t>
      </w:r>
      <w:r>
        <w:rPr>
          <w:rFonts w:ascii="Verdana" w:hAnsi="Verdana" w:eastAsia="Verdana"/>
          <w:b w:val="0"/>
          <w:i w:val="0"/>
          <w:sz w:val="20"/>
        </w:rPr>
        <w:t xml:space="preserve">: melhor momento é </w:t>
      </w:r>
      <w:r>
        <w:rPr>
          <w:rFonts w:ascii="Verdana" w:hAnsi="Verdana" w:eastAsia="Verdana"/>
          <w:b/>
          <w:i w:val="0"/>
          <w:sz w:val="20"/>
        </w:rPr>
        <w:t>ajuizar durante a vigência do contrato</w:t>
      </w:r>
      <w:r>
        <w:rPr>
          <w:rFonts w:ascii="Verdana" w:hAnsi="Verdana" w:eastAsia="Verdana"/>
          <w:b w:val="0"/>
          <w:i w:val="0"/>
          <w:sz w:val="20"/>
        </w:rPr>
        <w:t xml:space="preserve"> (art. 483, §3º). Rescisão indireta </w:t>
      </w:r>
      <w:r>
        <w:rPr>
          <w:rFonts w:ascii="Verdana" w:hAnsi="Verdana" w:eastAsia="Verdana"/>
          <w:b/>
          <w:i w:val="0"/>
          <w:sz w:val="20"/>
        </w:rPr>
        <w:t>não exige</w:t>
      </w:r>
      <w:r>
        <w:rPr>
          <w:rFonts w:ascii="Verdana" w:hAnsi="Verdana" w:eastAsia="Verdana"/>
          <w:b w:val="0"/>
          <w:i w:val="0"/>
          <w:sz w:val="20"/>
        </w:rPr>
        <w:t xml:space="preserve"> vício de consentimento — basta a falta grave patronal (ver TEMA 14 da base legal).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T19 — DESCANSO DE 35 HORAS / ART. 235-D + ADI 5322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 xml:space="preserve">: emergente — </w:t>
      </w:r>
      <w:r>
        <w:rPr>
          <w:rFonts w:ascii="Verdana" w:hAnsi="Verdana" w:eastAsia="Verdana"/>
          <w:b/>
          <w:i w:val="0"/>
          <w:sz w:val="20"/>
        </w:rPr>
        <w:t>ausente das peças antigas do acervo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Não há tópico autônomo de descanso de 35 horas nas peças mineradas, embora a </w:t>
      </w:r>
      <w:r>
        <w:rPr>
          <w:rFonts w:ascii="Verdana" w:hAnsi="Verdana" w:eastAsia="Verdana"/>
          <w:b/>
          <w:i w:val="0"/>
          <w:sz w:val="20"/>
        </w:rPr>
        <w:t>ADI 5322</w:t>
      </w:r>
      <w:r>
        <w:rPr>
          <w:rFonts w:ascii="Verdana" w:hAnsi="Verdana" w:eastAsia="Verdana"/>
          <w:b w:val="0"/>
          <w:i w:val="0"/>
          <w:sz w:val="20"/>
        </w:rPr>
        <w:t xml:space="preserve"> já apareça em 8 peças e a base legal do escritório a trate no TEMA 6. </w:t>
      </w:r>
      <w:r>
        <w:rPr>
          <w:rFonts w:ascii="Verdana" w:hAnsi="Verdana" w:eastAsia="Verdana"/>
          <w:b/>
          <w:i w:val="0"/>
          <w:sz w:val="20"/>
        </w:rPr>
        <w:t>Esta é a maior lacuna de atualização do banco.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 xml:space="preserve">: arts. 66 + 67 CLT (11h + 24h = 35h) · art. 235-D CLT · </w:t>
      </w:r>
      <w:r>
        <w:rPr>
          <w:rFonts w:ascii="Verdana" w:hAnsi="Verdana" w:eastAsia="Verdana"/>
          <w:b/>
          <w:i w:val="0"/>
          <w:sz w:val="20"/>
        </w:rPr>
        <w:t>ADI 5322/STF</w:t>
      </w:r>
      <w:r>
        <w:rPr>
          <w:rFonts w:ascii="Verdana" w:hAnsi="Verdana" w:eastAsia="Verdana"/>
          <w:b w:val="0"/>
          <w:i w:val="0"/>
          <w:sz w:val="20"/>
        </w:rPr>
        <w:t xml:space="preserve"> (inconstitucionalidade do fracionamento/acúmulo do repouso e da fruição "no retorno à base") · Convenção 111 OIT · DUDH art. 24.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Precedente</w:t>
      </w:r>
      <w:r>
        <w:rPr>
          <w:rFonts w:ascii="Verdana" w:hAnsi="Verdana" w:eastAsia="Verdana"/>
          <w:b w:val="0"/>
          <w:i w:val="0"/>
          <w:sz w:val="20"/>
        </w:rPr>
        <w:t>: TST-AIRR-0000212-77.2016.5.23.0007, Rel. Min. Mauricio Godinho Delgado, 3ª Turma, j. 12/11/2024.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Recomendação</w:t>
      </w:r>
      <w:r>
        <w:rPr>
          <w:rFonts w:ascii="Verdana" w:hAnsi="Verdana" w:eastAsia="Verdana"/>
          <w:b w:val="0"/>
          <w:i w:val="0"/>
          <w:sz w:val="20"/>
        </w:rPr>
        <w:t xml:space="preserve">: incluir como tópico autônomo em toda inicial nova, individualizado por </w:t>
      </w:r>
      <w:r>
        <w:rPr>
          <w:rFonts w:ascii="Verdana" w:hAnsi="Verdana" w:eastAsia="Verdana"/>
          <w:b/>
          <w:i w:val="0"/>
          <w:sz w:val="20"/>
        </w:rPr>
        <w:t>datas concretas</w:t>
      </w:r>
      <w:r>
        <w:rPr>
          <w:rFonts w:ascii="Verdana" w:hAnsi="Verdana" w:eastAsia="Verdana"/>
          <w:b w:val="0"/>
          <w:i w:val="0"/>
          <w:sz w:val="20"/>
        </w:rPr>
        <w:t xml:space="preserve"> de sequências consecutivas. Precificar com moderação — tende a ser deferido como verba indenizatória </w:t>
      </w:r>
      <w:r>
        <w:rPr>
          <w:rFonts w:ascii="Verdana" w:hAnsi="Verdana" w:eastAsia="Verdana"/>
          <w:b/>
          <w:i w:val="0"/>
          <w:sz w:val="20"/>
        </w:rPr>
        <w:t>sem reflexos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T20 — PERICULOSIDADE (DOIS TANQUES) E INSALUBRIDADE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 xml:space="preserve">: periculosidade citada em 58 peças, mas quase sempre como </w:t>
      </w:r>
      <w:r>
        <w:rPr>
          <w:rFonts w:ascii="Verdana" w:hAnsi="Verdana" w:eastAsia="Verdana"/>
          <w:b/>
          <w:i w:val="0"/>
          <w:sz w:val="20"/>
        </w:rPr>
        <w:t>base de cálculo</w:t>
      </w:r>
      <w:r>
        <w:rPr>
          <w:rFonts w:ascii="Verdana" w:hAnsi="Verdana" w:eastAsia="Verdana"/>
          <w:b w:val="0"/>
          <w:i w:val="0"/>
          <w:sz w:val="20"/>
        </w:rPr>
        <w:t xml:space="preserve"> de reflexos, não como tese autônoma.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 xml:space="preserve">: art. 193 CLT · </w:t>
      </w:r>
      <w:r>
        <w:rPr>
          <w:rFonts w:ascii="Verdana" w:hAnsi="Verdana" w:eastAsia="Verdana"/>
          <w:b/>
          <w:i w:val="0"/>
          <w:sz w:val="20"/>
        </w:rPr>
        <w:t>NR-16, Anexo 2, item "c"</w:t>
      </w:r>
      <w:r>
        <w:rPr>
          <w:rFonts w:ascii="Verdana" w:hAnsi="Verdana" w:eastAsia="Verdana"/>
          <w:b w:val="0"/>
          <w:i w:val="0"/>
          <w:sz w:val="20"/>
        </w:rPr>
        <w:t xml:space="preserve"> (Portaria MTE 1.357/2019 — tanque suplementar de combustível, independentemente de ser de fábrica) · Súmula 364, I, TST. Insalubridade: art. 192 CLT + NR-15; frio: Súmula 47 TST, NR-15 Anexo 9. Perícia obrigatória: art. 195 CLT.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Regra</w:t>
      </w:r>
      <w:r>
        <w:rPr>
          <w:rFonts w:ascii="Verdana" w:hAnsi="Verdana" w:eastAsia="Verdana"/>
          <w:b w:val="0"/>
          <w:i w:val="0"/>
          <w:sz w:val="20"/>
        </w:rPr>
        <w:t xml:space="preserve">: periculosidade e insalubridade </w:t>
      </w:r>
      <w:r>
        <w:rPr>
          <w:rFonts w:ascii="Verdana" w:hAnsi="Verdana" w:eastAsia="Verdana"/>
          <w:b/>
          <w:i w:val="0"/>
          <w:sz w:val="20"/>
        </w:rPr>
        <w:t>não se cumulam</w:t>
      </w:r>
      <w:r>
        <w:rPr>
          <w:rFonts w:ascii="Verdana" w:hAnsi="Verdana" w:eastAsia="Verdana"/>
          <w:b w:val="0"/>
          <w:i w:val="0"/>
          <w:sz w:val="20"/>
        </w:rPr>
        <w:t xml:space="preserve"> (art. 193, §2º, CLT) — sempre pedido alternativo/sucessivo.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Oportunidade não explorada</w:t>
      </w:r>
      <w:r>
        <w:rPr>
          <w:rFonts w:ascii="Verdana" w:hAnsi="Verdana" w:eastAsia="Verdana"/>
          <w:b w:val="0"/>
          <w:i w:val="0"/>
          <w:sz w:val="20"/>
        </w:rPr>
        <w:t xml:space="preserve">: o acervo pede periculosidade como base de cálculo, mas raramente desenvolve a tese do </w:t>
      </w:r>
      <w:r>
        <w:rPr>
          <w:rFonts w:ascii="Verdana" w:hAnsi="Verdana" w:eastAsia="Verdana"/>
          <w:b/>
          <w:i w:val="0"/>
          <w:sz w:val="20"/>
        </w:rPr>
        <w:t>tanque suplementar</w:t>
      </w:r>
      <w:r>
        <w:rPr>
          <w:rFonts w:ascii="Verdana" w:hAnsi="Verdana" w:eastAsia="Verdana"/>
          <w:b w:val="0"/>
          <w:i w:val="0"/>
          <w:sz w:val="20"/>
        </w:rPr>
        <w:t xml:space="preserve"> como pedido próprio. Verificar no intake se o veículo tinha dois tanques — é tese de alto valor com fundamento normativo objetivo.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T21 — MULTA DO ART. 477, §8º, E ART. 467 CLT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art. 477 em 26 peças, art. 467 em 9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Gatilho</w:t>
      </w:r>
      <w:r>
        <w:rPr>
          <w:rFonts w:ascii="Verdana" w:hAnsi="Verdana" w:eastAsia="Verdana"/>
          <w:b w:val="0"/>
          <w:i w:val="0"/>
          <w:sz w:val="20"/>
        </w:rPr>
        <w:t>: TRCT pago fora do prazo de 10 dias; verbas rescisórias incontroversas não pagas na primeira audiência.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>: art. 477, §8º, CLT (multa de um salário) · art. 467 CLT (50% sobre as verbas incontroversas).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Nota</w:t>
      </w:r>
      <w:r>
        <w:rPr>
          <w:rFonts w:ascii="Verdana" w:hAnsi="Verdana" w:eastAsia="Verdana"/>
          <w:b w:val="0"/>
          <w:i w:val="0"/>
          <w:sz w:val="20"/>
        </w:rPr>
        <w:t>: pedido de baixo custo de redação e alta taxa de conversão quando há comprovante de atraso. Deve entrar por padrão sempre que o TRCT mostrar atraso.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T22 — DESCONTOS INDEVIDOS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Frequência</w:t>
      </w:r>
      <w:r>
        <w:rPr>
          <w:rFonts w:ascii="Verdana" w:hAnsi="Verdana" w:eastAsia="Verdana"/>
          <w:b w:val="0"/>
          <w:i w:val="0"/>
          <w:sz w:val="20"/>
        </w:rPr>
        <w:t>: 26 peças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Gatilho</w:t>
      </w:r>
      <w:r>
        <w:rPr>
          <w:rFonts w:ascii="Verdana" w:hAnsi="Verdana" w:eastAsia="Verdana"/>
          <w:b w:val="0"/>
          <w:i w:val="0"/>
          <w:sz w:val="20"/>
        </w:rPr>
        <w:t>: multas de trânsito, "avarias", "ressarcimentos" descontados em holerite.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Base legal</w:t>
      </w:r>
      <w:r>
        <w:rPr>
          <w:rFonts w:ascii="Verdana" w:hAnsi="Verdana" w:eastAsia="Verdana"/>
          <w:b w:val="0"/>
          <w:i w:val="0"/>
          <w:sz w:val="20"/>
        </w:rPr>
        <w:t>: art. 462 CLT (intangibilidade salarial) · art. 2º CLT (alteridade — o risco do negócio é do empregador).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Regra probatória</w:t>
      </w:r>
      <w:r>
        <w:rPr>
          <w:rFonts w:ascii="Verdana" w:hAnsi="Verdana" w:eastAsia="Verdana"/>
          <w:b w:val="0"/>
          <w:i w:val="0"/>
          <w:sz w:val="20"/>
        </w:rPr>
        <w:t xml:space="preserve">: </w:t>
      </w:r>
      <w:r>
        <w:rPr>
          <w:rFonts w:ascii="Verdana" w:hAnsi="Verdana" w:eastAsia="Verdana"/>
          <w:b/>
          <w:i w:val="0"/>
          <w:sz w:val="20"/>
        </w:rPr>
        <w:t>quem desconta, prova a causa</w:t>
      </w:r>
      <w:r>
        <w:rPr>
          <w:rFonts w:ascii="Verdana" w:hAnsi="Verdana" w:eastAsia="Verdana"/>
          <w:b w:val="0"/>
          <w:i w:val="0"/>
          <w:sz w:val="20"/>
        </w:rPr>
        <w:t>. Sem auto de infração ou laudo que comprove culpa/dolo do motorista, o desconto cai.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Nota operacional</w:t>
      </w:r>
      <w:r>
        <w:rPr>
          <w:rFonts w:ascii="Verdana" w:hAnsi="Verdana" w:eastAsia="Verdana"/>
          <w:b w:val="0"/>
          <w:i w:val="0"/>
          <w:sz w:val="20"/>
        </w:rPr>
        <w:t xml:space="preserve">: baixo valor individual, mas deve ser </w:t>
      </w:r>
      <w:r>
        <w:rPr>
          <w:rFonts w:ascii="Verdana" w:hAnsi="Verdana" w:eastAsia="Verdana"/>
          <w:b/>
          <w:i w:val="0"/>
          <w:sz w:val="20"/>
        </w:rPr>
        <w:t>rastreado em todo intake</w:t>
      </w:r>
      <w:r>
        <w:rPr>
          <w:rFonts w:ascii="Verdana" w:hAnsi="Verdana" w:eastAsia="Verdana"/>
          <w:b w:val="0"/>
          <w:i w:val="0"/>
          <w:sz w:val="20"/>
        </w:rPr>
        <w:t xml:space="preserve"> — basta ler os holerites e o TRCT em busca de rubricas de desconto sem documento correspondente.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T23 — TESES ACESSÓRIAS DO ACERVO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>Aparecem isoladamente e devem ser conferidas caso a caso: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Feriados trabalhados — horas extras 100%</w:t>
      </w:r>
      <w:r>
        <w:rPr>
          <w:rFonts w:ascii="Verdana" w:hAnsi="Verdana" w:eastAsia="Verdana"/>
          <w:b w:val="0"/>
          <w:i w:val="0"/>
          <w:sz w:val="20"/>
        </w:rPr>
        <w:t xml:space="preserve"> (art. 70 CLT, Lei 605/49). Pedir junto com T06, liquidado em número absoluto de feriados.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Indenização de vale-transporte</w:t>
      </w:r>
      <w:r>
        <w:rPr>
          <w:rFonts w:ascii="Verdana" w:hAnsi="Verdana" w:eastAsia="Verdana"/>
          <w:b w:val="0"/>
          <w:i w:val="0"/>
          <w:sz w:val="20"/>
        </w:rPr>
        <w:t xml:space="preserve"> — quando o benefício não foi fornecido nem indenizado.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Reajuste salarial de dissídio coletivo</w:t>
      </w:r>
      <w:r>
        <w:rPr>
          <w:rFonts w:ascii="Verdana" w:hAnsi="Verdana" w:eastAsia="Verdana"/>
          <w:b w:val="0"/>
          <w:i w:val="0"/>
          <w:sz w:val="20"/>
        </w:rPr>
        <w:t xml:space="preserve"> — diferenças pela não aplicação do reajuste da CCT/dissídio da categoria. Citado em 59 peças; conferir sempre contra a CCT do período.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Justiça gratuita</w:t>
      </w:r>
      <w:r>
        <w:rPr>
          <w:rFonts w:ascii="Verdana" w:hAnsi="Verdana" w:eastAsia="Verdana"/>
          <w:b w:val="0"/>
          <w:i w:val="0"/>
          <w:sz w:val="20"/>
        </w:rPr>
        <w:t xml:space="preserve"> — bloco fixo, ver esqueleto. Base: art. 790, §§3º e 4º, CLT; Súmula 463, I, TST; </w:t>
      </w:r>
      <w:r>
        <w:rPr>
          <w:rFonts w:ascii="Verdana" w:hAnsi="Verdana" w:eastAsia="Verdana"/>
          <w:b/>
          <w:i w:val="0"/>
          <w:sz w:val="20"/>
        </w:rPr>
        <w:t>ADI 5766/STF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Honorários de sucumbência</w:t>
      </w:r>
      <w:r>
        <w:rPr>
          <w:rFonts w:ascii="Verdana" w:hAnsi="Verdana" w:eastAsia="Verdana"/>
          <w:b w:val="0"/>
          <w:i w:val="0"/>
          <w:sz w:val="20"/>
        </w:rPr>
        <w:t xml:space="preserve"> — 15% do valor da condenação, art. 791-A CLT (21 peças).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Seguro-desemprego / alvarás</w:t>
      </w:r>
      <w:r>
        <w:rPr>
          <w:rFonts w:ascii="Verdana" w:hAnsi="Verdana" w:eastAsia="Verdana"/>
          <w:b w:val="0"/>
          <w:i w:val="0"/>
          <w:sz w:val="20"/>
        </w:rPr>
        <w:t xml:space="preserve"> — pedido de expedição, presente em 21 peças, padrão nos casos de rescisão indireta e dispensa sem baixa.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COMBINAÇÕES PADRÃO (kits de tese por perfil de caso)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Kit A — Motorista de carreta, longa distância, comissionado (caso-tipo do acervo)</w:t>
      </w:r>
      <w:r>
        <w:rPr>
          <w:rFonts w:ascii="Verdana" w:hAnsi="Verdana" w:eastAsia="Verdana"/>
          <w:b w:val="0"/>
          <w:i w:val="0"/>
          <w:sz w:val="20"/>
        </w:rPr>
        <w:t xml:space="preserve"> T01 T02 T03 T04 T05 T06 T07 T08 T09 T10 T11 T12 T15 T16 T17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Kit B — Kit A + acúmulo de função (granel/asfalto/carga especial)</w:t>
      </w:r>
      <w:r>
        <w:rPr>
          <w:rFonts w:ascii="Verdana" w:hAnsi="Verdana" w:eastAsia="Verdana"/>
          <w:b w:val="0"/>
          <w:i w:val="0"/>
          <w:sz w:val="20"/>
        </w:rPr>
        <w:t xml:space="preserve"> Kit A + T13 + T14 (inserir após T12)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Kit C — Contrato ainda vigente / ruptura recente</w:t>
      </w:r>
      <w:r>
        <w:rPr>
          <w:rFonts w:ascii="Verdana" w:hAnsi="Verdana" w:eastAsia="Verdana"/>
          <w:b w:val="0"/>
          <w:i w:val="0"/>
          <w:sz w:val="20"/>
        </w:rPr>
        <w:t xml:space="preserve"> T01 </w:t>
      </w:r>
      <w:r>
        <w:rPr>
          <w:rFonts w:ascii="Verdana" w:hAnsi="Verdana" w:eastAsia="Verdana"/>
          <w:b/>
          <w:i w:val="0"/>
          <w:sz w:val="20"/>
        </w:rPr>
        <w:t>T18</w:t>
      </w:r>
      <w:r>
        <w:rPr>
          <w:rFonts w:ascii="Verdana" w:hAnsi="Verdana" w:eastAsia="Verdana"/>
          <w:b w:val="0"/>
          <w:i w:val="0"/>
          <w:sz w:val="20"/>
        </w:rPr>
        <w:t xml:space="preserve"> T02 T03 T05 T08 T10 T11 T15 T16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Kit D — Complementos a verificar em todo intake, independentemente do kit</w:t>
      </w:r>
      <w:r>
        <w:rPr>
          <w:rFonts w:ascii="Verdana" w:hAnsi="Verdana" w:eastAsia="Verdana"/>
          <w:b w:val="0"/>
          <w:i w:val="0"/>
          <w:sz w:val="20"/>
        </w:rPr>
        <w:t xml:space="preserve"> T19 (35 horas) · T20 (dois tanques) · T21 (multas 477/467) · T22 (descontos) · T23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RECLAMADAS RECORRENTES NO ACERVO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Inteligência operacional: para estes empregadores o escritório já tem peça, prova e histórico de resultado. </w:t>
      </w:r>
      <w:r>
        <w:rPr>
          <w:rFonts w:ascii="Verdana" w:hAnsi="Verdana" w:eastAsia="Verdana"/>
          <w:b/>
          <w:i w:val="0"/>
          <w:sz w:val="20"/>
        </w:rPr>
        <w:t>Antes de ajuizar contra qualquer um deles, buscar as peças anteriores no servidor</w:t>
      </w:r>
      <w:r>
        <w:rPr>
          <w:rFonts w:ascii="Verdana" w:hAnsi="Verdana" w:eastAsia="Verdana"/>
          <w:b w:val="0"/>
          <w:i w:val="0"/>
          <w:sz w:val="20"/>
        </w:rPr>
        <w:t xml:space="preserve"> e considerar prova emprestada (art. 372 CPC).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35"/>
        <w:gridCol w:w="2835"/>
        <w:gridCol w:w="2835"/>
      </w:tblGrid>
      <w:tr>
        <w:tc>
          <w:tcPr>
            <w:tcW w:type="dxa" w:w="3856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Reclamada</w:t>
            </w:r>
          </w:p>
        </w:tc>
        <w:tc>
          <w:tcPr>
            <w:tcW w:type="dxa" w:w="704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Peças no acervo</w:t>
            </w:r>
          </w:p>
        </w:tc>
        <w:tc>
          <w:tcPr>
            <w:tcW w:type="dxa" w:w="3944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385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Fraore Transportes</w:t>
            </w:r>
          </w:p>
        </w:tc>
        <w:tc>
          <w:tcPr>
            <w:tcW w:type="dxa" w:w="70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38</w:t>
            </w:r>
          </w:p>
        </w:tc>
        <w:tc>
          <w:tcPr>
            <w:tcW w:type="dxa" w:w="394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Maior série; base do modelo canônico; casos de asfalto/manta com 2ª ré</w:t>
            </w:r>
          </w:p>
        </w:tc>
      </w:tr>
      <w:tr>
        <w:tc>
          <w:tcPr>
            <w:tcW w:type="dxa" w:w="385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Supricel Logística</w:t>
            </w:r>
          </w:p>
        </w:tc>
        <w:tc>
          <w:tcPr>
            <w:tcW w:type="dxa" w:w="70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11</w:t>
            </w:r>
          </w:p>
        </w:tc>
        <w:tc>
          <w:tcPr>
            <w:tcW w:type="dxa" w:w="394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Série com contrarrazões, RO e pesquisa patrimonial</w:t>
            </w:r>
          </w:p>
        </w:tc>
      </w:tr>
      <w:tr>
        <w:tc>
          <w:tcPr>
            <w:tcW w:type="dxa" w:w="385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Matsuda (Rodoviário)</w:t>
            </w:r>
          </w:p>
        </w:tc>
        <w:tc>
          <w:tcPr>
            <w:tcW w:type="dxa" w:w="70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7</w:t>
            </w:r>
          </w:p>
        </w:tc>
        <w:tc>
          <w:tcPr>
            <w:tcW w:type="dxa" w:w="394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Série com RO, contrarrazões e termo de acordo</w:t>
            </w:r>
          </w:p>
        </w:tc>
      </w:tr>
      <w:tr>
        <w:tc>
          <w:tcPr>
            <w:tcW w:type="dxa" w:w="385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Polar Transportes</w:t>
            </w:r>
          </w:p>
        </w:tc>
        <w:tc>
          <w:tcPr>
            <w:tcW w:type="dxa" w:w="70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</w:t>
            </w:r>
          </w:p>
        </w:tc>
        <w:tc>
          <w:tcPr>
            <w:tcW w:type="dxa" w:w="394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Recurso ordinário</w:t>
            </w:r>
          </w:p>
        </w:tc>
      </w:tr>
      <w:tr>
        <w:tc>
          <w:tcPr>
            <w:tcW w:type="dxa" w:w="385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Flexa</w:t>
            </w:r>
          </w:p>
        </w:tc>
        <w:tc>
          <w:tcPr>
            <w:tcW w:type="dxa" w:w="70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</w:t>
            </w:r>
          </w:p>
        </w:tc>
        <w:tc>
          <w:tcPr>
            <w:tcW w:type="dxa" w:w="394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Casos com foco em dano moral</w:t>
            </w:r>
          </w:p>
        </w:tc>
      </w:tr>
      <w:tr>
        <w:tc>
          <w:tcPr>
            <w:tcW w:type="dxa" w:w="385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Tranzal Transportes Zanella</w:t>
            </w:r>
          </w:p>
        </w:tc>
        <w:tc>
          <w:tcPr>
            <w:tcW w:type="dxa" w:w="70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</w:t>
            </w:r>
          </w:p>
        </w:tc>
        <w:tc>
          <w:tcPr>
            <w:tcW w:type="dxa" w:w="394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5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Luizinho Transportes</w:t>
            </w:r>
          </w:p>
        </w:tc>
        <w:tc>
          <w:tcPr>
            <w:tcW w:type="dxa" w:w="70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</w:t>
            </w:r>
          </w:p>
        </w:tc>
        <w:tc>
          <w:tcPr>
            <w:tcW w:type="dxa" w:w="394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5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Dama Transportes</w:t>
            </w:r>
          </w:p>
        </w:tc>
        <w:tc>
          <w:tcPr>
            <w:tcW w:type="dxa" w:w="70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</w:t>
            </w:r>
          </w:p>
        </w:tc>
        <w:tc>
          <w:tcPr>
            <w:tcW w:type="dxa" w:w="394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85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Del Pozo, Trasmeridiano, Rivabren, Taipaspur, Transtodogaz, Vila Real</w:t>
            </w:r>
          </w:p>
        </w:tc>
        <w:tc>
          <w:tcPr>
            <w:tcW w:type="dxa" w:w="70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 cada</w:t>
            </w:r>
          </w:p>
        </w:tc>
        <w:tc>
          <w:tcPr>
            <w:tcW w:type="dxa" w:w="394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</w:tbl>
    <w:p>
      <w:pPr>
        <w:spacing w:after="80"/>
      </w:pP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Manutenção</w:t>
      </w:r>
      <w:r>
        <w:rPr>
          <w:rFonts w:ascii="Verdana" w:hAnsi="Verdana" w:eastAsia="Verdana"/>
          <w:b w:val="0"/>
          <w:i w:val="0"/>
          <w:sz w:val="20"/>
        </w:rPr>
        <w:t xml:space="preserve">: ao produzir peça nova de motorista, conferir se alguma tese não catalogada foi usada e acrescentá-la aqui. Ao receber sentença/acórdão, registrar o resultado da tese em </w:t>
      </w:r>
      <w:r>
        <w:rPr>
          <w:rFonts w:ascii="Verdana" w:hAnsi="Verdana" w:eastAsia="Verdana"/>
          <w:b w:val="0"/>
          <w:i w:val="0"/>
          <w:sz w:val="20"/>
        </w:rPr>
        <w:t>PARTE V</w:t>
      </w:r>
      <w:r>
        <w:rPr>
          <w:rFonts w:ascii="Verdana" w:hAnsi="Verdana" w:eastAsia="Verdana"/>
          <w:b w:val="0"/>
          <w:i w:val="0"/>
          <w:sz w:val="20"/>
        </w:rPr>
        <w:t xml:space="preserve"> — é o dado que hoje falta para transformar este banco em jurimetria real.</w:t>
      </w:r>
    </w:p>
    <w:p>
      <w:r>
        <w:br w:type="page"/>
      </w:r>
    </w:p>
    <w:p>
      <w:pPr>
        <w:spacing w:before="0" w:after="4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20"/>
        </w:rPr>
        <w:t>PARTE II</w:t>
      </w:r>
    </w:p>
    <w:p>
      <w:pPr>
        <w:spacing w:before="0" w:after="240" w:line="276" w:lineRule="auto"/>
        <w:jc w:val="left"/>
        <w:pBdr>
          <w:bottom w:val="single" w:sz="12" w:space="4" w:color="CCA862"/>
        </w:pBdr>
      </w:pPr>
      <w:r>
        <w:rPr>
          <w:rFonts w:ascii="Verdana" w:hAnsi="Verdana" w:eastAsia="Verdana"/>
          <w:b/>
          <w:i w:val="0"/>
          <w:color w:val="1F201F"/>
          <w:sz w:val="36"/>
        </w:rPr>
        <w:t>ESQUELETO DA PETIÇÃO INICIAL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Ordem canônica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[ENDEREÇAMENTO]           EXCELENTÍSSIMO(A) SENHOR(A) DOUTOR(A) JUIZ(A) DA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                         [Nª] VARA DO TRABALHO DE [COMARCA]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[QUALIFICAÇÃO DO AUTOR]   Nome, nacionalidade, profissão (caminhoneiro/motorista),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                         CPF, CTPS nº e série, PIS, data de nascimento, nome da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                         mãe, endereço completo com CEP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                         → "por seu advogado, conforme mandato procuratório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                            incluso, vem perante Vossa Excelência, propor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                            RECLAMAÇÃO TRABALHISTA pelo procedimento ORDINÁRIO,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                            em face de"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[QUALIFICAÇÃO DAS RÉS]    Razão social, CNPJ, endereço; quando houver grupo: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                         "podendo ainda ser notificada na pessoa de sua sócia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                         [NOME], brasileira, CPF nº [...]" + qualificação da 2ª ré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[RESUMO DO CONTRATO]      Bloco-marca do escritório: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                         Admissão | Demissão | Duração | Função | Última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                         remuneração | Jornada | Folgas | Irregularidades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A -  DO GRUPO DE EMPRESAS ....................................... T01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B -  DA RESCISÃO INDIRETA (só quando cabível) ................... T18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C -  DAS COMISSÕES PAGAS NA FORMA DE OUTRAS VERBAS .............. T02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D -  DO EFETIVO PAGAMENTO DE REEMBOLSO DE DESPESAS (DIÁRIAS) .... T03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D1-  PEDIDO ALTERNATIVO — REFLEXOS DO "REEMBOLSO DE DESPESAS" ... T04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E -  DO EFETIVO PAGAMENTO DE HORAS EXTRAS ....................... T05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F -  DOS DOMINGOS TRABALHADOS — HORAS EXTRAS 100% E DSR ......... T06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G -  HORAS NOTURNAS — GUARDA E PROTEÇÃO DO CAMINHÃO ............. T07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H -  DO PERÍODO EM FILAS — HORAS DE ESPERA ...................... T08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I -  DO INTERVALO DO ARTIGO 235-D, INCISO I, DA CLT ............. T09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J -  DA INDENIZAÇÃO PELA SUPRESSÃO DO INTERVALO INTRAJORNADA .... T10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K -  DAS HORAS EXTRAS PELA SUPRESSÃO DO INTERVALO INTERJORNADA .. T11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L -  REFLEXOS SOBRE FÉRIAS, 13º E FGTS .......................... T12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M -  DO ACÚMULO DE FUNÇÃO ....................................... T13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N -  DO ADICIONAL DE CARREGAMENTO/DESCARREGAMENTO ............... T14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O -  DOS DEPÓSITOS FUNDIÁRIOS ................................... T15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P -  DO DANO EXISTENCIAL ........................................ T16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Q -  DA INDENIZAÇÃO SUPLEMENTAR DE HONORÁRIOS ADVOCATÍCIOS ...... T17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 xml:space="preserve"> 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[JUSTIÇA GRATUITA]        Bloco fixo (texto abaixo)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[HONORÁRIOS SUCUMBÊNCIA]  15% do valor da condenação — art. 791-A CLT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[RESUMO DOS PEDIDOS]      Rol codificado + valores + subtotais + TOTAL GERAL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[RESSALVA DE LIQUIDAÇÃO]  Valores como estimativa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[PROVAS]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[VALOR DA CAUSA]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[LOCAL E DATA]            Sorocaba, [dia] de [mês] de [ano].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[ASSINATURAS]</w:t>
      </w:r>
    </w:p>
    <w:p>
      <w:pPr>
        <w:spacing w:after="80"/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Regra de renumeração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Quando um tópico não se aplica, ele </w:t>
      </w:r>
      <w:r>
        <w:rPr>
          <w:rFonts w:ascii="Verdana" w:hAnsi="Verdana" w:eastAsia="Verdana"/>
          <w:b/>
          <w:i w:val="0"/>
          <w:sz w:val="20"/>
        </w:rPr>
        <w:t>sai</w:t>
      </w:r>
      <w:r>
        <w:rPr>
          <w:rFonts w:ascii="Verdana" w:hAnsi="Verdana" w:eastAsia="Verdana"/>
          <w:b w:val="0"/>
          <w:i w:val="0"/>
          <w:sz w:val="20"/>
        </w:rPr>
        <w:t xml:space="preserve"> e as letras seguintes são renumeradas em sequência contínua. É por isso que a mesma tese aparece em letras diferentes no acervo (ex.: dano existencial aparece como M, O e P). O motor de geração nunca deve "pular" letras.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Blocos fixos (texto literal do acervo)</w:t>
      </w:r>
    </w:p>
    <w:p>
      <w:pPr>
        <w:spacing w:before="200" w:after="80" w:line="276" w:lineRule="auto"/>
        <w:jc w:val="left"/>
      </w:pPr>
      <w:r>
        <w:rPr>
          <w:rFonts w:ascii="Verdana" w:hAnsi="Verdana" w:eastAsia="Verdana"/>
          <w:b/>
          <w:i w:val="0"/>
          <w:color w:val="8A6D2F"/>
          <w:sz w:val="20"/>
        </w:rPr>
        <w:t>Resumo do contrato de trabalho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>Bloco de abertura obrigatório, sempre em forma de lista de campos: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Admissão:            [DD/MM/AAAA]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Demissão:            [DD/MM/AAAA]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Duração do contrato: [X anos e Y meses]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Função:              [motorista carreteiro / motorista de caminhão]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Última remuneração:  R$ [VALOR]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Jornada:             [descrição da jornada real]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Folgas:              [regime real de folgas]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Irregularidades:     [lista das teses que a peça vai sustentar]</w:t>
      </w:r>
    </w:p>
    <w:p>
      <w:pPr>
        <w:spacing w:after="80"/>
      </w:pPr>
    </w:p>
    <w:p>
      <w:pPr>
        <w:spacing w:before="200" w:after="80" w:line="276" w:lineRule="auto"/>
        <w:jc w:val="left"/>
      </w:pPr>
      <w:r>
        <w:rPr>
          <w:rFonts w:ascii="Verdana" w:hAnsi="Verdana" w:eastAsia="Verdana"/>
          <w:b/>
          <w:i w:val="0"/>
          <w:color w:val="8A6D2F"/>
          <w:sz w:val="20"/>
        </w:rPr>
        <w:t>Justiça gratuita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DOS BENEFÍCIOS DA JUSTIÇA GRATUITA Por ser o Reclamante pobre na forma da lei, de forma que não pode demandar sem o prejuízo do seu próprio sustento e de sua família, conforme declaração em anexo, requer de V. Exa. a concessão dos benefícios da justiça gratuita, com a isenção de custas e demais despesas processuais.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*Reforço recomendado (não consta do bloco antigo):* art. 790, §§3º e 4º, CLT; Súmula 463, I, TST; </w:t>
      </w:r>
      <w:r>
        <w:rPr>
          <w:rFonts w:ascii="Verdana" w:hAnsi="Verdana" w:eastAsia="Verdana"/>
          <w:b/>
          <w:i w:val="0"/>
          <w:sz w:val="20"/>
        </w:rPr>
        <w:t>ADI 5766/STF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200" w:after="80" w:line="276" w:lineRule="auto"/>
        <w:jc w:val="left"/>
      </w:pPr>
      <w:r>
        <w:rPr>
          <w:rFonts w:ascii="Verdana" w:hAnsi="Verdana" w:eastAsia="Verdana"/>
          <w:b/>
          <w:i w:val="0"/>
          <w:color w:val="8A6D2F"/>
          <w:sz w:val="20"/>
        </w:rPr>
        <w:t>Abertura do rol de pedidos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 xml:space="preserve">Por todo o exposto, requer a notificação da reclamada para responder aos termos da presente reclamatória, sob pena de confissão e revelia, prosseguindo-se a mesma até o final, quando então deverá ser julgada </w:t>
      </w:r>
      <w:r>
        <w:rPr>
          <w:rFonts w:ascii="Verdana" w:hAnsi="Verdana" w:eastAsia="Verdana"/>
          <w:b/>
          <w:i/>
          <w:color w:val="333333"/>
          <w:sz w:val="19"/>
        </w:rPr>
        <w:t>TOTALMENTE PROCEDENTE</w:t>
      </w:r>
      <w:r>
        <w:rPr>
          <w:rFonts w:ascii="Verdana" w:hAnsi="Verdana" w:eastAsia="Verdana"/>
          <w:b w:val="0"/>
          <w:i/>
          <w:color w:val="333333"/>
          <w:sz w:val="19"/>
        </w:rPr>
        <w:t xml:space="preserve"> para condenar a empresa ao cumprimento das seguintes obrigações e ao pagamento das seguintes verbas, acrescidas de juros e correção monetária:</w:t>
      </w:r>
    </w:p>
    <w:p>
      <w:pPr>
        <w:spacing w:after="40"/>
      </w:pPr>
    </w:p>
    <w:p>
      <w:pPr>
        <w:spacing w:before="200" w:after="80" w:line="276" w:lineRule="auto"/>
        <w:jc w:val="left"/>
      </w:pPr>
      <w:r>
        <w:rPr>
          <w:rFonts w:ascii="Verdana" w:hAnsi="Verdana" w:eastAsia="Verdana"/>
          <w:b/>
          <w:i w:val="0"/>
          <w:color w:val="8A6D2F"/>
          <w:sz w:val="20"/>
        </w:rPr>
        <w:t>Ressalva de liquidação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Os respectivos valores de tais verbas deverão ser apurados em liquidação de sentença, trazendo, no entanto, o reclamante o cálculo de estimativa em peça anexa à presente prefacial.</w:t>
      </w:r>
    </w:p>
    <w:p>
      <w:pPr>
        <w:spacing w:after="4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*Reforço recomendado:* citar o </w:t>
      </w:r>
      <w:r>
        <w:rPr>
          <w:rFonts w:ascii="Verdana" w:hAnsi="Verdana" w:eastAsia="Verdana"/>
          <w:b/>
          <w:i w:val="0"/>
          <w:sz w:val="20"/>
        </w:rPr>
        <w:t>Tema 35 dos Repetitivos do TST</w:t>
      </w:r>
      <w:r>
        <w:rPr>
          <w:rFonts w:ascii="Verdana" w:hAnsi="Verdana" w:eastAsia="Verdana"/>
          <w:b w:val="0"/>
          <w:i w:val="0"/>
          <w:sz w:val="20"/>
        </w:rPr>
        <w:t xml:space="preserve"> e o art. 12, §2º, da IN 41/2018 — os valores da inicial são estimativa e </w:t>
      </w:r>
      <w:r>
        <w:rPr>
          <w:rFonts w:ascii="Verdana" w:hAnsi="Verdana" w:eastAsia="Verdana"/>
          <w:b/>
          <w:i w:val="0"/>
          <w:sz w:val="20"/>
        </w:rPr>
        <w:t>não limitam a condenação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200" w:after="80" w:line="276" w:lineRule="auto"/>
        <w:jc w:val="left"/>
      </w:pPr>
      <w:r>
        <w:rPr>
          <w:rFonts w:ascii="Verdana" w:hAnsi="Verdana" w:eastAsia="Verdana"/>
          <w:b/>
          <w:i w:val="0"/>
          <w:color w:val="8A6D2F"/>
          <w:sz w:val="20"/>
        </w:rPr>
        <w:t>Provas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Provará o alegado por todos os meios de prova em direito admitidos, especialmente através da documentação que segue inclusa, do depoimento pessoal dos representantes da reclamada, e ainda da oitiva de testemunhas.</w:t>
      </w:r>
    </w:p>
    <w:p>
      <w:pPr>
        <w:spacing w:after="40"/>
      </w:pPr>
    </w:p>
    <w:p>
      <w:pPr>
        <w:spacing w:before="200" w:after="80" w:line="276" w:lineRule="auto"/>
        <w:jc w:val="left"/>
      </w:pPr>
      <w:r>
        <w:rPr>
          <w:rFonts w:ascii="Verdana" w:hAnsi="Verdana" w:eastAsia="Verdana"/>
          <w:b/>
          <w:i w:val="0"/>
          <w:color w:val="8A6D2F"/>
          <w:sz w:val="20"/>
        </w:rPr>
        <w:t>Fecho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>Nestes termos, pede deferimento. Sorocaba, [dia] de [mês] de [ano]. Alexandre Pascoal Marques OAB/SP 270.924 Flávia Dyandra da Silva OAB/SP 352.455 Vitória Freitas OAB/SP 508.842</w:t>
      </w:r>
    </w:p>
    <w:p>
      <w:pPr>
        <w:spacing w:after="40"/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Documentos que acompanham a inicial (checklist do nicho)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>Levantado do que as peças do acervo declaram juntar: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[ ] Procuração, declaração de hipossuficiência e contrato de honorários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[ ] CTPS (todas as páginas relevantes) e TRCT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 xml:space="preserve">[ ] Holerites de </w:t>
      </w:r>
      <w:r>
        <w:rPr>
          <w:rFonts w:ascii="Verdana" w:hAnsi="Verdana" w:eastAsia="Verdana"/>
          <w:b/>
          <w:i w:val="0"/>
          <w:sz w:val="20"/>
        </w:rPr>
        <w:t>todo</w:t>
      </w:r>
      <w:r>
        <w:rPr>
          <w:rFonts w:ascii="Verdana" w:hAnsi="Verdana" w:eastAsia="Verdana"/>
          <w:b w:val="0"/>
          <w:i w:val="0"/>
          <w:sz w:val="20"/>
        </w:rPr>
        <w:t xml:space="preserve"> o período contratual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 xml:space="preserve">[ ] </w:t>
      </w:r>
      <w:r>
        <w:rPr>
          <w:rFonts w:ascii="Verdana" w:hAnsi="Verdana" w:eastAsia="Verdana"/>
          <w:b/>
          <w:i w:val="0"/>
          <w:sz w:val="20"/>
        </w:rPr>
        <w:t>CCTs de todos os anos de vigência do contrato</w:t>
      </w:r>
      <w:r>
        <w:rPr>
          <w:rFonts w:ascii="Verdana" w:hAnsi="Verdana" w:eastAsia="Verdana"/>
          <w:b w:val="0"/>
          <w:i w:val="0"/>
          <w:sz w:val="20"/>
        </w:rPr>
        <w:t xml:space="preserve"> (a diária muda a cada ano)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 xml:space="preserve">[ ] Certidões da </w:t>
      </w:r>
      <w:r>
        <w:rPr>
          <w:rFonts w:ascii="Verdana" w:hAnsi="Verdana" w:eastAsia="Verdana"/>
          <w:b/>
          <w:i w:val="0"/>
          <w:sz w:val="20"/>
        </w:rPr>
        <w:t>JUCESP</w:t>
      </w:r>
      <w:r>
        <w:rPr>
          <w:rFonts w:ascii="Verdana" w:hAnsi="Verdana" w:eastAsia="Verdana"/>
          <w:b w:val="0"/>
          <w:i w:val="0"/>
          <w:sz w:val="20"/>
        </w:rPr>
        <w:t xml:space="preserve"> das rés (tese de grupo econômico — T01)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[ ] Diários de bordo / papeletas / relatórios de viagem, se o cliente tiver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[ ] Extrato analítico do FGTS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[ ] Comprovantes de terceiros: notas de hotel, tickets de terminal, abastecimentos, pedágios, WhatsApp com gestores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[ ] Planilha de cálculo de estimativa (peça anexa)</w:t>
      </w:r>
    </w:p>
    <w:p>
      <w:r>
        <w:br w:type="page"/>
      </w:r>
    </w:p>
    <w:p>
      <w:pPr>
        <w:spacing w:before="0" w:after="4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20"/>
        </w:rPr>
        <w:t>PARTE III</w:t>
      </w:r>
    </w:p>
    <w:p>
      <w:pPr>
        <w:spacing w:before="0" w:after="240" w:line="276" w:lineRule="auto"/>
        <w:jc w:val="left"/>
        <w:pBdr>
          <w:bottom w:val="single" w:sz="12" w:space="4" w:color="CCA862"/>
        </w:pBdr>
      </w:pPr>
      <w:r>
        <w:rPr>
          <w:rFonts w:ascii="Verdana" w:hAnsi="Verdana" w:eastAsia="Verdana"/>
          <w:b/>
          <w:i w:val="0"/>
          <w:color w:val="1F201F"/>
          <w:sz w:val="36"/>
        </w:rPr>
        <w:t>BASE LEGAL E PRECEDENTES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1. Artigos da CLT por frequência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35"/>
        <w:gridCol w:w="2835"/>
        <w:gridCol w:w="2835"/>
      </w:tblGrid>
      <w:tr>
        <w:tc>
          <w:tcPr>
            <w:tcW w:type="dxa" w:w="2324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Artigo</w:t>
            </w:r>
          </w:p>
        </w:tc>
        <w:tc>
          <w:tcPr>
            <w:tcW w:type="dxa" w:w="869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Peças</w:t>
            </w:r>
          </w:p>
        </w:tc>
        <w:tc>
          <w:tcPr>
            <w:tcW w:type="dxa" w:w="5310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Tese em que aparece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71 (e §4º)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71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T10 — intrajornada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487, §5º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70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T12 — reflexos em férias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66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64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T11 — interjornada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818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56+52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ônus da prova (transversal)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67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55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T06 — DSR e domingos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8º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54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T17 — honorários suplementares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4º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39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T07/T08 — tempo à disposição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791-A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21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honorários de sucumbência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790 (§§3º/4º)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17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justiça gratuita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62, I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11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rebate à tese de "autonomia do motorista"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483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11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T18 — rescisão indireta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477 (e §8º)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10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T21 — multa rescisória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467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9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T21 — 50% sobre incontroversas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74, §2º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8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T05 — controle de jornada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457 (§§1º/2º)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T02/T03 — natureza salarial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2º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T01 — grupo econômico / alteridade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235-C (§§8º/9º)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T08 — tempo de espera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235-D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T09 — intervalo de direção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235-G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T02 — vedação à comissão por km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9º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T02 — fraude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462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T22 — descontos indevidos</w:t>
            </w:r>
          </w:p>
        </w:tc>
      </w:tr>
      <w:tr>
        <w:tc>
          <w:tcPr>
            <w:tcW w:type="dxa" w:w="232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193 (§2º)</w:t>
            </w:r>
          </w:p>
        </w:tc>
        <w:tc>
          <w:tcPr>
            <w:tcW w:type="dxa" w:w="86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531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T20 — periculosidade</w:t>
            </w:r>
          </w:p>
        </w:tc>
      </w:tr>
    </w:tbl>
    <w:p>
      <w:pPr>
        <w:spacing w:after="80"/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2. Súmulas do TST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35"/>
        <w:gridCol w:w="2835"/>
        <w:gridCol w:w="2835"/>
      </w:tblGrid>
      <w:tr>
        <w:tc>
          <w:tcPr>
            <w:tcW w:type="dxa" w:w="1147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Súmula</w:t>
            </w:r>
          </w:p>
        </w:tc>
        <w:tc>
          <w:tcPr>
            <w:tcW w:type="dxa" w:w="834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Peças</w:t>
            </w:r>
          </w:p>
        </w:tc>
        <w:tc>
          <w:tcPr>
            <w:tcW w:type="dxa" w:w="6523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45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70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reflexo de HE sobre 13º salário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63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70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reflexo de HE sobre FGTS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110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64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interjornada — pagamento como extra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393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56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efeito devolutivo / recurso ordinário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338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 xml:space="preserve"> (I e III)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21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invalidade dos controles de jornada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331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10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terceirização / responsabilidade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297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prequestionamento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439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juros e correção no dano moral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126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revolvimento de fatos e provas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461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ônus da prova — FGTS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340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comissionista — HE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85, IV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compensação de jornada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264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base de cálculo da HE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330 / 139 / 172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 cada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91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salário complessivo (</w:t>
            </w:r>
            <w:r>
              <w:rPr>
                <w:rFonts w:ascii="Verdana" w:hAnsi="Verdana" w:eastAsia="Verdana"/>
                <w:b/>
                <w:i w:val="0"/>
                <w:sz w:val="17"/>
              </w:rPr>
              <w:t>recomendada em T02, hoje subutilizada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129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grupo econômico (</w:t>
            </w:r>
            <w:r>
              <w:rPr>
                <w:rFonts w:ascii="Verdana" w:hAnsi="Verdana" w:eastAsia="Verdana"/>
                <w:b/>
                <w:i w:val="0"/>
                <w:sz w:val="17"/>
              </w:rPr>
              <w:t>recomendada em T01, hoje ausente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437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intrajornada (</w:t>
            </w:r>
            <w:r>
              <w:rPr>
                <w:rFonts w:ascii="Verdana" w:hAnsi="Verdana" w:eastAsia="Verdana"/>
                <w:b/>
                <w:i w:val="0"/>
                <w:sz w:val="17"/>
              </w:rPr>
              <w:t>recomendada em T10, hoje ausente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146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domingos em dobro (</w:t>
            </w:r>
            <w:r>
              <w:rPr>
                <w:rFonts w:ascii="Verdana" w:hAnsi="Verdana" w:eastAsia="Verdana"/>
                <w:b/>
                <w:i w:val="0"/>
                <w:sz w:val="17"/>
              </w:rPr>
              <w:t>recomendada em T06, hoje ausente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428, II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sobreaviso (</w:t>
            </w:r>
            <w:r>
              <w:rPr>
                <w:rFonts w:ascii="Verdana" w:hAnsi="Verdana" w:eastAsia="Verdana"/>
                <w:b/>
                <w:i w:val="0"/>
                <w:sz w:val="17"/>
              </w:rPr>
              <w:t>recomendada em T08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364, I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periculosidade (</w:t>
            </w:r>
            <w:r>
              <w:rPr>
                <w:rFonts w:ascii="Verdana" w:hAnsi="Verdana" w:eastAsia="Verdana"/>
                <w:b/>
                <w:i w:val="0"/>
                <w:sz w:val="17"/>
              </w:rPr>
              <w:t>recomendada em T20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11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463, I</w:t>
            </w:r>
          </w:p>
        </w:tc>
        <w:tc>
          <w:tcPr>
            <w:tcW w:type="dxa" w:w="8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52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justiça gratuita (</w:t>
            </w:r>
            <w:r>
              <w:rPr>
                <w:rFonts w:ascii="Verdana" w:hAnsi="Verdana" w:eastAsia="Verdana"/>
                <w:b/>
                <w:i w:val="0"/>
                <w:sz w:val="17"/>
              </w:rPr>
              <w:t>recomendada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>)</w:t>
            </w:r>
          </w:p>
        </w:tc>
      </w:tr>
    </w:tbl>
    <w:p>
      <w:pPr>
        <w:spacing w:after="80"/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3. Orientações Jurisprudenciais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35"/>
        <w:gridCol w:w="2835"/>
        <w:gridCol w:w="2835"/>
      </w:tblGrid>
      <w:tr>
        <w:tc>
          <w:tcPr>
            <w:tcW w:type="dxa" w:w="2047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OJ</w:t>
            </w:r>
          </w:p>
        </w:tc>
        <w:tc>
          <w:tcPr>
            <w:tcW w:type="dxa" w:w="877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Peças</w:t>
            </w:r>
          </w:p>
        </w:tc>
        <w:tc>
          <w:tcPr>
            <w:tcW w:type="dxa" w:w="5580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0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307 SDI-1</w:t>
            </w:r>
          </w:p>
        </w:tc>
        <w:tc>
          <w:tcPr>
            <w:tcW w:type="dxa" w:w="87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63</w:t>
            </w:r>
          </w:p>
        </w:tc>
        <w:tc>
          <w:tcPr>
            <w:tcW w:type="dxa" w:w="55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intervalo — pagamento como extra</w:t>
            </w:r>
          </w:p>
        </w:tc>
      </w:tr>
      <w:tr>
        <w:tc>
          <w:tcPr>
            <w:tcW w:type="dxa" w:w="20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301 SDI-1</w:t>
            </w:r>
          </w:p>
        </w:tc>
        <w:tc>
          <w:tcPr>
            <w:tcW w:type="dxa" w:w="87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20</w:t>
            </w:r>
          </w:p>
        </w:tc>
        <w:tc>
          <w:tcPr>
            <w:tcW w:type="dxa" w:w="55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CANCELADA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 xml:space="preserve"> — citada justamente para demonstrar o cancelamento (T15)</w:t>
            </w:r>
          </w:p>
        </w:tc>
      </w:tr>
      <w:tr>
        <w:tc>
          <w:tcPr>
            <w:tcW w:type="dxa" w:w="20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220</w:t>
            </w:r>
          </w:p>
        </w:tc>
        <w:tc>
          <w:tcPr>
            <w:tcW w:type="dxa" w:w="87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</w:t>
            </w:r>
          </w:p>
        </w:tc>
        <w:tc>
          <w:tcPr>
            <w:tcW w:type="dxa" w:w="55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20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332</w:t>
            </w:r>
          </w:p>
        </w:tc>
        <w:tc>
          <w:tcPr>
            <w:tcW w:type="dxa" w:w="87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</w:t>
            </w:r>
          </w:p>
        </w:tc>
        <w:tc>
          <w:tcPr>
            <w:tcW w:type="dxa" w:w="55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20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410</w:t>
            </w:r>
          </w:p>
        </w:tc>
        <w:tc>
          <w:tcPr>
            <w:tcW w:type="dxa" w:w="87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</w:t>
            </w:r>
          </w:p>
        </w:tc>
        <w:tc>
          <w:tcPr>
            <w:tcW w:type="dxa" w:w="55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RSR após o 7º dia consecutivo (T06)</w:t>
            </w:r>
          </w:p>
        </w:tc>
      </w:tr>
      <w:tr>
        <w:tc>
          <w:tcPr>
            <w:tcW w:type="dxa" w:w="20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234 / 306 / 292 / 139 / 304 / 233</w:t>
            </w:r>
          </w:p>
        </w:tc>
        <w:tc>
          <w:tcPr>
            <w:tcW w:type="dxa" w:w="87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 cada</w:t>
            </w:r>
          </w:p>
        </w:tc>
        <w:tc>
          <w:tcPr>
            <w:tcW w:type="dxa" w:w="55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20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355 SDI-1</w:t>
            </w:r>
          </w:p>
        </w:tc>
        <w:tc>
          <w:tcPr>
            <w:tcW w:type="dxa" w:w="87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55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interjornada (</w:t>
            </w:r>
            <w:r>
              <w:rPr>
                <w:rFonts w:ascii="Verdana" w:hAnsi="Verdana" w:eastAsia="Verdana"/>
                <w:b/>
                <w:i w:val="0"/>
                <w:sz w:val="17"/>
              </w:rPr>
              <w:t>recomendada em T11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204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415 SDI-1</w:t>
            </w:r>
          </w:p>
        </w:tc>
        <w:tc>
          <w:tcPr>
            <w:tcW w:type="dxa" w:w="87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55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dedução de valores pagos (</w:t>
            </w:r>
            <w:r>
              <w:rPr>
                <w:rFonts w:ascii="Verdana" w:hAnsi="Verdana" w:eastAsia="Verdana"/>
                <w:b/>
                <w:i w:val="0"/>
                <w:sz w:val="17"/>
              </w:rPr>
              <w:t>recomendada em T05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>)</w:t>
            </w:r>
          </w:p>
        </w:tc>
      </w:tr>
    </w:tbl>
    <w:p>
      <w:pPr>
        <w:spacing w:after="80"/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4. Leis, ADIs e normas regulamentadoras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35"/>
        <w:gridCol w:w="2835"/>
        <w:gridCol w:w="2835"/>
      </w:tblGrid>
      <w:tr>
        <w:tc>
          <w:tcPr>
            <w:tcW w:type="dxa" w:w="3030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Norma</w:t>
            </w:r>
          </w:p>
        </w:tc>
        <w:tc>
          <w:tcPr>
            <w:tcW w:type="dxa" w:w="748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Peças</w:t>
            </w:r>
          </w:p>
        </w:tc>
        <w:tc>
          <w:tcPr>
            <w:tcW w:type="dxa" w:w="4726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03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Lei 12.619/2012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 xml:space="preserve"> (Lei do Motorista)</w:t>
            </w:r>
          </w:p>
        </w:tc>
        <w:tc>
          <w:tcPr>
            <w:tcW w:type="dxa" w:w="7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56</w:t>
            </w:r>
          </w:p>
        </w:tc>
        <w:tc>
          <w:tcPr>
            <w:tcW w:type="dxa" w:w="472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marco de toda a arquitetura da peça</w:t>
            </w:r>
          </w:p>
        </w:tc>
      </w:tr>
      <w:tr>
        <w:tc>
          <w:tcPr>
            <w:tcW w:type="dxa" w:w="303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Lei 13.103/2015</w:t>
            </w:r>
          </w:p>
        </w:tc>
        <w:tc>
          <w:tcPr>
            <w:tcW w:type="dxa" w:w="7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53</w:t>
            </w:r>
          </w:p>
        </w:tc>
        <w:tc>
          <w:tcPr>
            <w:tcW w:type="dxa" w:w="472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regime posterior — segmentação temporal</w:t>
            </w:r>
          </w:p>
        </w:tc>
      </w:tr>
      <w:tr>
        <w:tc>
          <w:tcPr>
            <w:tcW w:type="dxa" w:w="303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Lei 5.584/70</w:t>
            </w:r>
          </w:p>
        </w:tc>
        <w:tc>
          <w:tcPr>
            <w:tcW w:type="dxa" w:w="7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56</w:t>
            </w:r>
          </w:p>
        </w:tc>
        <w:tc>
          <w:tcPr>
            <w:tcW w:type="dxa" w:w="472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assistência judiciária</w:t>
            </w:r>
          </w:p>
        </w:tc>
      </w:tr>
      <w:tr>
        <w:tc>
          <w:tcPr>
            <w:tcW w:type="dxa" w:w="303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Lei 1.060/50</w:t>
            </w:r>
          </w:p>
        </w:tc>
        <w:tc>
          <w:tcPr>
            <w:tcW w:type="dxa" w:w="7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52</w:t>
            </w:r>
          </w:p>
        </w:tc>
        <w:tc>
          <w:tcPr>
            <w:tcW w:type="dxa" w:w="472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gratuidade *(grafada "1090/50" no acervo — ver alertas)*</w:t>
            </w:r>
          </w:p>
        </w:tc>
      </w:tr>
      <w:tr>
        <w:tc>
          <w:tcPr>
            <w:tcW w:type="dxa" w:w="303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Lei 13.015/2014</w:t>
            </w:r>
          </w:p>
        </w:tc>
        <w:tc>
          <w:tcPr>
            <w:tcW w:type="dxa" w:w="7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19</w:t>
            </w:r>
          </w:p>
        </w:tc>
        <w:tc>
          <w:tcPr>
            <w:tcW w:type="dxa" w:w="472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rito do recurso de revista</w:t>
            </w:r>
          </w:p>
        </w:tc>
      </w:tr>
      <w:tr>
        <w:tc>
          <w:tcPr>
            <w:tcW w:type="dxa" w:w="303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Lei 13.467/2017 (Reforma)</w:t>
            </w:r>
          </w:p>
        </w:tc>
        <w:tc>
          <w:tcPr>
            <w:tcW w:type="dxa" w:w="7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11</w:t>
            </w:r>
          </w:p>
        </w:tc>
        <w:tc>
          <w:tcPr>
            <w:tcW w:type="dxa" w:w="472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subrepresentada — ver alertas</w:t>
            </w:r>
          </w:p>
        </w:tc>
      </w:tr>
      <w:tr>
        <w:tc>
          <w:tcPr>
            <w:tcW w:type="dxa" w:w="303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Lei 7.428</w:t>
            </w:r>
          </w:p>
        </w:tc>
        <w:tc>
          <w:tcPr>
            <w:tcW w:type="dxa" w:w="7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8</w:t>
            </w:r>
          </w:p>
        </w:tc>
        <w:tc>
          <w:tcPr>
            <w:tcW w:type="dxa" w:w="472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03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ADI 5322/STF</w:t>
            </w:r>
          </w:p>
        </w:tc>
        <w:tc>
          <w:tcPr>
            <w:tcW w:type="dxa" w:w="7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8</w:t>
            </w:r>
          </w:p>
        </w:tc>
        <w:tc>
          <w:tcPr>
            <w:tcW w:type="dxa" w:w="472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tempo de espera e sistemática de folgas</w:t>
            </w:r>
          </w:p>
        </w:tc>
      </w:tr>
      <w:tr>
        <w:tc>
          <w:tcPr>
            <w:tcW w:type="dxa" w:w="303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ADI 5766/STF</w:t>
            </w:r>
          </w:p>
        </w:tc>
        <w:tc>
          <w:tcPr>
            <w:tcW w:type="dxa" w:w="7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</w:t>
            </w:r>
          </w:p>
        </w:tc>
        <w:tc>
          <w:tcPr>
            <w:tcW w:type="dxa" w:w="472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gratuidade / honorários</w:t>
            </w:r>
          </w:p>
        </w:tc>
      </w:tr>
      <w:tr>
        <w:tc>
          <w:tcPr>
            <w:tcW w:type="dxa" w:w="303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Lei 9.503 (CTB)</w:t>
            </w:r>
          </w:p>
        </w:tc>
        <w:tc>
          <w:tcPr>
            <w:tcW w:type="dxa" w:w="7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</w:t>
            </w:r>
          </w:p>
        </w:tc>
        <w:tc>
          <w:tcPr>
            <w:tcW w:type="dxa" w:w="472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03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Lei 13.105/2015 (CPC)</w:t>
            </w:r>
          </w:p>
        </w:tc>
        <w:tc>
          <w:tcPr>
            <w:tcW w:type="dxa" w:w="7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</w:t>
            </w:r>
          </w:p>
        </w:tc>
        <w:tc>
          <w:tcPr>
            <w:tcW w:type="dxa" w:w="472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03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NR-16, Anexo 2, "c"</w:t>
            </w:r>
          </w:p>
        </w:tc>
        <w:tc>
          <w:tcPr>
            <w:tcW w:type="dxa" w:w="7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472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dois tanques (</w:t>
            </w:r>
            <w:r>
              <w:rPr>
                <w:rFonts w:ascii="Verdana" w:hAnsi="Verdana" w:eastAsia="Verdana"/>
                <w:b/>
                <w:i w:val="0"/>
                <w:sz w:val="17"/>
              </w:rPr>
              <w:t>recomendada em T20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303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NR-15</w:t>
            </w:r>
          </w:p>
        </w:tc>
        <w:tc>
          <w:tcPr>
            <w:tcW w:type="dxa" w:w="7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472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insalubridade (</w:t>
            </w:r>
            <w:r>
              <w:rPr>
                <w:rFonts w:ascii="Verdana" w:hAnsi="Verdana" w:eastAsia="Verdana"/>
                <w:b/>
                <w:i w:val="0"/>
                <w:sz w:val="17"/>
              </w:rPr>
              <w:t>recomendada em T20</w:t>
            </w:r>
            <w:r>
              <w:rPr>
                <w:rFonts w:ascii="Verdana" w:hAnsi="Verdana" w:eastAsia="Verdana"/>
                <w:b w:val="0"/>
                <w:i w:val="0"/>
                <w:sz w:val="17"/>
              </w:rPr>
              <w:t>)</w:t>
            </w:r>
          </w:p>
        </w:tc>
      </w:tr>
    </w:tbl>
    <w:p>
      <w:pPr>
        <w:spacing w:after="80"/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5. Constituição, Código Civil e CPC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35"/>
        <w:gridCol w:w="2835"/>
        <w:gridCol w:w="2835"/>
      </w:tblGrid>
      <w:tr>
        <w:tc>
          <w:tcPr>
            <w:tcW w:type="dxa" w:w="4595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Dispositivo</w:t>
            </w:r>
          </w:p>
        </w:tc>
        <w:tc>
          <w:tcPr>
            <w:tcW w:type="dxa" w:w="775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Peças</w:t>
            </w:r>
          </w:p>
        </w:tc>
        <w:tc>
          <w:tcPr>
            <w:tcW w:type="dxa" w:w="3134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459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5º, X, CF</w:t>
            </w:r>
          </w:p>
        </w:tc>
        <w:tc>
          <w:tcPr>
            <w:tcW w:type="dxa" w:w="7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58</w:t>
            </w:r>
          </w:p>
        </w:tc>
        <w:tc>
          <w:tcPr>
            <w:tcW w:type="dxa" w:w="31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dano existencial / dano moral</w:t>
            </w:r>
          </w:p>
        </w:tc>
      </w:tr>
      <w:tr>
        <w:tc>
          <w:tcPr>
            <w:tcW w:type="dxa" w:w="459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arts. 389, 395, 402, 403 e 404 CC</w:t>
            </w:r>
          </w:p>
        </w:tc>
        <w:tc>
          <w:tcPr>
            <w:tcW w:type="dxa" w:w="7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56</w:t>
            </w:r>
          </w:p>
        </w:tc>
        <w:tc>
          <w:tcPr>
            <w:tcW w:type="dxa" w:w="31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T17 — indenização suplementar</w:t>
            </w:r>
          </w:p>
        </w:tc>
      </w:tr>
      <w:tr>
        <w:tc>
          <w:tcPr>
            <w:tcW w:type="dxa" w:w="459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404, parágrafo único, CC</w:t>
            </w:r>
          </w:p>
        </w:tc>
        <w:tc>
          <w:tcPr>
            <w:tcW w:type="dxa" w:w="7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52</w:t>
            </w:r>
          </w:p>
        </w:tc>
        <w:tc>
          <w:tcPr>
            <w:tcW w:type="dxa" w:w="31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T17 — núcleo do pedido</w:t>
            </w:r>
          </w:p>
        </w:tc>
      </w:tr>
      <w:tr>
        <w:tc>
          <w:tcPr>
            <w:tcW w:type="dxa" w:w="459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1º, III, CF (dignidade)</w:t>
            </w:r>
          </w:p>
        </w:tc>
        <w:tc>
          <w:tcPr>
            <w:tcW w:type="dxa" w:w="7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52</w:t>
            </w:r>
          </w:p>
        </w:tc>
        <w:tc>
          <w:tcPr>
            <w:tcW w:type="dxa" w:w="31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T16/T17</w:t>
            </w:r>
          </w:p>
        </w:tc>
      </w:tr>
      <w:tr>
        <w:tc>
          <w:tcPr>
            <w:tcW w:type="dxa" w:w="459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515 CPC</w:t>
            </w:r>
          </w:p>
        </w:tc>
        <w:tc>
          <w:tcPr>
            <w:tcW w:type="dxa" w:w="7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56</w:t>
            </w:r>
          </w:p>
        </w:tc>
        <w:tc>
          <w:tcPr>
            <w:tcW w:type="dxa" w:w="31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efeito devolutivo</w:t>
            </w:r>
          </w:p>
        </w:tc>
      </w:tr>
      <w:tr>
        <w:tc>
          <w:tcPr>
            <w:tcW w:type="dxa" w:w="459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arts. 302, 303 e 458 CPC</w:t>
            </w:r>
          </w:p>
        </w:tc>
        <w:tc>
          <w:tcPr>
            <w:tcW w:type="dxa" w:w="7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56</w:t>
            </w:r>
          </w:p>
        </w:tc>
        <w:tc>
          <w:tcPr>
            <w:tcW w:type="dxa" w:w="31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459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arts. 186 e 927 CC</w:t>
            </w:r>
          </w:p>
        </w:tc>
        <w:tc>
          <w:tcPr>
            <w:tcW w:type="dxa" w:w="7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13+5</w:t>
            </w:r>
          </w:p>
        </w:tc>
        <w:tc>
          <w:tcPr>
            <w:tcW w:type="dxa" w:w="31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responsabilidade civil</w:t>
            </w:r>
          </w:p>
        </w:tc>
      </w:tr>
      <w:tr>
        <w:tc>
          <w:tcPr>
            <w:tcW w:type="dxa" w:w="459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373, II, CPC (e 333, II, do CPC/73)</w:t>
            </w:r>
          </w:p>
        </w:tc>
        <w:tc>
          <w:tcPr>
            <w:tcW w:type="dxa" w:w="7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11+4</w:t>
            </w:r>
          </w:p>
        </w:tc>
        <w:tc>
          <w:tcPr>
            <w:tcW w:type="dxa" w:w="31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ônus da prova</w:t>
            </w:r>
          </w:p>
        </w:tc>
      </w:tr>
      <w:tr>
        <w:tc>
          <w:tcPr>
            <w:tcW w:type="dxa" w:w="459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7º, XIII/XV/XVI/XXVI, CF</w:t>
            </w:r>
          </w:p>
        </w:tc>
        <w:tc>
          <w:tcPr>
            <w:tcW w:type="dxa" w:w="7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6+4</w:t>
            </w:r>
          </w:p>
        </w:tc>
        <w:tc>
          <w:tcPr>
            <w:tcW w:type="dxa" w:w="31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limites de jornada e CCT</w:t>
            </w:r>
          </w:p>
        </w:tc>
      </w:tr>
      <w:tr>
        <w:tc>
          <w:tcPr>
            <w:tcW w:type="dxa" w:w="459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arts. 141 e 492 CPC</w:t>
            </w:r>
          </w:p>
        </w:tc>
        <w:tc>
          <w:tcPr>
            <w:tcW w:type="dxa" w:w="7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</w:t>
            </w:r>
          </w:p>
        </w:tc>
        <w:tc>
          <w:tcPr>
            <w:tcW w:type="dxa" w:w="313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congruência</w:t>
            </w:r>
          </w:p>
        </w:tc>
      </w:tr>
    </w:tbl>
    <w:p>
      <w:pPr>
        <w:spacing w:after="80"/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6. Precedentes mais citados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652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Processo</w:t>
            </w:r>
          </w:p>
        </w:tc>
        <w:tc>
          <w:tcPr>
            <w:tcW w:type="dxa" w:w="680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Peças</w:t>
            </w:r>
          </w:p>
        </w:tc>
        <w:tc>
          <w:tcPr>
            <w:tcW w:type="dxa" w:w="1899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Tese</w:t>
            </w:r>
          </w:p>
        </w:tc>
        <w:tc>
          <w:tcPr>
            <w:tcW w:type="dxa" w:w="3457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Identificação</w:t>
            </w:r>
          </w:p>
        </w:tc>
      </w:tr>
      <w:tr>
        <w:tc>
          <w:tcPr>
            <w:tcW w:type="dxa" w:w="265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0000105-14.2011.5.04.0241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56</w:t>
            </w:r>
          </w:p>
        </w:tc>
        <w:tc>
          <w:tcPr>
            <w:tcW w:type="dxa" w:w="189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T16 — dano existencial</w:t>
            </w:r>
          </w:p>
        </w:tc>
        <w:tc>
          <w:tcPr>
            <w:tcW w:type="dxa" w:w="345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TRT-4, RO, 1ª Turma. *Precedente-âncora do escritório.*</w:t>
            </w:r>
          </w:p>
        </w:tc>
      </w:tr>
      <w:tr>
        <w:tc>
          <w:tcPr>
            <w:tcW w:type="dxa" w:w="265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197300-96.2009.5.02.0446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20</w:t>
            </w:r>
          </w:p>
        </w:tc>
        <w:tc>
          <w:tcPr>
            <w:tcW w:type="dxa" w:w="189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T15 — ônus da prova do FGTS</w:t>
            </w:r>
          </w:p>
        </w:tc>
        <w:tc>
          <w:tcPr>
            <w:tcW w:type="dxa" w:w="345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TST, RR, publ. 07/06/2013 — cancelamento da OJ 301</w:t>
            </w:r>
          </w:p>
        </w:tc>
      </w:tr>
      <w:tr>
        <w:tc>
          <w:tcPr>
            <w:tcW w:type="dxa" w:w="265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0010789-56.2017.5.15.0087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89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345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TRT-15</w:t>
            </w:r>
          </w:p>
        </w:tc>
      </w:tr>
      <w:tr>
        <w:tc>
          <w:tcPr>
            <w:tcW w:type="dxa" w:w="265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0000258-68.2011.5.06.0022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89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345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TRT-6</w:t>
            </w:r>
          </w:p>
        </w:tc>
      </w:tr>
      <w:tr>
        <w:tc>
          <w:tcPr>
            <w:tcW w:type="dxa" w:w="265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0010454-43.2018.5.03.0020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8</w:t>
            </w:r>
          </w:p>
        </w:tc>
        <w:tc>
          <w:tcPr>
            <w:tcW w:type="dxa" w:w="189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345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TRT-3</w:t>
            </w:r>
          </w:p>
        </w:tc>
      </w:tr>
      <w:tr>
        <w:tc>
          <w:tcPr>
            <w:tcW w:type="dxa" w:w="265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727-76.2011.5.24.0002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9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T16 — dano existencial (férias 10 anos)</w:t>
            </w:r>
          </w:p>
        </w:tc>
        <w:tc>
          <w:tcPr>
            <w:tcW w:type="dxa" w:w="345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TST, RR, Rel. Min. Hugo Carlos Scheuermann, 1ª T., j. 19/06/2013</w:t>
            </w:r>
          </w:p>
        </w:tc>
      </w:tr>
      <w:tr>
        <w:tc>
          <w:tcPr>
            <w:tcW w:type="dxa" w:w="265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00007200137202008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9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T07 — pernoite/guarda do caminhão</w:t>
            </w:r>
          </w:p>
        </w:tc>
        <w:tc>
          <w:tcPr>
            <w:tcW w:type="dxa" w:w="345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TRT-2, RO, Rel. Des. Paulo Augusto Câmara</w:t>
            </w:r>
          </w:p>
        </w:tc>
      </w:tr>
      <w:tr>
        <w:tc>
          <w:tcPr>
            <w:tcW w:type="dxa" w:w="265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01104-2009-139-03-00-9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9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T17 — honorários obrigacionais</w:t>
            </w:r>
          </w:p>
        </w:tc>
        <w:tc>
          <w:tcPr>
            <w:tcW w:type="dxa" w:w="345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TRT-3, RO, Rel. Conv. Eduardo Aurélio P. Ferri</w:t>
            </w:r>
          </w:p>
        </w:tc>
      </w:tr>
      <w:tr>
        <w:tc>
          <w:tcPr>
            <w:tcW w:type="dxa" w:w="265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1722/2003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9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T17 — indenização de 30%</w:t>
            </w:r>
          </w:p>
        </w:tc>
        <w:tc>
          <w:tcPr>
            <w:tcW w:type="dxa" w:w="345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32ª Vara do Trabalho de São Paulo (sentença)</w:t>
            </w:r>
          </w:p>
        </w:tc>
      </w:tr>
      <w:tr>
        <w:tc>
          <w:tcPr>
            <w:tcW w:type="dxa" w:w="265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61700-26.2001.5.17.0007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</w:t>
            </w:r>
          </w:p>
        </w:tc>
        <w:tc>
          <w:tcPr>
            <w:tcW w:type="dxa" w:w="189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345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265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0001172-78.2010.5.05.0222</w:t>
            </w:r>
          </w:p>
        </w:tc>
        <w:tc>
          <w:tcPr>
            <w:tcW w:type="dxa" w:w="68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</w:t>
            </w:r>
          </w:p>
        </w:tc>
        <w:tc>
          <w:tcPr>
            <w:tcW w:type="dxa" w:w="189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345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TRT-5</w:t>
            </w:r>
          </w:p>
        </w:tc>
      </w:tr>
    </w:tbl>
    <w:p>
      <w:pPr>
        <w:spacing w:after="8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Precedentes recomendados e ainda ausentes do acervo</w:t>
      </w:r>
      <w:r>
        <w:rPr>
          <w:rFonts w:ascii="Verdana" w:hAnsi="Verdana" w:eastAsia="Verdana"/>
          <w:b w:val="0"/>
          <w:i w:val="0"/>
          <w:sz w:val="20"/>
        </w:rPr>
        <w:t xml:space="preserve"> (constam da base legal por tema, mas não foram usados nas peças):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TST-AIRR-0000212-77.2016.5.23.0007</w:t>
      </w:r>
      <w:r>
        <w:rPr>
          <w:rFonts w:ascii="Verdana" w:hAnsi="Verdana" w:eastAsia="Verdana"/>
          <w:b w:val="0"/>
          <w:i w:val="0"/>
          <w:sz w:val="20"/>
        </w:rPr>
        <w:t xml:space="preserve"> (Rel. Min. Mauricio Godinho Delgado, 3ª T., j. 12/11/2024) — descanso de 35 horas, T19.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TST-RRAg-0021436-68.2018.5.04.0221</w:t>
      </w:r>
      <w:r>
        <w:rPr>
          <w:rFonts w:ascii="Verdana" w:hAnsi="Verdana" w:eastAsia="Verdana"/>
          <w:b w:val="0"/>
          <w:i w:val="0"/>
          <w:sz w:val="20"/>
        </w:rPr>
        <w:t xml:space="preserve"> (Rel. Min. Cláudio Brandão, 7ª T., j. 21/08/2024) — tempo de espera pós-ADI 5322, T08.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Tema 35 dos Repetitivos do TST</w:t>
      </w:r>
      <w:r>
        <w:rPr>
          <w:rFonts w:ascii="Verdana" w:hAnsi="Verdana" w:eastAsia="Verdana"/>
          <w:b w:val="0"/>
          <w:i w:val="0"/>
          <w:sz w:val="20"/>
        </w:rPr>
        <w:t xml:space="preserve"> — valores da inicial são estimativa.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Tema 70 dos Repetitivos do TST</w:t>
      </w:r>
      <w:r>
        <w:rPr>
          <w:rFonts w:ascii="Verdana" w:hAnsi="Verdana" w:eastAsia="Verdana"/>
          <w:b w:val="0"/>
          <w:i w:val="0"/>
          <w:sz w:val="20"/>
        </w:rPr>
        <w:t xml:space="preserve"> — imediatidade da falta grave, T18.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7. Cláusulas de CCT mais invocadas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35"/>
        <w:gridCol w:w="2835"/>
        <w:gridCol w:w="2835"/>
      </w:tblGrid>
      <w:tr>
        <w:tc>
          <w:tcPr>
            <w:tcW w:type="dxa" w:w="1875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Cláusula</w:t>
            </w:r>
          </w:p>
        </w:tc>
        <w:tc>
          <w:tcPr>
            <w:tcW w:type="dxa" w:w="1339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Peças</w:t>
            </w:r>
          </w:p>
        </w:tc>
        <w:tc>
          <w:tcPr>
            <w:tcW w:type="dxa" w:w="5290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Objeto</w:t>
            </w:r>
          </w:p>
        </w:tc>
      </w:tr>
      <w:tr>
        <w:tc>
          <w:tcPr>
            <w:tcW w:type="dxa" w:w="18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16ª</w:t>
            </w:r>
          </w:p>
        </w:tc>
        <w:tc>
          <w:tcPr>
            <w:tcW w:type="dxa" w:w="133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31</w:t>
            </w:r>
          </w:p>
        </w:tc>
        <w:tc>
          <w:tcPr>
            <w:tcW w:type="dxa" w:w="529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diárias de almoço e jantar</w:t>
            </w:r>
          </w:p>
        </w:tc>
      </w:tr>
      <w:tr>
        <w:tc>
          <w:tcPr>
            <w:tcW w:type="dxa" w:w="18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23ª</w:t>
            </w:r>
          </w:p>
        </w:tc>
        <w:tc>
          <w:tcPr>
            <w:tcW w:type="dxa" w:w="133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28</w:t>
            </w:r>
          </w:p>
        </w:tc>
        <w:tc>
          <w:tcPr>
            <w:tcW w:type="dxa" w:w="529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pernoite</w:t>
            </w:r>
          </w:p>
        </w:tc>
      </w:tr>
      <w:tr>
        <w:tc>
          <w:tcPr>
            <w:tcW w:type="dxa" w:w="18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26ª</w:t>
            </w:r>
          </w:p>
        </w:tc>
        <w:tc>
          <w:tcPr>
            <w:tcW w:type="dxa" w:w="133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529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citada junto da 16ª nas peças recentes</w:t>
            </w:r>
          </w:p>
        </w:tc>
      </w:tr>
      <w:tr>
        <w:tc>
          <w:tcPr>
            <w:tcW w:type="dxa" w:w="1875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12ª</w:t>
            </w:r>
          </w:p>
        </w:tc>
        <w:tc>
          <w:tcPr>
            <w:tcW w:type="dxa" w:w="133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</w:t>
            </w:r>
          </w:p>
        </w:tc>
        <w:tc>
          <w:tcPr>
            <w:tcW w:type="dxa" w:w="529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—</w:t>
            </w:r>
          </w:p>
        </w:tc>
      </w:tr>
    </w:tbl>
    <w:p>
      <w:pPr>
        <w:spacing w:after="80"/>
      </w:pP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/>
          <w:i/>
          <w:color w:val="333333"/>
          <w:sz w:val="19"/>
        </w:rPr>
        <w:t>Regra</w:t>
      </w:r>
      <w:r>
        <w:rPr>
          <w:rFonts w:ascii="Verdana" w:hAnsi="Verdana" w:eastAsia="Verdana"/>
          <w:b w:val="0"/>
          <w:i/>
          <w:color w:val="333333"/>
          <w:sz w:val="19"/>
        </w:rPr>
        <w:t xml:space="preserve">: a numeração das cláusulas </w:t>
      </w:r>
      <w:r>
        <w:rPr>
          <w:rFonts w:ascii="Verdana" w:hAnsi="Verdana" w:eastAsia="Verdana"/>
          <w:b/>
          <w:i/>
          <w:color w:val="333333"/>
          <w:sz w:val="19"/>
        </w:rPr>
        <w:t>muda entre CCTs de anos e bases territoriais diferentes</w:t>
      </w:r>
      <w:r>
        <w:rPr>
          <w:rFonts w:ascii="Verdana" w:hAnsi="Verdana" w:eastAsia="Verdana"/>
          <w:b w:val="0"/>
          <w:i/>
          <w:color w:val="333333"/>
          <w:sz w:val="19"/>
        </w:rPr>
        <w:t>. Nunca copiar o número da cláusula de uma peça antiga — sempre conferir na CCT do período do contrato em julgamento.</w:t>
      </w:r>
    </w:p>
    <w:p>
      <w:pPr>
        <w:spacing w:after="40"/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8. Forma de citar (padrão da casa)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 xml:space="preserve">Jurisprudência </w:t>
      </w:r>
      <w:r>
        <w:rPr>
          <w:rFonts w:ascii="Verdana" w:hAnsi="Verdana" w:eastAsia="Verdana"/>
          <w:b/>
          <w:i w:val="0"/>
          <w:sz w:val="20"/>
        </w:rPr>
        <w:t>transcrita em bloco</w:t>
      </w:r>
      <w:r>
        <w:rPr>
          <w:rFonts w:ascii="Verdana" w:hAnsi="Verdana" w:eastAsia="Verdana"/>
          <w:b w:val="0"/>
          <w:i w:val="0"/>
          <w:sz w:val="20"/>
        </w:rPr>
        <w:t>, com órgão, número do processo, relator, turma/seção e data de julgamento/publicação.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 xml:space="preserve">Fechar destaque com </w:t>
      </w:r>
      <w:r>
        <w:rPr>
          <w:rFonts w:ascii="Verdana" w:hAnsi="Verdana" w:eastAsia="Verdana"/>
          <w:b/>
          <w:i w:val="0"/>
          <w:sz w:val="20"/>
        </w:rPr>
        <w:t>(negritamos)</w:t>
      </w:r>
      <w:r>
        <w:rPr>
          <w:rFonts w:ascii="Verdana" w:hAnsi="Verdana" w:eastAsia="Verdana"/>
          <w:b w:val="0"/>
          <w:i w:val="0"/>
          <w:sz w:val="20"/>
        </w:rPr>
        <w:t xml:space="preserve"> ou </w:t>
      </w:r>
      <w:r>
        <w:rPr>
          <w:rFonts w:ascii="Verdana" w:hAnsi="Verdana" w:eastAsia="Verdana"/>
          <w:b/>
          <w:i w:val="0"/>
          <w:sz w:val="20"/>
        </w:rPr>
        <w:t>(grifo nosso)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1 a 3 ementas por tópico controverso — nunca citar sem transcrever.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Dispositivo legal transcrito literalmente em bloco quando é o fundamento central; citado inline (art. 66 da CLT) quando é apoio.</w:t>
      </w:r>
    </w:p>
    <w:p>
      <w:r>
        <w:br w:type="page"/>
      </w:r>
    </w:p>
    <w:p>
      <w:pPr>
        <w:spacing w:before="0" w:after="4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20"/>
        </w:rPr>
        <w:t>PARTE IV</w:t>
      </w:r>
    </w:p>
    <w:p>
      <w:pPr>
        <w:spacing w:before="0" w:after="240" w:line="276" w:lineRule="auto"/>
        <w:jc w:val="left"/>
        <w:pBdr>
          <w:bottom w:val="single" w:sz="12" w:space="4" w:color="CCA862"/>
        </w:pBdr>
      </w:pPr>
      <w:r>
        <w:rPr>
          <w:rFonts w:ascii="Verdana" w:hAnsi="Verdana" w:eastAsia="Verdana"/>
          <w:b/>
          <w:i w:val="0"/>
          <w:color w:val="1F201F"/>
          <w:sz w:val="36"/>
        </w:rPr>
        <w:t>PADRÕES DE ESCRITA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1. Conectores e marcadores, por frequência real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Os números indicam </w:t>
      </w:r>
      <w:r>
        <w:rPr>
          <w:rFonts w:ascii="Verdana" w:hAnsi="Verdana" w:eastAsia="Verdana"/>
          <w:b/>
          <w:i w:val="0"/>
          <w:sz w:val="20"/>
        </w:rPr>
        <w:t>em quantas das 136 peças</w:t>
      </w:r>
      <w:r>
        <w:rPr>
          <w:rFonts w:ascii="Verdana" w:hAnsi="Verdana" w:eastAsia="Verdana"/>
          <w:b w:val="0"/>
          <w:i w:val="0"/>
          <w:sz w:val="20"/>
        </w:rPr>
        <w:t xml:space="preserve"> o termo aparece pelo menos uma vez.</w:t>
      </w:r>
    </w:p>
    <w:p>
      <w:pPr>
        <w:spacing w:before="200" w:after="80" w:line="276" w:lineRule="auto"/>
        <w:jc w:val="left"/>
      </w:pPr>
      <w:r>
        <w:rPr>
          <w:rFonts w:ascii="Verdana" w:hAnsi="Verdana" w:eastAsia="Verdana"/>
          <w:b/>
          <w:i w:val="0"/>
          <w:color w:val="8A6D2F"/>
          <w:sz w:val="20"/>
        </w:rPr>
        <w:t>Núcleo duro (usar sempre — presentes em mais de metade do acervo)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252"/>
        <w:gridCol w:w="4252"/>
      </w:tblGrid>
      <w:tr>
        <w:tc>
          <w:tcPr>
            <w:tcW w:type="dxa" w:w="6528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Termo</w:t>
            </w:r>
          </w:p>
        </w:tc>
        <w:tc>
          <w:tcPr>
            <w:tcW w:type="dxa" w:w="1976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Peças</w:t>
            </w:r>
          </w:p>
        </w:tc>
      </w:tr>
      <w:tr>
        <w:tc>
          <w:tcPr>
            <w:tcW w:type="dxa" w:w="652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Vejamos</w:t>
            </w:r>
          </w:p>
        </w:tc>
        <w:tc>
          <w:tcPr>
            <w:tcW w:type="dxa" w:w="197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93</w:t>
            </w:r>
          </w:p>
        </w:tc>
      </w:tr>
      <w:tr>
        <w:tc>
          <w:tcPr>
            <w:tcW w:type="dxa" w:w="652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Nesse sentido</w:t>
            </w:r>
          </w:p>
        </w:tc>
        <w:tc>
          <w:tcPr>
            <w:tcW w:type="dxa" w:w="197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80</w:t>
            </w:r>
          </w:p>
        </w:tc>
      </w:tr>
      <w:tr>
        <w:tc>
          <w:tcPr>
            <w:tcW w:type="dxa" w:w="652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Verifica-se</w:t>
            </w:r>
          </w:p>
        </w:tc>
        <w:tc>
          <w:tcPr>
            <w:tcW w:type="dxa" w:w="197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652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Todavia</w:t>
            </w:r>
          </w:p>
        </w:tc>
        <w:tc>
          <w:tcPr>
            <w:tcW w:type="dxa" w:w="197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652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Ressalta-se</w:t>
            </w:r>
          </w:p>
        </w:tc>
        <w:tc>
          <w:tcPr>
            <w:tcW w:type="dxa" w:w="197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72</w:t>
            </w:r>
          </w:p>
        </w:tc>
      </w:tr>
      <w:tr>
        <w:tc>
          <w:tcPr>
            <w:tcW w:type="dxa" w:w="652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Observe-se</w:t>
            </w:r>
          </w:p>
        </w:tc>
        <w:tc>
          <w:tcPr>
            <w:tcW w:type="dxa" w:w="197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68</w:t>
            </w:r>
          </w:p>
        </w:tc>
      </w:tr>
      <w:tr>
        <w:tc>
          <w:tcPr>
            <w:tcW w:type="dxa" w:w="652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Com efeito</w:t>
            </w:r>
          </w:p>
        </w:tc>
        <w:tc>
          <w:tcPr>
            <w:tcW w:type="dxa" w:w="197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67</w:t>
            </w:r>
          </w:p>
        </w:tc>
      </w:tr>
      <w:tr>
        <w:tc>
          <w:tcPr>
            <w:tcW w:type="dxa" w:w="652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Ocorre que</w:t>
            </w:r>
          </w:p>
        </w:tc>
        <w:tc>
          <w:tcPr>
            <w:tcW w:type="dxa" w:w="197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67</w:t>
            </w:r>
          </w:p>
        </w:tc>
      </w:tr>
      <w:tr>
        <w:tc>
          <w:tcPr>
            <w:tcW w:type="dxa" w:w="652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Perceba-se</w:t>
            </w:r>
          </w:p>
        </w:tc>
        <w:tc>
          <w:tcPr>
            <w:tcW w:type="dxa" w:w="197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66</w:t>
            </w:r>
          </w:p>
        </w:tc>
      </w:tr>
      <w:tr>
        <w:tc>
          <w:tcPr>
            <w:tcW w:type="dxa" w:w="652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Note-se</w:t>
            </w:r>
          </w:p>
        </w:tc>
        <w:tc>
          <w:tcPr>
            <w:tcW w:type="dxa" w:w="197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652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Em verdade</w:t>
            </w:r>
          </w:p>
        </w:tc>
        <w:tc>
          <w:tcPr>
            <w:tcW w:type="dxa" w:w="197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55</w:t>
            </w:r>
          </w:p>
        </w:tc>
      </w:tr>
      <w:tr>
        <w:tc>
          <w:tcPr>
            <w:tcW w:type="dxa" w:w="652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Vale observar</w:t>
            </w:r>
          </w:p>
        </w:tc>
        <w:tc>
          <w:tcPr>
            <w:tcW w:type="dxa" w:w="197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52</w:t>
            </w:r>
          </w:p>
        </w:tc>
      </w:tr>
      <w:tr>
        <w:tc>
          <w:tcPr>
            <w:tcW w:type="dxa" w:w="652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Outrossim</w:t>
            </w:r>
          </w:p>
        </w:tc>
        <w:tc>
          <w:tcPr>
            <w:tcW w:type="dxa" w:w="197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52</w:t>
            </w:r>
          </w:p>
        </w:tc>
      </w:tr>
    </w:tbl>
    <w:p>
      <w:pPr>
        <w:spacing w:after="80"/>
      </w:pPr>
    </w:p>
    <w:p>
      <w:pPr>
        <w:spacing w:before="200" w:after="80" w:line="276" w:lineRule="auto"/>
        <w:jc w:val="left"/>
      </w:pPr>
      <w:r>
        <w:rPr>
          <w:rFonts w:ascii="Verdana" w:hAnsi="Verdana" w:eastAsia="Verdana"/>
          <w:b/>
          <w:i w:val="0"/>
          <w:color w:val="8A6D2F"/>
          <w:sz w:val="20"/>
        </w:rPr>
        <w:t>Segundo nível (usar com moderação)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252"/>
        <w:gridCol w:w="4252"/>
      </w:tblGrid>
      <w:tr>
        <w:tc>
          <w:tcPr>
            <w:tcW w:type="dxa" w:w="5998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Termo</w:t>
            </w:r>
          </w:p>
        </w:tc>
        <w:tc>
          <w:tcPr>
            <w:tcW w:type="dxa" w:w="2506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Peças</w:t>
            </w:r>
          </w:p>
        </w:tc>
      </w:tr>
      <w:tr>
        <w:tc>
          <w:tcPr>
            <w:tcW w:type="dxa" w:w="599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Destaca-se</w:t>
            </w:r>
          </w:p>
        </w:tc>
        <w:tc>
          <w:tcPr>
            <w:tcW w:type="dxa" w:w="250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48</w:t>
            </w:r>
          </w:p>
        </w:tc>
      </w:tr>
      <w:tr>
        <w:tc>
          <w:tcPr>
            <w:tcW w:type="dxa" w:w="599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Isso posto</w:t>
            </w:r>
          </w:p>
        </w:tc>
        <w:tc>
          <w:tcPr>
            <w:tcW w:type="dxa" w:w="250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48</w:t>
            </w:r>
          </w:p>
        </w:tc>
      </w:tr>
      <w:tr>
        <w:tc>
          <w:tcPr>
            <w:tcW w:type="dxa" w:w="599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Ademais</w:t>
            </w:r>
          </w:p>
        </w:tc>
        <w:tc>
          <w:tcPr>
            <w:tcW w:type="dxa" w:w="250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33</w:t>
            </w:r>
          </w:p>
        </w:tc>
      </w:tr>
      <w:tr>
        <w:tc>
          <w:tcPr>
            <w:tcW w:type="dxa" w:w="599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Pois bem</w:t>
            </w:r>
          </w:p>
        </w:tc>
        <w:tc>
          <w:tcPr>
            <w:tcW w:type="dxa" w:w="250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599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Diante do exposto</w:t>
            </w:r>
          </w:p>
        </w:tc>
        <w:tc>
          <w:tcPr>
            <w:tcW w:type="dxa" w:w="250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599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Posto isso</w:t>
            </w:r>
          </w:p>
        </w:tc>
        <w:tc>
          <w:tcPr>
            <w:tcW w:type="dxa" w:w="2506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19</w:t>
            </w:r>
          </w:p>
        </w:tc>
      </w:tr>
    </w:tbl>
    <w:p>
      <w:pPr>
        <w:spacing w:after="8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Leitura</w:t>
      </w:r>
      <w:r>
        <w:rPr>
          <w:rFonts w:ascii="Verdana" w:hAnsi="Verdana" w:eastAsia="Verdana"/>
          <w:b w:val="0"/>
          <w:i w:val="0"/>
          <w:sz w:val="20"/>
        </w:rPr>
        <w:t xml:space="preserve">: o escritório abre demonstração com </w:t>
      </w:r>
      <w:r>
        <w:rPr>
          <w:rFonts w:ascii="Verdana" w:hAnsi="Verdana" w:eastAsia="Verdana"/>
          <w:b/>
          <w:i w:val="0"/>
          <w:sz w:val="20"/>
        </w:rPr>
        <w:t>"Vejamos"</w:t>
      </w:r>
      <w:r>
        <w:rPr>
          <w:rFonts w:ascii="Verdana" w:hAnsi="Verdana" w:eastAsia="Verdana"/>
          <w:b w:val="0"/>
          <w:i w:val="0"/>
          <w:sz w:val="20"/>
        </w:rPr>
        <w:t xml:space="preserve"> e dirige a atenção do juízo com a família </w:t>
      </w:r>
      <w:r>
        <w:rPr>
          <w:rFonts w:ascii="Verdana" w:hAnsi="Verdana" w:eastAsia="Verdana"/>
          <w:b/>
          <w:i w:val="0"/>
          <w:sz w:val="20"/>
        </w:rPr>
        <w:t>observe-se / perceba-se / note-se / frise-se / verifica-se</w:t>
      </w:r>
      <w:r>
        <w:rPr>
          <w:rFonts w:ascii="Verdana" w:hAnsi="Verdana" w:eastAsia="Verdana"/>
          <w:b w:val="0"/>
          <w:i w:val="0"/>
          <w:sz w:val="20"/>
        </w:rPr>
        <w:t>. Essa família de imperativos é a assinatura mais forte do texto — aparece em quase toda peça e deve ser reproduzida.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2. Verbos de pedido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252"/>
        <w:gridCol w:w="4252"/>
      </w:tblGrid>
      <w:tr>
        <w:tc>
          <w:tcPr>
            <w:tcW w:type="dxa" w:w="6131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Verbo</w:t>
            </w:r>
          </w:p>
        </w:tc>
        <w:tc>
          <w:tcPr>
            <w:tcW w:type="dxa" w:w="2373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Peças</w:t>
            </w:r>
          </w:p>
        </w:tc>
      </w:tr>
      <w:tr>
        <w:tc>
          <w:tcPr>
            <w:tcW w:type="dxa" w:w="6131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requer</w:t>
            </w:r>
          </w:p>
        </w:tc>
        <w:tc>
          <w:tcPr>
            <w:tcW w:type="dxa" w:w="237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95</w:t>
            </w:r>
          </w:p>
        </w:tc>
      </w:tr>
      <w:tr>
        <w:tc>
          <w:tcPr>
            <w:tcW w:type="dxa" w:w="6131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pleiteia</w:t>
            </w:r>
          </w:p>
        </w:tc>
        <w:tc>
          <w:tcPr>
            <w:tcW w:type="dxa" w:w="237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68</w:t>
            </w:r>
          </w:p>
        </w:tc>
      </w:tr>
      <w:tr>
        <w:tc>
          <w:tcPr>
            <w:tcW w:type="dxa" w:w="6131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pugna / pugna-se</w:t>
            </w:r>
          </w:p>
        </w:tc>
        <w:tc>
          <w:tcPr>
            <w:tcW w:type="dxa" w:w="237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6131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requerendo</w:t>
            </w:r>
          </w:p>
        </w:tc>
        <w:tc>
          <w:tcPr>
            <w:tcW w:type="dxa" w:w="237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6131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requer-se</w:t>
            </w:r>
          </w:p>
        </w:tc>
        <w:tc>
          <w:tcPr>
            <w:tcW w:type="dxa" w:w="2373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11</w:t>
            </w:r>
          </w:p>
        </w:tc>
      </w:tr>
    </w:tbl>
    <w:p>
      <w:pPr>
        <w:spacing w:after="8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Regra</w:t>
      </w:r>
      <w:r>
        <w:rPr>
          <w:rFonts w:ascii="Verdana" w:hAnsi="Verdana" w:eastAsia="Verdana"/>
          <w:b w:val="0"/>
          <w:i w:val="0"/>
          <w:sz w:val="20"/>
        </w:rPr>
        <w:t>: "requer" é o verbo padrão; "pleiteia" alterna para evitar repetição dentro do mesmo tópico. "Pugna" é reservado a pedidos subsidiários.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>Fórmulas compostas do acervo: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"requer a percepção de..."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"requer seja compelida a reclamada ao pagamento de..."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"requer a condenação da reclamada ao pagamento de..."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"faz jus o autor à percepção de..."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"deverá a reclamada ser compelida a..."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3. Qualificadores da conduta patronal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252"/>
        <w:gridCol w:w="4252"/>
      </w:tblGrid>
      <w:tr>
        <w:tc>
          <w:tcPr>
            <w:tcW w:type="dxa" w:w="6640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Qualificador</w:t>
            </w:r>
          </w:p>
        </w:tc>
        <w:tc>
          <w:tcPr>
            <w:tcW w:type="dxa" w:w="1864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Peças</w:t>
            </w:r>
          </w:p>
        </w:tc>
      </w:tr>
      <w:tr>
        <w:tc>
          <w:tcPr>
            <w:tcW w:type="dxa" w:w="664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extenuantes</w:t>
            </w:r>
          </w:p>
        </w:tc>
        <w:tc>
          <w:tcPr>
            <w:tcW w:type="dxa" w:w="186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63</w:t>
            </w:r>
          </w:p>
        </w:tc>
      </w:tr>
      <w:tr>
        <w:tc>
          <w:tcPr>
            <w:tcW w:type="dxa" w:w="664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arbitrária</w:t>
            </w:r>
          </w:p>
        </w:tc>
        <w:tc>
          <w:tcPr>
            <w:tcW w:type="dxa" w:w="186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62+8</w:t>
            </w:r>
          </w:p>
        </w:tc>
      </w:tr>
      <w:tr>
        <w:tc>
          <w:tcPr>
            <w:tcW w:type="dxa" w:w="664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abusivo/abusiva</w:t>
            </w:r>
          </w:p>
        </w:tc>
        <w:tc>
          <w:tcPr>
            <w:tcW w:type="dxa" w:w="186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58+9</w:t>
            </w:r>
          </w:p>
        </w:tc>
      </w:tr>
      <w:tr>
        <w:tc>
          <w:tcPr>
            <w:tcW w:type="dxa" w:w="664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mascaradas</w:t>
            </w:r>
          </w:p>
        </w:tc>
        <w:tc>
          <w:tcPr>
            <w:tcW w:type="dxa" w:w="186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33</w:t>
            </w:r>
          </w:p>
        </w:tc>
      </w:tr>
      <w:tr>
        <w:tc>
          <w:tcPr>
            <w:tcW w:type="dxa" w:w="664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forjadas/forjados</w:t>
            </w:r>
          </w:p>
        </w:tc>
        <w:tc>
          <w:tcPr>
            <w:tcW w:type="dxa" w:w="186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31+25</w:t>
            </w:r>
          </w:p>
        </w:tc>
      </w:tr>
      <w:tr>
        <w:tc>
          <w:tcPr>
            <w:tcW w:type="dxa" w:w="664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/>
                <w:i w:val="0"/>
                <w:sz w:val="17"/>
              </w:rPr>
              <w:t>maquiadas</w:t>
            </w:r>
          </w:p>
        </w:tc>
        <w:tc>
          <w:tcPr>
            <w:tcW w:type="dxa" w:w="186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6640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ilegal</w:t>
            </w:r>
          </w:p>
        </w:tc>
        <w:tc>
          <w:tcPr>
            <w:tcW w:type="dxa" w:w="1864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12</w:t>
            </w:r>
          </w:p>
        </w:tc>
      </w:tr>
    </w:tbl>
    <w:p>
      <w:pPr>
        <w:spacing w:after="8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O trio </w:t>
      </w:r>
      <w:r>
        <w:rPr>
          <w:rFonts w:ascii="Verdana" w:hAnsi="Verdana" w:eastAsia="Verdana"/>
          <w:b/>
          <w:i w:val="0"/>
          <w:sz w:val="20"/>
        </w:rPr>
        <w:t>forjadas / maquiadas / mascaradas</w:t>
      </w:r>
      <w:r>
        <w:rPr>
          <w:rFonts w:ascii="Verdana" w:hAnsi="Verdana" w:eastAsia="Verdana"/>
          <w:b w:val="0"/>
          <w:i w:val="0"/>
          <w:sz w:val="20"/>
        </w:rPr>
        <w:t xml:space="preserve"> é usado especificamente na tese das comissões (T02), normalmente entre aspas e em sequência, como no bloco: *"passaram a ser 'forjadas', 'maquiadas', 'transformadas' em holerites do trabalhador na forma de verbas que na verdade eram suprimidas."*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Regra de calibragem</w:t>
      </w:r>
      <w:r>
        <w:rPr>
          <w:rFonts w:ascii="Verdana" w:hAnsi="Verdana" w:eastAsia="Verdana"/>
          <w:b w:val="0"/>
          <w:i w:val="0"/>
          <w:sz w:val="20"/>
        </w:rPr>
        <w:t xml:space="preserve">: a agressividade é dirigida à </w:t>
      </w:r>
      <w:r>
        <w:rPr>
          <w:rFonts w:ascii="Verdana" w:hAnsi="Verdana" w:eastAsia="Verdana"/>
          <w:b/>
          <w:i w:val="0"/>
          <w:sz w:val="20"/>
        </w:rPr>
        <w:t>parte contrária</w:t>
      </w:r>
      <w:r>
        <w:rPr>
          <w:rFonts w:ascii="Verdana" w:hAnsi="Verdana" w:eastAsia="Verdana"/>
          <w:b w:val="0"/>
          <w:i w:val="0"/>
          <w:sz w:val="20"/>
        </w:rPr>
        <w:t>, nunca ao juízo. Ao discordar da sentença, o tom vira deferente (*"em que pese o notório conhecimento jurídico do MM. Juiz prolator..., data venia"*).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4. Arquitetura interna de cada tópico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>Ordem fixa observada em todos os tópicos de mérito do acervo: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1.  </w:t>
      </w:r>
      <w:r>
        <w:rPr>
          <w:rFonts w:ascii="Verdana" w:hAnsi="Verdana" w:eastAsia="Verdana"/>
          <w:b/>
          <w:i w:val="0"/>
          <w:sz w:val="20"/>
        </w:rPr>
        <w:t>Narrativa factual concreta</w:t>
      </w:r>
      <w:r>
        <w:rPr>
          <w:rFonts w:ascii="Verdana" w:hAnsi="Verdana" w:eastAsia="Verdana"/>
          <w:b w:val="0"/>
          <w:i w:val="0"/>
          <w:sz w:val="20"/>
        </w:rPr>
        <w:t xml:space="preserve"> da rotina, com números — horários, dias, valores, percentuais. Cálculos embutidos no parágrafo.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2.  </w:t>
      </w:r>
      <w:r>
        <w:rPr>
          <w:rFonts w:ascii="Verdana" w:hAnsi="Verdana" w:eastAsia="Verdana"/>
          <w:b/>
          <w:i w:val="0"/>
          <w:sz w:val="20"/>
        </w:rPr>
        <w:t>Dispositivo legal</w:t>
      </w:r>
      <w:r>
        <w:rPr>
          <w:rFonts w:ascii="Verdana" w:hAnsi="Verdana" w:eastAsia="Verdana"/>
          <w:b w:val="0"/>
          <w:i w:val="0"/>
          <w:sz w:val="20"/>
        </w:rPr>
        <w:t xml:space="preserve"> transcrito em bloco (se for o fundamento central) ou citado inline (se for apoio).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3.  </w:t>
      </w:r>
      <w:r>
        <w:rPr>
          <w:rFonts w:ascii="Verdana" w:hAnsi="Verdana" w:eastAsia="Verdana"/>
          <w:b/>
          <w:i w:val="0"/>
          <w:sz w:val="20"/>
        </w:rPr>
        <w:t>Jurisprudência</w:t>
      </w:r>
      <w:r>
        <w:rPr>
          <w:rFonts w:ascii="Verdana" w:hAnsi="Verdana" w:eastAsia="Verdana"/>
          <w:b w:val="0"/>
          <w:i w:val="0"/>
          <w:sz w:val="20"/>
        </w:rPr>
        <w:t xml:space="preserve"> transcrita em bloco com identificação completa.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4.  </w:t>
      </w:r>
      <w:r>
        <w:rPr>
          <w:rFonts w:ascii="Verdana" w:hAnsi="Verdana" w:eastAsia="Verdana"/>
          <w:b/>
          <w:i w:val="0"/>
          <w:sz w:val="20"/>
        </w:rPr>
        <w:t>Pedido</w:t>
      </w:r>
      <w:r>
        <w:rPr>
          <w:rFonts w:ascii="Verdana" w:hAnsi="Verdana" w:eastAsia="Verdana"/>
          <w:b w:val="0"/>
          <w:i w:val="0"/>
          <w:sz w:val="20"/>
        </w:rPr>
        <w:t xml:space="preserve"> fechando o tópico, com o rol de reflexos por extenso.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5.  </w:t>
      </w:r>
      <w:r>
        <w:rPr>
          <w:rFonts w:ascii="Verdana" w:hAnsi="Verdana" w:eastAsia="Verdana"/>
          <w:b/>
          <w:i w:val="0"/>
          <w:sz w:val="20"/>
        </w:rPr>
        <w:t>Tese subsidiária</w:t>
      </w:r>
      <w:r>
        <w:rPr>
          <w:rFonts w:ascii="Verdana" w:hAnsi="Verdana" w:eastAsia="Verdana"/>
          <w:b w:val="0"/>
          <w:i w:val="0"/>
          <w:sz w:val="20"/>
        </w:rPr>
        <w:t>, introduzida por uma destas fórmulas do acervo:</w:t>
      </w:r>
    </w:p>
    <w:p>
      <w:pPr>
        <w:spacing w:before="0" w:after="40" w:line="276" w:lineRule="auto"/>
        <w:ind w:left="79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*"Alternativamente, caso o entendimento desse juízo seja pela validade de X, contrariando a tese obreira, requer..."*</w:t>
      </w:r>
    </w:p>
    <w:p>
      <w:pPr>
        <w:spacing w:before="0" w:after="40" w:line="276" w:lineRule="auto"/>
        <w:ind w:left="79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*"Alternativamente, ainda que improvável, em não sendo o entendimento por X..."*</w:t>
      </w:r>
    </w:p>
    <w:p>
      <w:pPr>
        <w:spacing w:before="0" w:after="40" w:line="276" w:lineRule="auto"/>
        <w:ind w:left="79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*"Ainda, em diverso entendimento, requer..."*</w:t>
      </w:r>
    </w:p>
    <w:p>
      <w:pPr>
        <w:spacing w:before="0" w:after="40" w:line="276" w:lineRule="auto"/>
        <w:ind w:left="79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*"Acaso o juízo perfilhe de forma diversa, em caráter subsidiário..."*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Nenhum tópico econômico relevante fica sem alternativa.</w:t>
      </w:r>
      <w:r>
        <w:rPr>
          <w:rFonts w:ascii="Verdana" w:hAnsi="Verdana" w:eastAsia="Verdana"/>
          <w:b w:val="0"/>
          <w:i w:val="0"/>
          <w:sz w:val="20"/>
        </w:rPr>
        <w:t xml:space="preserve"> Este é o traço estrutural mais consistente do acervo e a regra que mais diferencia a peça da casa.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5. Titulação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Formato: </w:t>
      </w:r>
      <w:r>
        <w:rPr>
          <w:rFonts w:ascii="Verdana" w:hAnsi="Verdana" w:eastAsia="Verdana"/>
          <w:b/>
          <w:i w:val="0"/>
          <w:sz w:val="20"/>
        </w:rPr>
        <w:t>letra + espaço + hífen + espaço + CAIXA ALTA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A - DO GRUPO DE EMPRESAS</w:t>
      </w:r>
    </w:p>
    <w:p>
      <w:pPr>
        <w:spacing w:before="0" w:after="0" w:line="240" w:lineRule="auto"/>
        <w:ind w:left="340"/>
        <w:jc w:val="left"/>
      </w:pPr>
      <w:r>
        <w:rPr>
          <w:rFonts w:ascii="Consolas" w:hAnsi="Consolas" w:eastAsia="Consolas"/>
          <w:b w:val="0"/>
          <w:i w:val="0"/>
          <w:color w:val="1F201F"/>
          <w:sz w:val="16"/>
        </w:rPr>
        <w:t>K - DAS HORAS EXTRAS INDENIZATÓRIAS PELA SUPRESSÃO DO INTERVALO INTERJORNADA</w:t>
      </w:r>
    </w:p>
    <w:p>
      <w:pPr>
        <w:spacing w:after="8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>Variações presentes no acervo (</w:t>
      </w:r>
      <w:r>
        <w:rPr>
          <w:rFonts w:ascii="Consolas" w:hAnsi="Consolas" w:eastAsia="Consolas"/>
          <w:b w:val="0"/>
          <w:i w:val="0"/>
          <w:color w:val="555555"/>
          <w:sz w:val="19"/>
        </w:rPr>
        <w:t>A-</w:t>
      </w:r>
      <w:r>
        <w:rPr>
          <w:rFonts w:ascii="Verdana" w:hAnsi="Verdana" w:eastAsia="Verdana"/>
          <w:b w:val="0"/>
          <w:i w:val="0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555555"/>
          <w:sz w:val="19"/>
        </w:rPr>
        <w:t xml:space="preserve">E- </w:t>
      </w:r>
      <w:r>
        <w:rPr>
          <w:rFonts w:ascii="Verdana" w:hAnsi="Verdana" w:eastAsia="Verdana"/>
          <w:b w:val="0"/>
          <w:i w:val="0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555555"/>
          <w:sz w:val="19"/>
        </w:rPr>
        <w:t>G-DOS</w:t>
      </w:r>
      <w:r>
        <w:rPr>
          <w:rFonts w:ascii="Verdana" w:hAnsi="Verdana" w:eastAsia="Verdana"/>
          <w:b w:val="0"/>
          <w:i w:val="0"/>
          <w:sz w:val="20"/>
        </w:rPr>
        <w:t xml:space="preserve">) são inconsistências de digitação, não estilo. </w:t>
      </w:r>
      <w:r>
        <w:rPr>
          <w:rFonts w:ascii="Verdana" w:hAnsi="Verdana" w:eastAsia="Verdana"/>
          <w:b/>
          <w:i w:val="0"/>
          <w:sz w:val="20"/>
        </w:rPr>
        <w:t>Padronizar em `X - TÍTULO`.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>Quando o tópico se refere a recorte temporal, abrir com a marcação do período (</w:t>
      </w:r>
      <w:r>
        <w:rPr>
          <w:rFonts w:ascii="Consolas" w:hAnsi="Consolas" w:eastAsia="Consolas"/>
          <w:b w:val="0"/>
          <w:i w:val="0"/>
          <w:color w:val="555555"/>
          <w:sz w:val="19"/>
        </w:rPr>
        <w:t>Período 13/06/2022 a 31/12/2023</w:t>
      </w:r>
      <w:r>
        <w:rPr>
          <w:rFonts w:ascii="Verdana" w:hAnsi="Verdana" w:eastAsia="Verdana"/>
          <w:b w:val="0"/>
          <w:i w:val="0"/>
          <w:sz w:val="20"/>
        </w:rPr>
        <w:t>).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6. Tratamento das partes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 xml:space="preserve">Reclamante: </w:t>
      </w:r>
      <w:r>
        <w:rPr>
          <w:rFonts w:ascii="Verdana" w:hAnsi="Verdana" w:eastAsia="Verdana"/>
          <w:b/>
          <w:i w:val="0"/>
          <w:sz w:val="20"/>
        </w:rPr>
        <w:t>reclamante, obreiro, trabalhador, autor, motorista, profissional</w:t>
      </w:r>
      <w:r>
        <w:rPr>
          <w:rFonts w:ascii="Verdana" w:hAnsi="Verdana" w:eastAsia="Verdana"/>
          <w:b w:val="0"/>
          <w:i w:val="0"/>
          <w:sz w:val="20"/>
        </w:rPr>
        <w:t xml:space="preserve"> (alternados dentro do mesmo tópico — o acervo evita repetir o mesmo termo em parágrafos consecutivos).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 xml:space="preserve">Ré: </w:t>
      </w:r>
      <w:r>
        <w:rPr>
          <w:rFonts w:ascii="Verdana" w:hAnsi="Verdana" w:eastAsia="Verdana"/>
          <w:b/>
          <w:i w:val="0"/>
          <w:sz w:val="20"/>
        </w:rPr>
        <w:t>reclamada, empresa ré, empregadora, rés</w:t>
      </w:r>
      <w:r>
        <w:rPr>
          <w:rFonts w:ascii="Verdana" w:hAnsi="Verdana" w:eastAsia="Verdana"/>
          <w:b w:val="0"/>
          <w:i w:val="0"/>
          <w:sz w:val="20"/>
        </w:rPr>
        <w:t xml:space="preserve"> (plural quando há grupo).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 xml:space="preserve">Em grau recursal: </w:t>
      </w:r>
      <w:r>
        <w:rPr>
          <w:rFonts w:ascii="Verdana" w:hAnsi="Verdana" w:eastAsia="Verdana"/>
          <w:b/>
          <w:i w:val="0"/>
          <w:sz w:val="20"/>
        </w:rPr>
        <w:t>recorrente / recorrida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Juízo 1º grau: "Vossa Excelência", "este juízo", "MM. Juiz", "Excelência" (vocativo isolado para ênfase).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Juízo 2º grau: "Egrégio Tribunal", "Doutos Julgadores", "esta Corte", "r. sentença".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7. Números e concretude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>O acervo sempre ancora a narrativa em números específicos: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valor da comissão por km ("R$ 0,19 ou R$ 0,25 por quilômetro rodado");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tipo de veículo ("06 eixos ou 09 eixos");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escala real ("laborava 27 dias corridos e folgava 03");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duração da tarefa ("durava cerca de 5 horas");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valor do adicional do tomador ("R$ 90,00 por procedimento");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percentual pedido ("adicional de 40%");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valor do dano ("R$ 20.000,00").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Regra</w:t>
      </w:r>
      <w:r>
        <w:rPr>
          <w:rFonts w:ascii="Verdana" w:hAnsi="Verdana" w:eastAsia="Verdana"/>
          <w:b w:val="0"/>
          <w:i w:val="0"/>
          <w:sz w:val="20"/>
        </w:rPr>
        <w:t>: um tópico sem número concreto está fora do padrão da casa.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8. O que evitar (confirmado no corpus)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Marcadores markdown (</w:t>
      </w:r>
      <w:r>
        <w:rPr>
          <w:rFonts w:ascii="Consolas" w:hAnsi="Consolas" w:eastAsia="Consolas"/>
          <w:b w:val="0"/>
          <w:i w:val="0"/>
          <w:color w:val="555555"/>
          <w:sz w:val="19"/>
        </w:rPr>
        <w:t>#</w:t>
      </w:r>
      <w:r>
        <w:rPr>
          <w:rFonts w:ascii="Verdana" w:hAnsi="Verdana" w:eastAsia="Verdana"/>
          <w:b w:val="0"/>
          <w:i w:val="0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555555"/>
          <w:sz w:val="19"/>
        </w:rPr>
        <w:t>##</w:t>
      </w:r>
      <w:r>
        <w:rPr>
          <w:rFonts w:ascii="Verdana" w:hAnsi="Verdana" w:eastAsia="Verdana"/>
          <w:b w:val="0"/>
          <w:i w:val="0"/>
          <w:sz w:val="20"/>
        </w:rPr>
        <w:t xml:space="preserve">) — usar </w:t>
      </w:r>
      <w:r>
        <w:rPr>
          <w:rFonts w:ascii="Consolas" w:hAnsi="Consolas" w:eastAsia="Consolas"/>
          <w:b w:val="0"/>
          <w:i w:val="0"/>
          <w:color w:val="555555"/>
          <w:sz w:val="19"/>
        </w:rPr>
        <w:t>A -</w:t>
      </w:r>
      <w:r>
        <w:rPr>
          <w:rFonts w:ascii="Verdana" w:hAnsi="Verdana" w:eastAsia="Verdana"/>
          <w:b w:val="0"/>
          <w:i w:val="0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555555"/>
          <w:sz w:val="19"/>
        </w:rPr>
        <w:t>I.</w:t>
      </w:r>
      <w:r>
        <w:rPr>
          <w:rFonts w:ascii="Verdana" w:hAnsi="Verdana" w:eastAsia="Verdana"/>
          <w:b w:val="0"/>
          <w:i w:val="0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555555"/>
          <w:sz w:val="19"/>
        </w:rPr>
        <w:t>a)</w:t>
      </w:r>
      <w:r>
        <w:rPr>
          <w:rFonts w:ascii="Verdana" w:hAnsi="Verdana" w:eastAsia="Verdana"/>
          <w:b w:val="0"/>
          <w:i w:val="0"/>
          <w:sz w:val="20"/>
        </w:rPr>
        <w:t xml:space="preserve"> direto.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Tom neutro/descritivo: se o tópico só narra sem acusar, está fora do padrão.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Tópico de mérito sem pedido explícito ao final.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Tópico controverso sem jurisprudência transcrita.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>Pedido principal sem subsidiário quando ele couber.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 w:val="0"/>
          <w:i w:val="0"/>
          <w:sz w:val="20"/>
        </w:rPr>
        <w:t xml:space="preserve">Inventar fato, valor ou número de processo — faltando dado, usar </w:t>
      </w:r>
      <w:r>
        <w:rPr>
          <w:rFonts w:ascii="Consolas" w:hAnsi="Consolas" w:eastAsia="Consolas"/>
          <w:b w:val="0"/>
          <w:i w:val="0"/>
          <w:color w:val="555555"/>
          <w:sz w:val="19"/>
        </w:rPr>
        <w:t>[FALTA: descrição do dado]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Reproduzir os erros de digitação do acervo.</w:t>
      </w:r>
      <w:r>
        <w:rPr>
          <w:rFonts w:ascii="Verdana" w:hAnsi="Verdana" w:eastAsia="Verdana"/>
          <w:b w:val="0"/>
          <w:i w:val="0"/>
          <w:sz w:val="20"/>
        </w:rPr>
        <w:t xml:space="preserve"> Os originais contêm, entre outros: "realialidade", "protejê-lo", "espoco", "das horas extras compensatórias", "intervalos mínimos de intrajornada, intrajornada" (repetição indevida), "a rés", "conforme do artigo 457". O motor de geração </w:t>
      </w:r>
      <w:r>
        <w:rPr>
          <w:rFonts w:ascii="Verdana" w:hAnsi="Verdana" w:eastAsia="Verdana"/>
          <w:b/>
          <w:i w:val="0"/>
          <w:sz w:val="20"/>
        </w:rPr>
        <w:t>não</w:t>
      </w:r>
      <w:r>
        <w:rPr>
          <w:rFonts w:ascii="Verdana" w:hAnsi="Verdana" w:eastAsia="Verdana"/>
          <w:b w:val="0"/>
          <w:i w:val="0"/>
          <w:sz w:val="20"/>
        </w:rPr>
        <w:t xml:space="preserve"> deve replicá-los.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9. Jornada declarada — cuidado técnico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O acervo declara jornadas fixas e altas ("18 horas por dia", "das 04h às 22h com 20 min de intervalo"). Isso é eficaz retoricamente, mas </w:t>
      </w:r>
      <w:r>
        <w:rPr>
          <w:rFonts w:ascii="Verdana" w:hAnsi="Verdana" w:eastAsia="Verdana"/>
          <w:b/>
          <w:i w:val="0"/>
          <w:sz w:val="20"/>
        </w:rPr>
        <w:t>abre flanco</w:t>
      </w:r>
      <w:r>
        <w:rPr>
          <w:rFonts w:ascii="Verdana" w:hAnsi="Verdana" w:eastAsia="Verdana"/>
          <w:b w:val="0"/>
          <w:i w:val="0"/>
          <w:sz w:val="20"/>
        </w:rPr>
        <w:t>: a Súmula 338, III, do TST, que o escritório usa para invalidar cartões "britânicos" da ré, pode ser voltada contra o autor quando a jornada da inicial é uniforme demais.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Recomendação</w:t>
      </w:r>
      <w:r>
        <w:rPr>
          <w:rFonts w:ascii="Verdana" w:hAnsi="Verdana" w:eastAsia="Verdana"/>
          <w:b w:val="0"/>
          <w:i w:val="0"/>
          <w:sz w:val="20"/>
        </w:rPr>
        <w:t xml:space="preserve">: descrever jornada </w:t>
      </w:r>
      <w:r>
        <w:rPr>
          <w:rFonts w:ascii="Verdana" w:hAnsi="Verdana" w:eastAsia="Verdana"/>
          <w:b/>
          <w:i w:val="0"/>
          <w:sz w:val="20"/>
        </w:rPr>
        <w:t>variável com faixa</w:t>
      </w:r>
      <w:r>
        <w:rPr>
          <w:rFonts w:ascii="Verdana" w:hAnsi="Verdana" w:eastAsia="Verdana"/>
          <w:b w:val="0"/>
          <w:i w:val="0"/>
          <w:sz w:val="20"/>
        </w:rPr>
        <w:t xml:space="preserve"> e ancorar em dias e sequências concretas, não em um número redondo repetido para todo o contrato.</w:t>
      </w:r>
    </w:p>
    <w:p>
      <w:r>
        <w:br w:type="page"/>
      </w:r>
    </w:p>
    <w:p>
      <w:pPr>
        <w:spacing w:before="0" w:after="4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20"/>
        </w:rPr>
        <w:t>PARTE V</w:t>
      </w:r>
    </w:p>
    <w:p>
      <w:pPr>
        <w:spacing w:before="0" w:after="240" w:line="276" w:lineRule="auto"/>
        <w:jc w:val="left"/>
        <w:pBdr>
          <w:bottom w:val="single" w:sz="12" w:space="4" w:color="CCA862"/>
        </w:pBdr>
      </w:pPr>
      <w:r>
        <w:rPr>
          <w:rFonts w:ascii="Verdana" w:hAnsi="Verdana" w:eastAsia="Verdana"/>
          <w:b/>
          <w:i w:val="0"/>
          <w:color w:val="1F201F"/>
          <w:sz w:val="36"/>
        </w:rPr>
        <w:t>JURIMETRIA INTERNA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Por que este arquivo existe vazio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A mineração do acervo respondeu </w:t>
      </w:r>
      <w:r>
        <w:rPr>
          <w:rFonts w:ascii="Verdana" w:hAnsi="Verdana" w:eastAsia="Verdana"/>
          <w:b/>
          <w:i w:val="0"/>
          <w:sz w:val="20"/>
        </w:rPr>
        <w:t>o que o escritório pede</w:t>
      </w:r>
      <w:r>
        <w:rPr>
          <w:rFonts w:ascii="Verdana" w:hAnsi="Verdana" w:eastAsia="Verdana"/>
          <w:b w:val="0"/>
          <w:i w:val="0"/>
          <w:sz w:val="20"/>
        </w:rPr>
        <w:t xml:space="preserve"> e </w:t>
      </w:r>
      <w:r>
        <w:rPr>
          <w:rFonts w:ascii="Verdana" w:hAnsi="Verdana" w:eastAsia="Verdana"/>
          <w:b/>
          <w:i w:val="0"/>
          <w:sz w:val="20"/>
        </w:rPr>
        <w:t>como pede</w:t>
      </w:r>
      <w:r>
        <w:rPr>
          <w:rFonts w:ascii="Verdana" w:hAnsi="Verdana" w:eastAsia="Verdana"/>
          <w:b w:val="0"/>
          <w:i w:val="0"/>
          <w:sz w:val="20"/>
        </w:rPr>
        <w:t xml:space="preserve">, mas não consegue responder </w:t>
      </w:r>
      <w:r>
        <w:rPr>
          <w:rFonts w:ascii="Verdana" w:hAnsi="Verdana" w:eastAsia="Verdana"/>
          <w:b/>
          <w:i w:val="0"/>
          <w:sz w:val="20"/>
        </w:rPr>
        <w:t>o que o escritório ganha</w:t>
      </w:r>
      <w:r>
        <w:rPr>
          <w:rFonts w:ascii="Verdana" w:hAnsi="Verdana" w:eastAsia="Verdana"/>
          <w:b w:val="0"/>
          <w:i w:val="0"/>
          <w:sz w:val="20"/>
        </w:rPr>
        <w:t>. As sentenças e acórdãos existem no servidor dispersos por pasta de caso (</w:t>
      </w:r>
      <w:r>
        <w:rPr>
          <w:rFonts w:ascii="Consolas" w:hAnsi="Consolas" w:eastAsia="Consolas"/>
          <w:b w:val="0"/>
          <w:i w:val="0"/>
          <w:color w:val="555555"/>
          <w:sz w:val="19"/>
        </w:rPr>
        <w:t>1 documentos/&lt;nº&gt;</w:t>
      </w:r>
      <w:r>
        <w:rPr>
          <w:rFonts w:ascii="Verdana" w:hAnsi="Verdana" w:eastAsia="Verdana"/>
          <w:b w:val="0"/>
          <w:i w:val="0"/>
          <w:sz w:val="20"/>
        </w:rPr>
        <w:t>), sem vínculo explícito com a tese julgada. Sem esse vínculo não há taxa de êxito confiável — e sem taxa de êxito a precificação e a decisão de aceitar o caso continuam baseadas em intuição.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>Este é o dado de maior valor que ainda falta, e só se constrói a partir de agora, com registro disciplinado.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Como registrar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Uma linha por </w:t>
      </w:r>
      <w:r>
        <w:rPr>
          <w:rFonts w:ascii="Verdana" w:hAnsi="Verdana" w:eastAsia="Verdana"/>
          <w:b/>
          <w:i w:val="0"/>
          <w:sz w:val="20"/>
        </w:rPr>
        <w:t>tese julgada</w:t>
      </w:r>
      <w:r>
        <w:rPr>
          <w:rFonts w:ascii="Verdana" w:hAnsi="Verdana" w:eastAsia="Verdana"/>
          <w:b w:val="0"/>
          <w:i w:val="0"/>
          <w:sz w:val="20"/>
        </w:rPr>
        <w:t xml:space="preserve"> (não por processo). Um processo com 12 teses gera 12 linhas — é isso que permite calcular a taxa por tese.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c>
          <w:tcPr>
            <w:tcW w:type="dxa" w:w="732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Data</w:t>
            </w:r>
          </w:p>
        </w:tc>
        <w:tc>
          <w:tcPr>
            <w:tcW w:type="dxa" w:w="732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Processo</w:t>
            </w:r>
          </w:p>
        </w:tc>
        <w:tc>
          <w:tcPr>
            <w:tcW w:type="dxa" w:w="732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Vara/TRT</w:t>
            </w:r>
          </w:p>
        </w:tc>
        <w:tc>
          <w:tcPr>
            <w:tcW w:type="dxa" w:w="823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Reclamada</w:t>
            </w:r>
          </w:p>
        </w:tc>
        <w:tc>
          <w:tcPr>
            <w:tcW w:type="dxa" w:w="732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Tese</w:t>
            </w:r>
          </w:p>
        </w:tc>
        <w:tc>
          <w:tcPr>
            <w:tcW w:type="dxa" w:w="823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Resultado</w:t>
            </w:r>
          </w:p>
        </w:tc>
        <w:tc>
          <w:tcPr>
            <w:tcW w:type="dxa" w:w="1280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Valor deferido</w:t>
            </w:r>
          </w:p>
        </w:tc>
        <w:tc>
          <w:tcPr>
            <w:tcW w:type="dxa" w:w="1737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Fundamento decisivo</w:t>
            </w:r>
          </w:p>
        </w:tc>
        <w:tc>
          <w:tcPr>
            <w:tcW w:type="dxa" w:w="914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732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732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823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732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823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1280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1737"/>
          </w:tcPr>
          <w:p>
            <w:pPr>
              <w:spacing w:before="40" w:after="40" w:line="240" w:lineRule="auto"/>
            </w:pPr>
            <w:r/>
          </w:p>
        </w:tc>
        <w:tc>
          <w:tcPr>
            <w:tcW w:type="dxa" w:w="914"/>
          </w:tcPr>
          <w:p>
            <w:pPr>
              <w:spacing w:before="40" w:after="40" w:line="240" w:lineRule="auto"/>
            </w:pPr>
            <w:r/>
          </w:p>
        </w:tc>
      </w:tr>
    </w:tbl>
    <w:p>
      <w:pPr>
        <w:spacing w:after="8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Campos: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Tese</w:t>
      </w:r>
      <w:r>
        <w:rPr>
          <w:rFonts w:ascii="Verdana" w:hAnsi="Verdana" w:eastAsia="Verdana"/>
          <w:b w:val="0"/>
          <w:i w:val="0"/>
          <w:sz w:val="20"/>
        </w:rPr>
        <w:t xml:space="preserve"> — usar o código do banco (T01…T23).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Resultado</w:t>
      </w:r>
      <w:r>
        <w:rPr>
          <w:rFonts w:ascii="Verdana" w:hAnsi="Verdana" w:eastAsia="Verdana"/>
          <w:b w:val="0"/>
          <w:i w:val="0"/>
          <w:sz w:val="20"/>
        </w:rPr>
        <w:t xml:space="preserve"> — </w:t>
      </w:r>
      <w:r>
        <w:rPr>
          <w:rFonts w:ascii="Consolas" w:hAnsi="Consolas" w:eastAsia="Consolas"/>
          <w:b w:val="0"/>
          <w:i w:val="0"/>
          <w:color w:val="555555"/>
          <w:sz w:val="19"/>
        </w:rPr>
        <w:t>DEFERIDA</w:t>
      </w:r>
      <w:r>
        <w:rPr>
          <w:rFonts w:ascii="Verdana" w:hAnsi="Verdana" w:eastAsia="Verdana"/>
          <w:b w:val="0"/>
          <w:i w:val="0"/>
          <w:sz w:val="20"/>
        </w:rPr>
        <w:t xml:space="preserve"> · </w:t>
      </w:r>
      <w:r>
        <w:rPr>
          <w:rFonts w:ascii="Consolas" w:hAnsi="Consolas" w:eastAsia="Consolas"/>
          <w:b w:val="0"/>
          <w:i w:val="0"/>
          <w:color w:val="555555"/>
          <w:sz w:val="19"/>
        </w:rPr>
        <w:t>DEFERIDA EM PARTE</w:t>
      </w:r>
      <w:r>
        <w:rPr>
          <w:rFonts w:ascii="Verdana" w:hAnsi="Verdana" w:eastAsia="Verdana"/>
          <w:b w:val="0"/>
          <w:i w:val="0"/>
          <w:sz w:val="20"/>
        </w:rPr>
        <w:t xml:space="preserve"> · </w:t>
      </w:r>
      <w:r>
        <w:rPr>
          <w:rFonts w:ascii="Consolas" w:hAnsi="Consolas" w:eastAsia="Consolas"/>
          <w:b w:val="0"/>
          <w:i w:val="0"/>
          <w:color w:val="555555"/>
          <w:sz w:val="19"/>
        </w:rPr>
        <w:t>INDEFERIDA</w:t>
      </w:r>
      <w:r>
        <w:rPr>
          <w:rFonts w:ascii="Verdana" w:hAnsi="Verdana" w:eastAsia="Verdana"/>
          <w:b w:val="0"/>
          <w:i w:val="0"/>
          <w:sz w:val="20"/>
        </w:rPr>
        <w:t xml:space="preserve"> · </w:t>
      </w:r>
      <w:r>
        <w:rPr>
          <w:rFonts w:ascii="Consolas" w:hAnsi="Consolas" w:eastAsia="Consolas"/>
          <w:b w:val="0"/>
          <w:i w:val="0"/>
          <w:color w:val="555555"/>
          <w:sz w:val="19"/>
        </w:rPr>
        <w:t>ACORDO</w:t>
      </w:r>
      <w:r>
        <w:rPr>
          <w:rFonts w:ascii="Verdana" w:hAnsi="Verdana" w:eastAsia="Verdana"/>
          <w:b w:val="0"/>
          <w:i w:val="0"/>
          <w:sz w:val="20"/>
        </w:rPr>
        <w:t xml:space="preserve"> · </w:t>
      </w:r>
      <w:r>
        <w:rPr>
          <w:rFonts w:ascii="Consolas" w:hAnsi="Consolas" w:eastAsia="Consolas"/>
          <w:b w:val="0"/>
          <w:i w:val="0"/>
          <w:color w:val="555555"/>
          <w:sz w:val="19"/>
        </w:rPr>
        <w:t>PREJUDICADA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Fundamento decisivo</w:t>
      </w:r>
      <w:r>
        <w:rPr>
          <w:rFonts w:ascii="Verdana" w:hAnsi="Verdana" w:eastAsia="Verdana"/>
          <w:b w:val="0"/>
          <w:i w:val="0"/>
          <w:sz w:val="20"/>
        </w:rPr>
        <w:t xml:space="preserve"> — em uma linha, o que efetivamente decidiu (ex.: "controles válidos, autor não apontou diferenças"; "prova testemunhal do mesmo setor"). Este campo é o mais valioso: é o que vira recomendação estratégica.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•  </w:t>
      </w:r>
      <w:r>
        <w:rPr>
          <w:rFonts w:ascii="Verdana" w:hAnsi="Verdana" w:eastAsia="Verdana"/>
          <w:b/>
          <w:i w:val="0"/>
          <w:sz w:val="20"/>
        </w:rPr>
        <w:t>Observação</w:t>
      </w:r>
      <w:r>
        <w:rPr>
          <w:rFonts w:ascii="Verdana" w:hAnsi="Verdana" w:eastAsia="Verdana"/>
          <w:b w:val="0"/>
          <w:i w:val="0"/>
          <w:sz w:val="20"/>
        </w:rPr>
        <w:t xml:space="preserve"> — instância, se houve reforma em 2º grau, se a tese foi decidida por ônus da prova.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Indicadores a extrair quando houver massa crítica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1.  </w:t>
      </w:r>
      <w:r>
        <w:rPr>
          <w:rFonts w:ascii="Verdana" w:hAnsi="Verdana" w:eastAsia="Verdana"/>
          <w:b/>
          <w:i w:val="0"/>
          <w:sz w:val="20"/>
        </w:rPr>
        <w:t>Taxa de êxito por tese</w:t>
      </w:r>
      <w:r>
        <w:rPr>
          <w:rFonts w:ascii="Verdana" w:hAnsi="Verdana" w:eastAsia="Verdana"/>
          <w:b w:val="0"/>
          <w:i w:val="0"/>
          <w:sz w:val="20"/>
        </w:rPr>
        <w:t xml:space="preserve"> — quais teses sustentam o valor do caso e quais são ruído no rol de pedidos.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2.  </w:t>
      </w:r>
      <w:r>
        <w:rPr>
          <w:rFonts w:ascii="Verdana" w:hAnsi="Verdana" w:eastAsia="Verdana"/>
          <w:b/>
          <w:i w:val="0"/>
          <w:sz w:val="20"/>
        </w:rPr>
        <w:t>Taxa de êxito por reclamada</w:t>
      </w:r>
      <w:r>
        <w:rPr>
          <w:rFonts w:ascii="Verdana" w:hAnsi="Verdana" w:eastAsia="Verdana"/>
          <w:b w:val="0"/>
          <w:i w:val="0"/>
          <w:sz w:val="20"/>
        </w:rPr>
        <w:t xml:space="preserve"> — Fraore, Supricel e Matsuda já têm volume no acervo para isso.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3.  </w:t>
      </w:r>
      <w:r>
        <w:rPr>
          <w:rFonts w:ascii="Verdana" w:hAnsi="Verdana" w:eastAsia="Verdana"/>
          <w:b/>
          <w:i w:val="0"/>
          <w:sz w:val="20"/>
        </w:rPr>
        <w:t>Taxa por vara/TRT</w:t>
      </w:r>
      <w:r>
        <w:rPr>
          <w:rFonts w:ascii="Verdana" w:hAnsi="Verdana" w:eastAsia="Verdana"/>
          <w:b w:val="0"/>
          <w:i w:val="0"/>
          <w:sz w:val="20"/>
        </w:rPr>
        <w:t xml:space="preserve"> — especialmente relevante em T16 (dano existencial), onde há divisão real de corrente entre *in re ipsa* e exigência de prova concreta.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4.  </w:t>
      </w:r>
      <w:r>
        <w:rPr>
          <w:rFonts w:ascii="Verdana" w:hAnsi="Verdana" w:eastAsia="Verdana"/>
          <w:b/>
          <w:i w:val="0"/>
          <w:sz w:val="20"/>
        </w:rPr>
        <w:t>Valor médio deferido por tese</w:t>
      </w:r>
      <w:r>
        <w:rPr>
          <w:rFonts w:ascii="Verdana" w:hAnsi="Verdana" w:eastAsia="Verdana"/>
          <w:b w:val="0"/>
          <w:i w:val="0"/>
          <w:sz w:val="20"/>
        </w:rPr>
        <w:t xml:space="preserve"> — insumo direto da precificação do intake.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5.  </w:t>
      </w:r>
      <w:r>
        <w:rPr>
          <w:rFonts w:ascii="Verdana" w:hAnsi="Verdana" w:eastAsia="Verdana"/>
          <w:b/>
          <w:i w:val="0"/>
          <w:sz w:val="20"/>
        </w:rPr>
        <w:t>Momento do acordo x valor</w:t>
      </w:r>
      <w:r>
        <w:rPr>
          <w:rFonts w:ascii="Verdana" w:hAnsi="Verdana" w:eastAsia="Verdana"/>
          <w:b w:val="0"/>
          <w:i w:val="0"/>
          <w:sz w:val="20"/>
        </w:rPr>
        <w:t xml:space="preserve"> — o acervo mostra que o escritório fecha acordos (há termos e minutas); falta saber em que fase e com que deságio.</w:t>
      </w: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Fonte para o preenchimento retroativo (opcional)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Se o escritório quiser reconstruir o histórico em vez de começar do zero, o caminho é: </w:t>
      </w:r>
      <w:r>
        <w:rPr>
          <w:rFonts w:ascii="Consolas" w:hAnsi="Consolas" w:eastAsia="Consolas"/>
          <w:b w:val="0"/>
          <w:i w:val="0"/>
          <w:color w:val="555555"/>
          <w:sz w:val="19"/>
        </w:rPr>
        <w:t>\\Servidor\d\Advocacia Pascoal\1 documentos\&lt;nº do caso&gt;</w:t>
      </w:r>
      <w:r>
        <w:rPr>
          <w:rFonts w:ascii="Verdana" w:hAnsi="Verdana" w:eastAsia="Verdana"/>
          <w:b w:val="0"/>
          <w:i w:val="0"/>
          <w:sz w:val="20"/>
        </w:rPr>
        <w:t xml:space="preserve"> — cada pasta de caso contém os documentos daquele processo, incluindo sentenças e acórdãos. São 2.019 pastas; um recorte pelas 38 do caso Fraore e 11 do Supricel já daria base estatística inicial para as teses do Kit A.</w:t>
      </w:r>
    </w:p>
    <w:p>
      <w:r>
        <w:br w:type="page"/>
      </w:r>
    </w:p>
    <w:p>
      <w:pPr>
        <w:spacing w:before="0" w:after="40" w:line="276" w:lineRule="auto"/>
        <w:jc w:val="left"/>
      </w:pPr>
      <w:r>
        <w:rPr>
          <w:rFonts w:ascii="Verdana" w:hAnsi="Verdana" w:eastAsia="Verdana"/>
          <w:b/>
          <w:i w:val="0"/>
          <w:color w:val="CCA862"/>
          <w:sz w:val="20"/>
        </w:rPr>
        <w:t>PARTE VI</w:t>
      </w:r>
    </w:p>
    <w:p>
      <w:pPr>
        <w:spacing w:before="0" w:after="240" w:line="276" w:lineRule="auto"/>
        <w:jc w:val="left"/>
        <w:pBdr>
          <w:bottom w:val="single" w:sz="12" w:space="4" w:color="CCA862"/>
        </w:pBdr>
      </w:pPr>
      <w:r>
        <w:rPr>
          <w:rFonts w:ascii="Verdana" w:hAnsi="Verdana" w:eastAsia="Verdana"/>
          <w:b/>
          <w:i w:val="0"/>
          <w:color w:val="1F201F"/>
          <w:sz w:val="36"/>
        </w:rPr>
        <w:t>ALERTAS DE ATUALIZAÇÃO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O corpus que alimenta este banco é majoritariamente </w:t>
      </w:r>
      <w:r>
        <w:rPr>
          <w:rFonts w:ascii="Verdana" w:hAnsi="Verdana" w:eastAsia="Verdana"/>
          <w:b/>
          <w:i w:val="0"/>
          <w:sz w:val="20"/>
        </w:rPr>
        <w:t>anterior à Reforma Trabalhista (Lei 13.467/2017)</w:t>
      </w:r>
      <w:r>
        <w:rPr>
          <w:rFonts w:ascii="Verdana" w:hAnsi="Verdana" w:eastAsia="Verdana"/>
          <w:b w:val="0"/>
          <w:i w:val="0"/>
          <w:sz w:val="20"/>
        </w:rPr>
        <w:t xml:space="preserve"> — a Reforma aparece em apenas 11 das 136 peças. Os blocos de redação são excelentes como estrutura e como tom, mas </w:t>
      </w:r>
      <w:r>
        <w:rPr>
          <w:rFonts w:ascii="Verdana" w:hAnsi="Verdana" w:eastAsia="Verdana"/>
          <w:b/>
          <w:i w:val="0"/>
          <w:sz w:val="20"/>
        </w:rPr>
        <w:t>vários fundamentos precisam de conferência</w:t>
      </w:r>
      <w:r>
        <w:rPr>
          <w:rFonts w:ascii="Verdana" w:hAnsi="Verdana" w:eastAsia="Verdana"/>
          <w:b w:val="0"/>
          <w:i w:val="0"/>
          <w:sz w:val="20"/>
        </w:rPr>
        <w:t xml:space="preserve"> antes de reuso.</w:t>
      </w:r>
    </w:p>
    <w:p>
      <w:pPr>
        <w:spacing w:before="40" w:after="80" w:line="276" w:lineRule="auto"/>
        <w:ind w:left="680"/>
        <w:jc w:val="both"/>
        <w:pBdr>
          <w:bottom w:val="single" w:sz="2" w:space="4" w:color="FFFFFF"/>
        </w:pBdr>
      </w:pPr>
      <w:r>
        <w:rPr>
          <w:rFonts w:ascii="Verdana" w:hAnsi="Verdana" w:eastAsia="Verdana"/>
          <w:b w:val="0"/>
          <w:i/>
          <w:color w:val="333333"/>
          <w:sz w:val="19"/>
        </w:rPr>
        <w:t xml:space="preserve">Os itens abaixo foram levantados por análise de texto do acervo, não por parecer jurídico. Cada um é um </w:t>
      </w:r>
      <w:r>
        <w:rPr>
          <w:rFonts w:ascii="Verdana" w:hAnsi="Verdana" w:eastAsia="Verdana"/>
          <w:b/>
          <w:i/>
          <w:color w:val="333333"/>
          <w:sz w:val="19"/>
        </w:rPr>
        <w:t>ponto a conferir</w:t>
      </w:r>
      <w:r>
        <w:rPr>
          <w:rFonts w:ascii="Verdana" w:hAnsi="Verdana" w:eastAsia="Verdana"/>
          <w:b w:val="0"/>
          <w:i/>
          <w:color w:val="333333"/>
          <w:sz w:val="19"/>
        </w:rPr>
        <w:t>, não uma conclusão. A decisão é do advogado responsável.</w:t>
      </w:r>
    </w:p>
    <w:p>
      <w:pPr>
        <w:spacing w:after="40"/>
      </w:pP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 xml:space="preserve">A1 — Diárias e o critério dos 50% (T03) — </w:t>
      </w:r>
      <w:r>
        <w:rPr>
          <w:rFonts w:ascii="Verdana" w:hAnsi="Verdana" w:eastAsia="Verdana"/>
          <w:b/>
          <w:i w:val="0"/>
          <w:color w:val="1F201F"/>
          <w:sz w:val="23"/>
        </w:rPr>
        <w:t>risco alto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O que o acervo diz</w:t>
      </w:r>
      <w:r>
        <w:rPr>
          <w:rFonts w:ascii="Verdana" w:hAnsi="Verdana" w:eastAsia="Verdana"/>
          <w:b w:val="0"/>
          <w:i w:val="0"/>
          <w:sz w:val="20"/>
        </w:rPr>
        <w:t>: invoca o art. 457, §2º, CLT e o "Enunciado 101 do TST" para sustentar que a diária que excede 50% do salário tem natureza salarial e integra a remuneração.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Problema</w:t>
      </w:r>
      <w:r>
        <w:rPr>
          <w:rFonts w:ascii="Verdana" w:hAnsi="Verdana" w:eastAsia="Verdana"/>
          <w:b w:val="0"/>
          <w:i w:val="0"/>
          <w:sz w:val="20"/>
        </w:rPr>
        <w:t xml:space="preserve">: a </w:t>
      </w:r>
      <w:r>
        <w:rPr>
          <w:rFonts w:ascii="Verdana" w:hAnsi="Verdana" w:eastAsia="Verdana"/>
          <w:b/>
          <w:i w:val="0"/>
          <w:sz w:val="20"/>
        </w:rPr>
        <w:t>Lei 13.467/2017 alterou o art. 457, §2º, da CLT</w:t>
      </w:r>
      <w:r>
        <w:rPr>
          <w:rFonts w:ascii="Verdana" w:hAnsi="Verdana" w:eastAsia="Verdana"/>
          <w:b w:val="0"/>
          <w:i w:val="0"/>
          <w:sz w:val="20"/>
        </w:rPr>
        <w:t>. O critério dos 50% que sustentava a tese não subsiste na redação atual, e a Súmula 101 do TST foi construída sobre a redação anterior.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Ação</w:t>
      </w:r>
      <w:r>
        <w:rPr>
          <w:rFonts w:ascii="Verdana" w:hAnsi="Verdana" w:eastAsia="Verdana"/>
          <w:b w:val="0"/>
          <w:i w:val="0"/>
          <w:sz w:val="20"/>
        </w:rPr>
        <w:t xml:space="preserve">: para contratos ou períodos </w:t>
      </w:r>
      <w:r>
        <w:rPr>
          <w:rFonts w:ascii="Verdana" w:hAnsi="Verdana" w:eastAsia="Verdana"/>
          <w:b/>
          <w:i w:val="0"/>
          <w:sz w:val="20"/>
        </w:rPr>
        <w:t>posteriores a 11/11/2017</w:t>
      </w:r>
      <w:r>
        <w:rPr>
          <w:rFonts w:ascii="Verdana" w:hAnsi="Verdana" w:eastAsia="Verdana"/>
          <w:b w:val="0"/>
          <w:i w:val="0"/>
          <w:sz w:val="20"/>
        </w:rPr>
        <w:t xml:space="preserve">, não reutilizar o bloco de integração pelos 50% sem reformulação. A tese de </w:t>
      </w:r>
      <w:r>
        <w:rPr>
          <w:rFonts w:ascii="Verdana" w:hAnsi="Verdana" w:eastAsia="Verdana"/>
          <w:b/>
          <w:i w:val="0"/>
          <w:sz w:val="20"/>
        </w:rPr>
        <w:t>inadimplemento</w:t>
      </w:r>
      <w:r>
        <w:rPr>
          <w:rFonts w:ascii="Verdana" w:hAnsi="Verdana" w:eastAsia="Verdana"/>
          <w:b w:val="0"/>
          <w:i w:val="0"/>
          <w:sz w:val="20"/>
        </w:rPr>
        <w:t xml:space="preserve"> da diária prevista na CCT (a outra metade de T03) continua íntegra — é por ali que o pedido deve seguir.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Observação secundária</w:t>
      </w:r>
      <w:r>
        <w:rPr>
          <w:rFonts w:ascii="Verdana" w:hAnsi="Verdana" w:eastAsia="Verdana"/>
          <w:b w:val="0"/>
          <w:i w:val="0"/>
          <w:sz w:val="20"/>
        </w:rPr>
        <w:t xml:space="preserve">: o acervo escreve "Enunciado 101 do TST". A nomenclatura atual é </w:t>
      </w:r>
      <w:r>
        <w:rPr>
          <w:rFonts w:ascii="Verdana" w:hAnsi="Verdana" w:eastAsia="Verdana"/>
          <w:b/>
          <w:i w:val="0"/>
          <w:sz w:val="20"/>
        </w:rPr>
        <w:t>Súmula 101 do TST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 xml:space="preserve">A2 — Intervalo intrajornada e reflexos (T10) — </w:t>
      </w:r>
      <w:r>
        <w:rPr>
          <w:rFonts w:ascii="Verdana" w:hAnsi="Verdana" w:eastAsia="Verdana"/>
          <w:b/>
          <w:i w:val="0"/>
          <w:color w:val="1F201F"/>
          <w:sz w:val="23"/>
        </w:rPr>
        <w:t>risco alto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O que o acervo diz</w:t>
      </w:r>
      <w:r>
        <w:rPr>
          <w:rFonts w:ascii="Verdana" w:hAnsi="Verdana" w:eastAsia="Verdana"/>
          <w:b w:val="0"/>
          <w:i w:val="0"/>
          <w:sz w:val="20"/>
        </w:rPr>
        <w:t>: pede o intervalo suprimido como hora extra com reflexos, e argumenta que a verba tem natureza indenizatória mas ainda assim integra o cálculo das demais.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Problema</w:t>
      </w:r>
      <w:r>
        <w:rPr>
          <w:rFonts w:ascii="Verdana" w:hAnsi="Verdana" w:eastAsia="Verdana"/>
          <w:b w:val="0"/>
          <w:i w:val="0"/>
          <w:sz w:val="20"/>
        </w:rPr>
        <w:t xml:space="preserve">: a </w:t>
      </w:r>
      <w:r>
        <w:rPr>
          <w:rFonts w:ascii="Verdana" w:hAnsi="Verdana" w:eastAsia="Verdana"/>
          <w:b/>
          <w:i w:val="0"/>
          <w:sz w:val="20"/>
        </w:rPr>
        <w:t>Lei 13.467/2017</w:t>
      </w:r>
      <w:r>
        <w:rPr>
          <w:rFonts w:ascii="Verdana" w:hAnsi="Verdana" w:eastAsia="Verdana"/>
          <w:b w:val="0"/>
          <w:i w:val="0"/>
          <w:sz w:val="20"/>
        </w:rPr>
        <w:t xml:space="preserve"> deu nova redação ao art. 71, §4º, da CLT — passou a determinar o pagamento </w:t>
      </w:r>
      <w:r>
        <w:rPr>
          <w:rFonts w:ascii="Verdana" w:hAnsi="Verdana" w:eastAsia="Verdana"/>
          <w:b/>
          <w:i w:val="0"/>
          <w:sz w:val="20"/>
        </w:rPr>
        <w:t>apenas do período suprimido</w:t>
      </w:r>
      <w:r>
        <w:rPr>
          <w:rFonts w:ascii="Verdana" w:hAnsi="Verdana" w:eastAsia="Verdana"/>
          <w:b w:val="0"/>
          <w:i w:val="0"/>
          <w:sz w:val="20"/>
        </w:rPr>
        <w:t xml:space="preserve">, com natureza </w:t>
      </w:r>
      <w:r>
        <w:rPr>
          <w:rFonts w:ascii="Verdana" w:hAnsi="Verdana" w:eastAsia="Verdana"/>
          <w:b/>
          <w:i w:val="0"/>
          <w:sz w:val="20"/>
        </w:rPr>
        <w:t>indenizatória</w:t>
      </w:r>
      <w:r>
        <w:rPr>
          <w:rFonts w:ascii="Verdana" w:hAnsi="Verdana" w:eastAsia="Verdana"/>
          <w:b w:val="0"/>
          <w:i w:val="0"/>
          <w:sz w:val="20"/>
        </w:rPr>
        <w:t>. A Súmula 437 do TST reflete o regime anterior.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Ação</w:t>
      </w:r>
      <w:r>
        <w:rPr>
          <w:rFonts w:ascii="Verdana" w:hAnsi="Verdana" w:eastAsia="Verdana"/>
          <w:b w:val="0"/>
          <w:i w:val="0"/>
          <w:sz w:val="20"/>
        </w:rPr>
        <w:t>: segmentar o pedido por período contratual (antes/depois de 11/11/2017) e ajustar o pedido de reflexos ao regime de cada trecho.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 xml:space="preserve">A3 — Tempo de espera e a modulação da ADI 5322 (T08) — </w:t>
      </w:r>
      <w:r>
        <w:rPr>
          <w:rFonts w:ascii="Verdana" w:hAnsi="Verdana" w:eastAsia="Verdana"/>
          <w:b/>
          <w:i w:val="0"/>
          <w:color w:val="1F201F"/>
          <w:sz w:val="23"/>
        </w:rPr>
        <w:t>risco alto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O que o acervo diz</w:t>
      </w:r>
      <w:r>
        <w:rPr>
          <w:rFonts w:ascii="Verdana" w:hAnsi="Verdana" w:eastAsia="Verdana"/>
          <w:b w:val="0"/>
          <w:i w:val="0"/>
          <w:sz w:val="20"/>
        </w:rPr>
        <w:t>: pede as horas em fila como extras e, subsidiariamente, como tempo de espera na forma do art. 235-C, §9º, da CLT.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Problema</w:t>
      </w:r>
      <w:r>
        <w:rPr>
          <w:rFonts w:ascii="Verdana" w:hAnsi="Verdana" w:eastAsia="Verdana"/>
          <w:b w:val="0"/>
          <w:i w:val="0"/>
          <w:sz w:val="20"/>
        </w:rPr>
        <w:t xml:space="preserve">: a </w:t>
      </w:r>
      <w:r>
        <w:rPr>
          <w:rFonts w:ascii="Verdana" w:hAnsi="Verdana" w:eastAsia="Verdana"/>
          <w:b/>
          <w:i w:val="0"/>
          <w:sz w:val="20"/>
        </w:rPr>
        <w:t>ADI 5322/STF</w:t>
      </w:r>
      <w:r>
        <w:rPr>
          <w:rFonts w:ascii="Verdana" w:hAnsi="Verdana" w:eastAsia="Verdana"/>
          <w:b w:val="0"/>
          <w:i w:val="0"/>
          <w:sz w:val="20"/>
        </w:rPr>
        <w:t xml:space="preserve"> declarou inconstitucional a exclusão do tempo de espera da jornada, </w:t>
      </w:r>
      <w:r>
        <w:rPr>
          <w:rFonts w:ascii="Verdana" w:hAnsi="Verdana" w:eastAsia="Verdana"/>
          <w:b/>
          <w:i w:val="0"/>
          <w:sz w:val="20"/>
        </w:rPr>
        <w:t>com efeitos a partir de 12/07/2023</w:t>
      </w:r>
      <w:r>
        <w:rPr>
          <w:rFonts w:ascii="Verdana" w:hAnsi="Verdana" w:eastAsia="Verdana"/>
          <w:b w:val="0"/>
          <w:i w:val="0"/>
          <w:sz w:val="20"/>
        </w:rPr>
        <w:t>. Isso cria dois regimes dentro de um mesmo contrato longo, e a arquitetura principal/subsidiária deve inverter conforme o período.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Ação</w:t>
      </w:r>
      <w:r>
        <w:rPr>
          <w:rFonts w:ascii="Verdana" w:hAnsi="Verdana" w:eastAsia="Verdana"/>
          <w:b w:val="0"/>
          <w:i w:val="0"/>
          <w:sz w:val="20"/>
        </w:rPr>
        <w:t xml:space="preserve">: </w:t>
      </w:r>
      <w:r>
        <w:rPr>
          <w:rFonts w:ascii="Verdana" w:hAnsi="Verdana" w:eastAsia="Verdana"/>
          <w:b/>
          <w:i w:val="0"/>
          <w:sz w:val="20"/>
        </w:rPr>
        <w:t>sempre segmentar</w:t>
      </w:r>
      <w:r>
        <w:rPr>
          <w:rFonts w:ascii="Verdana" w:hAnsi="Verdana" w:eastAsia="Verdana"/>
          <w:b w:val="0"/>
          <w:i w:val="0"/>
          <w:sz w:val="20"/>
        </w:rPr>
        <w:t xml:space="preserve"> o pedido em dois blocos temporais. Exigir na peça o enfrentamento expresso da ADI 5322 pelo juízo — é matéria recorrente de embargos de declaração.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 xml:space="preserve">A4 — Justiça gratuita e honorários (bloco fixo) — </w:t>
      </w:r>
      <w:r>
        <w:rPr>
          <w:rFonts w:ascii="Verdana" w:hAnsi="Verdana" w:eastAsia="Verdana"/>
          <w:b/>
          <w:i w:val="0"/>
          <w:color w:val="1F201F"/>
          <w:sz w:val="23"/>
        </w:rPr>
        <w:t>risco médio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O que o acervo diz</w:t>
      </w:r>
      <w:r>
        <w:rPr>
          <w:rFonts w:ascii="Verdana" w:hAnsi="Verdana" w:eastAsia="Verdana"/>
          <w:b w:val="0"/>
          <w:i w:val="0"/>
          <w:sz w:val="20"/>
        </w:rPr>
        <w:t>: bloco curto de "pobre na forma da lei", fundado na Lei 5.584/70 e na "Lei 1090/50".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Problemas</w:t>
      </w:r>
      <w:r>
        <w:rPr>
          <w:rFonts w:ascii="Verdana" w:hAnsi="Verdana" w:eastAsia="Verdana"/>
          <w:b w:val="0"/>
          <w:i w:val="0"/>
          <w:sz w:val="20"/>
        </w:rPr>
        <w:t>: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1.  </w:t>
      </w:r>
      <w:r>
        <w:rPr>
          <w:rFonts w:ascii="Verdana" w:hAnsi="Verdana" w:eastAsia="Verdana"/>
          <w:b w:val="0"/>
          <w:i w:val="0"/>
          <w:sz w:val="20"/>
        </w:rPr>
        <w:t xml:space="preserve">A referência correta é à </w:t>
      </w:r>
      <w:r>
        <w:rPr>
          <w:rFonts w:ascii="Verdana" w:hAnsi="Verdana" w:eastAsia="Verdana"/>
          <w:b/>
          <w:i w:val="0"/>
          <w:sz w:val="20"/>
        </w:rPr>
        <w:t>Lei 1.060/50</w:t>
      </w:r>
      <w:r>
        <w:rPr>
          <w:rFonts w:ascii="Verdana" w:hAnsi="Verdana" w:eastAsia="Verdana"/>
          <w:b w:val="0"/>
          <w:i w:val="0"/>
          <w:sz w:val="20"/>
        </w:rPr>
        <w:t xml:space="preserve"> (o acervo grafa "1090/50" em 52 peças — erro de digitação propagado por cópia). A Lei 1.060/50, ademais, foi em grande parte revogada pelo CPC/2015.</w:t>
      </w:r>
    </w:p>
    <w:p>
      <w:pPr>
        <w:spacing w:before="0" w:after="40" w:line="276" w:lineRule="auto"/>
        <w:ind w:left="454"/>
        <w:jc w:val="both"/>
      </w:pPr>
      <w:r>
        <w:rPr>
          <w:rFonts w:ascii="Verdana" w:hAnsi="Verdana" w:eastAsia="Verdana"/>
          <w:b/>
          <w:i w:val="0"/>
          <w:color w:val="CCA862"/>
          <w:sz w:val="20"/>
        </w:rPr>
        <w:t xml:space="preserve">2.  </w:t>
      </w:r>
      <w:r>
        <w:rPr>
          <w:rFonts w:ascii="Verdana" w:hAnsi="Verdana" w:eastAsia="Verdana"/>
          <w:b w:val="0"/>
          <w:i w:val="0"/>
          <w:sz w:val="20"/>
        </w:rPr>
        <w:t xml:space="preserve">O bloco não cita o </w:t>
      </w:r>
      <w:r>
        <w:rPr>
          <w:rFonts w:ascii="Verdana" w:hAnsi="Verdana" w:eastAsia="Verdana"/>
          <w:b/>
          <w:i w:val="0"/>
          <w:sz w:val="20"/>
        </w:rPr>
        <w:t>art. 790, §§3º e 4º, da CLT</w:t>
      </w:r>
      <w:r>
        <w:rPr>
          <w:rFonts w:ascii="Verdana" w:hAnsi="Verdana" w:eastAsia="Verdana"/>
          <w:b w:val="0"/>
          <w:i w:val="0"/>
          <w:sz w:val="20"/>
        </w:rPr>
        <w:t xml:space="preserve"> (redação da Reforma), a </w:t>
      </w:r>
      <w:r>
        <w:rPr>
          <w:rFonts w:ascii="Verdana" w:hAnsi="Verdana" w:eastAsia="Verdana"/>
          <w:b/>
          <w:i w:val="0"/>
          <w:sz w:val="20"/>
        </w:rPr>
        <w:t>Súmula 463, I, do TST</w:t>
      </w:r>
      <w:r>
        <w:rPr>
          <w:rFonts w:ascii="Verdana" w:hAnsi="Verdana" w:eastAsia="Verdana"/>
          <w:b w:val="0"/>
          <w:i w:val="0"/>
          <w:sz w:val="20"/>
        </w:rPr>
        <w:t xml:space="preserve">, nem a </w:t>
      </w:r>
      <w:r>
        <w:rPr>
          <w:rFonts w:ascii="Verdana" w:hAnsi="Verdana" w:eastAsia="Verdana"/>
          <w:b/>
          <w:i w:val="0"/>
          <w:sz w:val="20"/>
        </w:rPr>
        <w:t>ADI 5766/STF</w:t>
      </w:r>
      <w:r>
        <w:rPr>
          <w:rFonts w:ascii="Verdana" w:hAnsi="Verdana" w:eastAsia="Verdana"/>
          <w:b w:val="0"/>
          <w:i w:val="0"/>
          <w:sz w:val="20"/>
        </w:rPr>
        <w:t xml:space="preserve"> — que é justamente o precedente que derrubou a cobrança de honorários periciais e sucumbenciais do beneficiário da gratuidade.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Ação</w:t>
      </w:r>
      <w:r>
        <w:rPr>
          <w:rFonts w:ascii="Verdana" w:hAnsi="Verdana" w:eastAsia="Verdana"/>
          <w:b w:val="0"/>
          <w:i w:val="0"/>
          <w:sz w:val="20"/>
        </w:rPr>
        <w:t>: substituir o bloco antigo pelo fundamento atual. A ADI 5766 aparece em apenas 4 peças, quando deveria estar em todas.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 xml:space="preserve">A5 — Art. 235-D e o descanso de 35 horas (T19) — </w:t>
      </w:r>
      <w:r>
        <w:rPr>
          <w:rFonts w:ascii="Verdana" w:hAnsi="Verdana" w:eastAsia="Verdana"/>
          <w:b/>
          <w:i w:val="0"/>
          <w:color w:val="1F201F"/>
          <w:sz w:val="23"/>
        </w:rPr>
        <w:t>lacuna, não erro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Não há tópico autônomo de descanso de 35 horas em nenhuma das 136 peças, embora seja hoje uma das teses mais fortes do nicho após a </w:t>
      </w:r>
      <w:r>
        <w:rPr>
          <w:rFonts w:ascii="Verdana" w:hAnsi="Verdana" w:eastAsia="Verdana"/>
          <w:b/>
          <w:i w:val="0"/>
          <w:sz w:val="20"/>
        </w:rPr>
        <w:t>ADI 5322</w:t>
      </w:r>
      <w:r>
        <w:rPr>
          <w:rFonts w:ascii="Verdana" w:hAnsi="Verdana" w:eastAsia="Verdana"/>
          <w:b w:val="0"/>
          <w:i w:val="0"/>
          <w:sz w:val="20"/>
        </w:rPr>
        <w:t xml:space="preserve"> (que declarou inconstitucional o fracionamento/acúmulo do repouso e a fruição "no retorno à base ou domicílio").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Ação</w:t>
      </w:r>
      <w:r>
        <w:rPr>
          <w:rFonts w:ascii="Verdana" w:hAnsi="Verdana" w:eastAsia="Verdana"/>
          <w:b w:val="0"/>
          <w:i w:val="0"/>
          <w:sz w:val="20"/>
        </w:rPr>
        <w:t>: incorporar como tópico próprio nas iniciais novas, com datas concretas.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 xml:space="preserve">A6 — Dois tanques / periculosidade (T20) — </w:t>
      </w:r>
      <w:r>
        <w:rPr>
          <w:rFonts w:ascii="Verdana" w:hAnsi="Verdana" w:eastAsia="Verdana"/>
          <w:b/>
          <w:i w:val="0"/>
          <w:color w:val="1F201F"/>
          <w:sz w:val="23"/>
        </w:rPr>
        <w:t>lacuna, não erro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A periculosidade aparece em 58 peças, mas quase sempre apenas como </w:t>
      </w:r>
      <w:r>
        <w:rPr>
          <w:rFonts w:ascii="Verdana" w:hAnsi="Verdana" w:eastAsia="Verdana"/>
          <w:b/>
          <w:i w:val="0"/>
          <w:sz w:val="20"/>
        </w:rPr>
        <w:t>base de cálculo</w:t>
      </w:r>
      <w:r>
        <w:rPr>
          <w:rFonts w:ascii="Verdana" w:hAnsi="Verdana" w:eastAsia="Verdana"/>
          <w:b w:val="0"/>
          <w:i w:val="0"/>
          <w:sz w:val="20"/>
        </w:rPr>
        <w:t xml:space="preserve"> de reflexos. A tese autônoma do </w:t>
      </w:r>
      <w:r>
        <w:rPr>
          <w:rFonts w:ascii="Verdana" w:hAnsi="Verdana" w:eastAsia="Verdana"/>
          <w:b/>
          <w:i w:val="0"/>
          <w:sz w:val="20"/>
        </w:rPr>
        <w:t>tanque suplementar</w:t>
      </w:r>
      <w:r>
        <w:rPr>
          <w:rFonts w:ascii="Verdana" w:hAnsi="Verdana" w:eastAsia="Verdana"/>
          <w:b w:val="0"/>
          <w:i w:val="0"/>
          <w:sz w:val="20"/>
        </w:rPr>
        <w:t xml:space="preserve"> (NR-16, Anexo 2, item "c", com a redação da Portaria MTE 1.357/2019) praticamente não é desenvolvida.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Ação</w:t>
      </w:r>
      <w:r>
        <w:rPr>
          <w:rFonts w:ascii="Verdana" w:hAnsi="Verdana" w:eastAsia="Verdana"/>
          <w:b w:val="0"/>
          <w:i w:val="0"/>
          <w:sz w:val="20"/>
        </w:rPr>
        <w:t>: incluir a pergunta "o caminhão tinha dois tanques?" no questionário de intake. É tese de fundamento normativo objetivo e valor econômico relevante.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 xml:space="preserve">A7 — CPC de 1973 ainda citado — </w:t>
      </w:r>
      <w:r>
        <w:rPr>
          <w:rFonts w:ascii="Verdana" w:hAnsi="Verdana" w:eastAsia="Verdana"/>
          <w:b/>
          <w:i w:val="0"/>
          <w:color w:val="1F201F"/>
          <w:sz w:val="23"/>
        </w:rPr>
        <w:t>risco baixo, mas visível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Onze peças ainda citam o </w:t>
      </w:r>
      <w:r>
        <w:rPr>
          <w:rFonts w:ascii="Verdana" w:hAnsi="Verdana" w:eastAsia="Verdana"/>
          <w:b/>
          <w:i w:val="0"/>
          <w:sz w:val="20"/>
        </w:rPr>
        <w:t>art. 333, II, do CPC/73</w:t>
      </w:r>
      <w:r>
        <w:rPr>
          <w:rFonts w:ascii="Verdana" w:hAnsi="Verdana" w:eastAsia="Verdana"/>
          <w:b w:val="0"/>
          <w:i w:val="0"/>
          <w:sz w:val="20"/>
        </w:rPr>
        <w:t xml:space="preserve">. O dispositivo correspondente é o </w:t>
      </w:r>
      <w:r>
        <w:rPr>
          <w:rFonts w:ascii="Verdana" w:hAnsi="Verdana" w:eastAsia="Verdana"/>
          <w:b/>
          <w:i w:val="0"/>
          <w:sz w:val="20"/>
        </w:rPr>
        <w:t>art. 373, II, do CPC/2015</w:t>
      </w:r>
      <w:r>
        <w:rPr>
          <w:rFonts w:ascii="Verdana" w:hAnsi="Verdana" w:eastAsia="Verdana"/>
          <w:b w:val="0"/>
          <w:i w:val="0"/>
          <w:sz w:val="20"/>
        </w:rPr>
        <w:t>. Aparece inclusive dentro de ementas transcritas — nesse caso, mantém-se a ementa como está e cita-se o dispositivo atual no texto próprio.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 xml:space="preserve">A8 — Valor da causa e limitação da condenação — </w:t>
      </w:r>
      <w:r>
        <w:rPr>
          <w:rFonts w:ascii="Verdana" w:hAnsi="Verdana" w:eastAsia="Verdana"/>
          <w:b/>
          <w:i w:val="0"/>
          <w:color w:val="1F201F"/>
          <w:sz w:val="23"/>
        </w:rPr>
        <w:t>oportunidade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O acervo usa a ressalva de que os valores são estimativa, mas </w:t>
      </w:r>
      <w:r>
        <w:rPr>
          <w:rFonts w:ascii="Verdana" w:hAnsi="Verdana" w:eastAsia="Verdana"/>
          <w:b/>
          <w:i w:val="0"/>
          <w:sz w:val="20"/>
        </w:rPr>
        <w:t>não invoca o Tema 35 dos Repetitivos do TST</w:t>
      </w:r>
      <w:r>
        <w:rPr>
          <w:rFonts w:ascii="Verdana" w:hAnsi="Verdana" w:eastAsia="Verdana"/>
          <w:b w:val="0"/>
          <w:i w:val="0"/>
          <w:sz w:val="20"/>
        </w:rPr>
        <w:t xml:space="preserve"> nem o art. 12, §2º, da IN 41/2018, que são hoje o fundamento consolidado contra a limitação da condenação aos valores da inicial.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Ação</w:t>
      </w:r>
      <w:r>
        <w:rPr>
          <w:rFonts w:ascii="Verdana" w:hAnsi="Verdana" w:eastAsia="Verdana"/>
          <w:b w:val="0"/>
          <w:i w:val="0"/>
          <w:sz w:val="20"/>
        </w:rPr>
        <w:t>: acrescentar ao bloco fixo de ressalva de liquidação.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 xml:space="preserve">A9 — Numeração de cláusulas de CCT — </w:t>
      </w:r>
      <w:r>
        <w:rPr>
          <w:rFonts w:ascii="Verdana" w:hAnsi="Verdana" w:eastAsia="Verdana"/>
          <w:b/>
          <w:i w:val="0"/>
          <w:color w:val="1F201F"/>
          <w:sz w:val="23"/>
        </w:rPr>
        <w:t>risco operacional recorrente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 xml:space="preserve">As cláusulas 16ª (diárias) e 23ª (pernoite) aparecem em 31 e 28 peças. A numeração </w:t>
      </w:r>
      <w:r>
        <w:rPr>
          <w:rFonts w:ascii="Verdana" w:hAnsi="Verdana" w:eastAsia="Verdana"/>
          <w:b/>
          <w:i w:val="0"/>
          <w:sz w:val="20"/>
        </w:rPr>
        <w:t>muda entre CCTs de anos e bases territoriais diferentes</w:t>
      </w:r>
      <w:r>
        <w:rPr>
          <w:rFonts w:ascii="Verdana" w:hAnsi="Verdana" w:eastAsia="Verdana"/>
          <w:b w:val="0"/>
          <w:i w:val="0"/>
          <w:sz w:val="20"/>
        </w:rPr>
        <w:t>.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Ação</w:t>
      </w:r>
      <w:r>
        <w:rPr>
          <w:rFonts w:ascii="Verdana" w:hAnsi="Verdana" w:eastAsia="Verdana"/>
          <w:b w:val="0"/>
          <w:i w:val="0"/>
          <w:sz w:val="20"/>
        </w:rPr>
        <w:t xml:space="preserve">: nunca copiar o número da cláusula de uma peça antiga. Conferir sempre na CCT do período e da base territorial do contrato em julgamento, e juntar </w:t>
      </w:r>
      <w:r>
        <w:rPr>
          <w:rFonts w:ascii="Verdana" w:hAnsi="Verdana" w:eastAsia="Verdana"/>
          <w:b/>
          <w:i w:val="0"/>
          <w:sz w:val="20"/>
        </w:rPr>
        <w:t>todas</w:t>
      </w:r>
      <w:r>
        <w:rPr>
          <w:rFonts w:ascii="Verdana" w:hAnsi="Verdana" w:eastAsia="Verdana"/>
          <w:b w:val="0"/>
          <w:i w:val="0"/>
          <w:sz w:val="20"/>
        </w:rPr>
        <w:t xml:space="preserve"> as CCTs de vigência.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A10 — Erros de digitação propagados por cópia</w:t>
      </w: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 w:val="0"/>
          <w:i w:val="0"/>
          <w:sz w:val="20"/>
        </w:rPr>
        <w:t>A série principal foi construída por cópia sucessiva, o que propagou erros. Os detectados até agora: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252"/>
        <w:gridCol w:w="4252"/>
      </w:tblGrid>
      <w:tr>
        <w:tc>
          <w:tcPr>
            <w:tcW w:type="dxa" w:w="4772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No acervo</w:t>
            </w:r>
          </w:p>
        </w:tc>
        <w:tc>
          <w:tcPr>
            <w:tcW w:type="dxa" w:w="3732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Correto</w:t>
            </w:r>
          </w:p>
        </w:tc>
      </w:tr>
      <w:tr>
        <w:tc>
          <w:tcPr>
            <w:tcW w:type="dxa" w:w="477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Lei 1090/50</w:t>
            </w:r>
          </w:p>
        </w:tc>
        <w:tc>
          <w:tcPr>
            <w:tcW w:type="dxa" w:w="373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Lei 1.060/50</w:t>
            </w:r>
          </w:p>
        </w:tc>
      </w:tr>
      <w:tr>
        <w:tc>
          <w:tcPr>
            <w:tcW w:type="dxa" w:w="477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Enunciado 101 do TST</w:t>
            </w:r>
          </w:p>
        </w:tc>
        <w:tc>
          <w:tcPr>
            <w:tcW w:type="dxa" w:w="373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Súmula 101 do TST</w:t>
            </w:r>
          </w:p>
        </w:tc>
      </w:tr>
      <w:tr>
        <w:tc>
          <w:tcPr>
            <w:tcW w:type="dxa" w:w="477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"realialidade"</w:t>
            </w:r>
          </w:p>
        </w:tc>
        <w:tc>
          <w:tcPr>
            <w:tcW w:type="dxa" w:w="373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realidade</w:t>
            </w:r>
          </w:p>
        </w:tc>
      </w:tr>
      <w:tr>
        <w:tc>
          <w:tcPr>
            <w:tcW w:type="dxa" w:w="477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"protejê-lo"</w:t>
            </w:r>
          </w:p>
        </w:tc>
        <w:tc>
          <w:tcPr>
            <w:tcW w:type="dxa" w:w="373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protegê-lo</w:t>
            </w:r>
          </w:p>
        </w:tc>
      </w:tr>
      <w:tr>
        <w:tc>
          <w:tcPr>
            <w:tcW w:type="dxa" w:w="477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"espoco" (em "com espoco no código civil")</w:t>
            </w:r>
          </w:p>
        </w:tc>
        <w:tc>
          <w:tcPr>
            <w:tcW w:type="dxa" w:w="373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esteio / fundamento</w:t>
            </w:r>
          </w:p>
        </w:tc>
      </w:tr>
      <w:tr>
        <w:tc>
          <w:tcPr>
            <w:tcW w:type="dxa" w:w="477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"a rés"</w:t>
            </w:r>
          </w:p>
        </w:tc>
        <w:tc>
          <w:tcPr>
            <w:tcW w:type="dxa" w:w="373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as rés</w:t>
            </w:r>
          </w:p>
        </w:tc>
      </w:tr>
      <w:tr>
        <w:tc>
          <w:tcPr>
            <w:tcW w:type="dxa" w:w="477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"intrajornada, intrajornada"</w:t>
            </w:r>
          </w:p>
        </w:tc>
        <w:tc>
          <w:tcPr>
            <w:tcW w:type="dxa" w:w="373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intrajornada, interjornada</w:t>
            </w:r>
          </w:p>
        </w:tc>
      </w:tr>
      <w:tr>
        <w:tc>
          <w:tcPr>
            <w:tcW w:type="dxa" w:w="477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"conforme do artigo 457"</w:t>
            </w:r>
          </w:p>
        </w:tc>
        <w:tc>
          <w:tcPr>
            <w:tcW w:type="dxa" w:w="373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conforme o artigo 457</w:t>
            </w:r>
          </w:p>
        </w:tc>
      </w:tr>
      <w:tr>
        <w:tc>
          <w:tcPr>
            <w:tcW w:type="dxa" w:w="477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"art. 333, II do CPC"</w:t>
            </w:r>
          </w:p>
        </w:tc>
        <w:tc>
          <w:tcPr>
            <w:tcW w:type="dxa" w:w="3732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art. 373, II, do CPC</w:t>
            </w:r>
          </w:p>
        </w:tc>
      </w:tr>
    </w:tbl>
    <w:p>
      <w:pPr>
        <w:spacing w:after="80"/>
      </w:pPr>
    </w:p>
    <w:p>
      <w:pPr>
        <w:spacing w:before="0" w:after="100" w:line="276" w:lineRule="auto"/>
        <w:jc w:val="both"/>
      </w:pPr>
      <w:r>
        <w:rPr>
          <w:rFonts w:ascii="Verdana" w:hAnsi="Verdana" w:eastAsia="Verdana"/>
          <w:b/>
          <w:i w:val="0"/>
          <w:sz w:val="20"/>
        </w:rPr>
        <w:t>Ação</w:t>
      </w:r>
      <w:r>
        <w:rPr>
          <w:rFonts w:ascii="Verdana" w:hAnsi="Verdana" w:eastAsia="Verdana"/>
          <w:b w:val="0"/>
          <w:i w:val="0"/>
          <w:sz w:val="20"/>
        </w:rPr>
        <w:t xml:space="preserve">: o motor de geração de peças </w:t>
      </w:r>
      <w:r>
        <w:rPr>
          <w:rFonts w:ascii="Verdana" w:hAnsi="Verdana" w:eastAsia="Verdana"/>
          <w:b/>
          <w:i w:val="0"/>
          <w:sz w:val="20"/>
        </w:rPr>
        <w:t>não deve</w:t>
      </w:r>
      <w:r>
        <w:rPr>
          <w:rFonts w:ascii="Verdana" w:hAnsi="Verdana" w:eastAsia="Verdana"/>
          <w:b w:val="0"/>
          <w:i w:val="0"/>
          <w:sz w:val="20"/>
        </w:rPr>
        <w:t xml:space="preserve"> replicar estes erros, mesmo estando nos modelos de origem. Regra já prevista no DNA de escrita, item 9.</w:t>
      </w:r>
    </w:p>
    <w:p>
      <w:pPr>
        <w:spacing w:before="80" w:after="160" w:line="276" w:lineRule="auto"/>
        <w:jc w:val="both"/>
        <w:pBdr>
          <w:bottom w:val="single" w:sz="4" w:space="4" w:color="DDDDDD"/>
        </w:pBdr>
      </w:pPr>
    </w:p>
    <w:p>
      <w:pPr>
        <w:spacing w:before="280" w:after="120" w:line="276" w:lineRule="auto"/>
        <w:jc w:val="left"/>
        <w:pBdr>
          <w:bottom w:val="single" w:sz="6" w:space="4" w:color="CCA862"/>
        </w:pBdr>
      </w:pPr>
      <w:r>
        <w:rPr>
          <w:rFonts w:ascii="Verdana" w:hAnsi="Verdana" w:eastAsia="Verdana"/>
          <w:b/>
          <w:i w:val="0"/>
          <w:color w:val="1F201F"/>
          <w:sz w:val="23"/>
        </w:rPr>
        <w:t>Prioridade de correção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35"/>
        <w:gridCol w:w="2835"/>
        <w:gridCol w:w="2835"/>
      </w:tblGrid>
      <w:tr>
        <w:tc>
          <w:tcPr>
            <w:tcW w:type="dxa" w:w="719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Ordem</w:t>
            </w:r>
          </w:p>
        </w:tc>
        <w:tc>
          <w:tcPr>
            <w:tcW w:type="dxa" w:w="1048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6737"/>
            <w:shd w:val="clear" w:fill="1F201F"/>
          </w:tcPr>
          <w:p>
            <w:pPr>
              <w:spacing w:before="40" w:after="40" w:line="240" w:lineRule="auto"/>
            </w:pPr>
            <w:r>
              <w:rPr>
                <w:b/>
              </w:rPr>
            </w:r>
            <w:r>
              <w:rPr>
                <w:rFonts w:ascii="Verdana" w:hAnsi="Verdana" w:eastAsia="Verdana"/>
                <w:b/>
                <w:i w:val="0"/>
                <w:color w:val="FFFFFF"/>
                <w:sz w:val="17"/>
              </w:rPr>
              <w:t>Por quê</w:t>
            </w:r>
          </w:p>
        </w:tc>
      </w:tr>
      <w:tr>
        <w:tc>
          <w:tcPr>
            <w:tcW w:type="dxa" w:w="71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A1, A2, A3</w:t>
            </w:r>
          </w:p>
        </w:tc>
        <w:tc>
          <w:tcPr>
            <w:tcW w:type="dxa" w:w="673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Afetam o mérito e o valor econômico do pedido</w:t>
            </w:r>
          </w:p>
        </w:tc>
      </w:tr>
      <w:tr>
        <w:tc>
          <w:tcPr>
            <w:tcW w:type="dxa" w:w="71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A4, A8</w:t>
            </w:r>
          </w:p>
        </w:tc>
        <w:tc>
          <w:tcPr>
            <w:tcW w:type="dxa" w:w="673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Blocos fixos, corrigidos uma vez valem para todas as peças</w:t>
            </w:r>
          </w:p>
        </w:tc>
      </w:tr>
      <w:tr>
        <w:tc>
          <w:tcPr>
            <w:tcW w:type="dxa" w:w="71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A5, A6</w:t>
            </w:r>
          </w:p>
        </w:tc>
        <w:tc>
          <w:tcPr>
            <w:tcW w:type="dxa" w:w="673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Teses novas — receita não capturada hoje</w:t>
            </w:r>
          </w:p>
        </w:tc>
      </w:tr>
      <w:tr>
        <w:tc>
          <w:tcPr>
            <w:tcW w:type="dxa" w:w="71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A9</w:t>
            </w:r>
          </w:p>
        </w:tc>
        <w:tc>
          <w:tcPr>
            <w:tcW w:type="dxa" w:w="673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Erro operacional que se repete a cada caso</w:t>
            </w:r>
          </w:p>
        </w:tc>
      </w:tr>
      <w:tr>
        <w:tc>
          <w:tcPr>
            <w:tcW w:type="dxa" w:w="719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8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A7, A10</w:t>
            </w:r>
          </w:p>
        </w:tc>
        <w:tc>
          <w:tcPr>
            <w:tcW w:type="dxa" w:w="6737"/>
          </w:tcPr>
          <w:p>
            <w:pPr>
              <w:spacing w:before="40" w:after="40" w:line="240" w:lineRule="auto"/>
            </w:pPr>
            <w:r/>
            <w:r>
              <w:rPr>
                <w:rFonts w:ascii="Verdana" w:hAnsi="Verdana" w:eastAsia="Verdana"/>
                <w:b w:val="0"/>
                <w:i w:val="0"/>
                <w:sz w:val="17"/>
              </w:rPr>
              <w:t>Qualidade e credibilidade da peça</w:t>
            </w:r>
          </w:p>
        </w:tc>
      </w:tr>
    </w:tbl>
    <w:p>
      <w:pPr>
        <w:spacing w:after="80"/>
      </w:pPr>
    </w:p>
    <w:p>
      <w:r>
        <w:br w:type="page"/>
      </w:r>
    </w:p>
    <w:p/>
    <w:p/>
    <w:p>
      <w:pPr>
        <w:spacing w:before="0" w:after="200" w:line="276" w:lineRule="auto"/>
        <w:jc w:val="left"/>
      </w:pPr>
      <w:r>
        <w:rPr>
          <w:rFonts w:ascii="Verdana" w:hAnsi="Verdana" w:eastAsia="Verdana"/>
          <w:b w:val="0"/>
          <w:i w:val="0"/>
          <w:color w:val="1F201F"/>
          <w:sz w:val="20"/>
        </w:rPr>
        <w:t>Sorocaba — SP</w:t>
      </w:r>
    </w:p>
    <w:p>
      <w:pPr>
        <w:spacing w:before="200" w:after="0" w:line="276" w:lineRule="auto"/>
        <w:jc w:val="left"/>
      </w:pPr>
      <w:r>
        <w:rPr>
          <w:rFonts w:ascii="Verdana" w:hAnsi="Verdana" w:eastAsia="Verdana"/>
          <w:b/>
          <w:i w:val="0"/>
          <w:color w:val="1F201F"/>
          <w:sz w:val="20"/>
        </w:rPr>
        <w:t>Alexandre Pascoal Marques</w:t>
      </w:r>
    </w:p>
    <w:p>
      <w:pPr>
        <w:spacing w:before="0" w:after="0" w:line="276" w:lineRule="auto"/>
        <w:jc w:val="left"/>
      </w:pPr>
      <w:r>
        <w:rPr>
          <w:rFonts w:ascii="Verdana" w:hAnsi="Verdana" w:eastAsia="Verdana"/>
          <w:b w:val="0"/>
          <w:i w:val="0"/>
          <w:color w:val="555555"/>
          <w:sz w:val="18"/>
        </w:rPr>
        <w:t>OAB/SP 270.924</w:t>
      </w:r>
    </w:p>
    <w:p>
      <w:pPr>
        <w:spacing w:before="200" w:after="0" w:line="276" w:lineRule="auto"/>
        <w:jc w:val="left"/>
      </w:pPr>
      <w:r>
        <w:rPr>
          <w:rFonts w:ascii="Verdana" w:hAnsi="Verdana" w:eastAsia="Verdana"/>
          <w:b/>
          <w:i w:val="0"/>
          <w:color w:val="1F201F"/>
          <w:sz w:val="20"/>
        </w:rPr>
        <w:t>Flávia Dyandra da Silva</w:t>
      </w:r>
    </w:p>
    <w:p>
      <w:pPr>
        <w:spacing w:before="0" w:after="0" w:line="276" w:lineRule="auto"/>
        <w:jc w:val="left"/>
      </w:pPr>
      <w:r>
        <w:rPr>
          <w:rFonts w:ascii="Verdana" w:hAnsi="Verdana" w:eastAsia="Verdana"/>
          <w:b w:val="0"/>
          <w:i w:val="0"/>
          <w:color w:val="555555"/>
          <w:sz w:val="18"/>
        </w:rPr>
        <w:t>OAB/SP 352.455</w:t>
      </w:r>
    </w:p>
    <w:p>
      <w:pPr>
        <w:spacing w:before="200" w:after="0" w:line="276" w:lineRule="auto"/>
        <w:jc w:val="left"/>
      </w:pPr>
      <w:r>
        <w:rPr>
          <w:rFonts w:ascii="Verdana" w:hAnsi="Verdana" w:eastAsia="Verdana"/>
          <w:b/>
          <w:i w:val="0"/>
          <w:color w:val="1F201F"/>
          <w:sz w:val="20"/>
        </w:rPr>
        <w:t>Vitória Freitas</w:t>
      </w:r>
    </w:p>
    <w:p>
      <w:pPr>
        <w:spacing w:before="0" w:after="0" w:line="276" w:lineRule="auto"/>
        <w:jc w:val="left"/>
      </w:pPr>
      <w:r>
        <w:rPr>
          <w:rFonts w:ascii="Verdana" w:hAnsi="Verdana" w:eastAsia="Verdana"/>
          <w:b w:val="0"/>
          <w:i w:val="0"/>
          <w:color w:val="555555"/>
          <w:sz w:val="18"/>
        </w:rPr>
        <w:t>OAB/SP 508.842</w:t>
      </w:r>
    </w:p>
    <w:sectPr w:rsidR="00D44AC7" w:rsidSect="00C72640">
      <w:headerReference w:type="default" r:id="rId6"/>
      <w:pgSz w:w="11906" w:h="16838"/>
      <w:pgMar w:top="1985" w:right="1701" w:bottom="164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BC2C0" w14:textId="77777777" w:rsidR="00F451DF" w:rsidRDefault="00F451DF" w:rsidP="00D44AC7">
      <w:pPr>
        <w:spacing w:after="0" w:line="240" w:lineRule="auto"/>
      </w:pPr>
      <w:r>
        <w:separator/>
      </w:r>
    </w:p>
  </w:endnote>
  <w:endnote w:type="continuationSeparator" w:id="0">
    <w:p w14:paraId="13EF9604" w14:textId="77777777" w:rsidR="00F451DF" w:rsidRDefault="00F451DF" w:rsidP="00D44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14C91" w14:textId="77777777" w:rsidR="00F451DF" w:rsidRDefault="00F451DF" w:rsidP="00D44AC7">
      <w:pPr>
        <w:spacing w:after="0" w:line="240" w:lineRule="auto"/>
      </w:pPr>
      <w:r>
        <w:separator/>
      </w:r>
    </w:p>
  </w:footnote>
  <w:footnote w:type="continuationSeparator" w:id="0">
    <w:p w14:paraId="0E1BB9BD" w14:textId="77777777" w:rsidR="00F451DF" w:rsidRDefault="00F451DF" w:rsidP="00D44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56DF" w14:textId="48CE6ECF" w:rsidR="00D44AC7" w:rsidRDefault="00D44AC7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27DDE1B" wp14:editId="04B4431E">
          <wp:simplePos x="0" y="0"/>
          <wp:positionH relativeFrom="page">
            <wp:posOffset>8004</wp:posOffset>
          </wp:positionH>
          <wp:positionV relativeFrom="paragraph">
            <wp:posOffset>-450215</wp:posOffset>
          </wp:positionV>
          <wp:extent cx="7549960" cy="10670936"/>
          <wp:effectExtent l="0" t="0" r="0" b="0"/>
          <wp:wrapNone/>
          <wp:docPr id="56044258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442582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960" cy="106709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C7"/>
    <w:rsid w:val="00650CB3"/>
    <w:rsid w:val="00C72640"/>
    <w:rsid w:val="00D44AC7"/>
    <w:rsid w:val="00F4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46120D"/>
  <w14:defaultImageDpi w14:val="32767"/>
  <w15:chartTrackingRefBased/>
  <w15:docId w15:val="{45588027-452D-46BA-B56E-7CCC0B7E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eastAsia="Verdana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D44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4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4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4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4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4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4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4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4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4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4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4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4A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4AC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4A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4A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4A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4A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4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4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4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4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4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4A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4A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4AC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4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4AC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4AC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44A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4AC7"/>
  </w:style>
  <w:style w:type="paragraph" w:styleId="Rodap">
    <w:name w:val="footer"/>
    <w:basedOn w:val="Normal"/>
    <w:link w:val="RodapChar"/>
    <w:uiPriority w:val="99"/>
    <w:unhideWhenUsed/>
    <w:rsid w:val="00D44A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4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Maitê</dc:creator>
  <cp:keywords/>
  <dc:description/>
  <cp:lastModifiedBy>Emily Maitê</cp:lastModifiedBy>
  <cp:revision>2</cp:revision>
  <cp:lastPrinted>2026-04-01T01:05:00Z</cp:lastPrinted>
  <dcterms:created xsi:type="dcterms:W3CDTF">2026-04-01T01:02:00Z</dcterms:created>
  <dcterms:modified xsi:type="dcterms:W3CDTF">2026-04-01T01:09:00Z</dcterms:modified>
</cp:coreProperties>
</file>