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DE NÃO CIRCUNVENÇÃO E CONFIDENCIALIDADE — COMMODITY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Non-Circumvention, Non-Disclosure Agreement — NCNDA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DIVULGADORA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TSA CONSULTORIA E EMPREENDIMENTOS LTDA, pessoa jurídica de direito privado, inscrita no CNPJ/MF sob o nº 11.222.333/0001-81, com sede na Avenida Deputado Jamel Cecílio, nº 2690, [BAIRRO NÃO INFORMADO], Goiânia/GO, CEP [CEP NÃO INFORMADO], neste ato representada por Herika Tsuruda Araki, [NACIONALIDADE NÃO INFORMADO], [ESTADO CIVIL NÃO INFORMADO], procuradora, portador(a) do RG nº [RG NÃO INFORMADO] e inscrito(a) no CPF/MF sob o nº 529.982.247-25, na qualidade de procuradora,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DIVULGADORA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INTERMEDIÁRIA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ROMACRED SOLUÇÕES FINANCEIRAS LTDA, pessoa jurídica de direito privado, inscrita no CNPJ/MF sob o nº 12.ABC.345/01DE-35, com sede na Praça Sílvio Vaz de Arruda, nº 140, [BAIRRO NÃO INFORMADO], Guariba/SP, CEP [CEP NÃO INFORMADO], neste ato representada por José Luciano da Costa Roma, [NACIONALIDADE NÃO INFORMADO], [ESTADO CIVIL NÃO INFORMADO], sócio administrador, portador(a) do RG nº [RG NÃO INFORMADO] e inscrito(a) no CPF/MF sob o nº 111.444.777-35,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 GUILHERME CONSULTORIA LTDA, pessoa jurídica de direito privado, inscrita no CNPJ/MF sob o nº 11.444.777/0001-61, com sede na Rua Camargo Paes, nº 25, [BAIRRO NÃO INFORMADO], Campinas/SP, CEP [CEP NÃO INFORMADO], neste ato representada por Marcos A. Guilherme, [NACIONALIDADE NÃO INFORMADO], [ESTADO CIVIL NÃO INFORMADO], sócio, portador(a) do RG nº [RG NÃO INFORMADO] e inscrito(a) no CPF/MF sob o nº 529.982.247-25, na qualidade de sócio,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Acordo de Não Circunvenção e Confidencialidade (Non-Circumvention, Non-Disclosure Agreement — NCNDA), destinado à compra e venda de mercadoria, regido pelas cláusulas a seguir e, no que couber, por (i) arts. 481 e seguintes do Código Civil; (ii) Convenção das Nações Unidas sobre Contratos de Compra e Venda Internacional de Mercadorias, promulgada pelo Decreto nº 8.327/2014; (iii) Incoterms 2020, da Câmara de Comércio Internacional, bem como pelos arts. 422, 425 e 722 a 729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 E DA APRESENTAÇÃO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instrumento tem por objeto a intermediação, a estruturação e o comissionamento decorrentes da compra e venda de mercadoria, relativa a açúcar VHP polarização 99 (Commodity), na quantidade de 12.500,00 toneladas métricas, nas condições CIF, com origem em Porto de Santos, e destino a Porto de Xiamen, embarque previsto para março de 2027.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operação apresenta valor de face de R$ 1.000.000,00 (um milhão de reais), deságio de 40% (quarenta por cento), valor negociado de R$ 600.000,00 (seiscentos mil reais), sendo que a forma e o prazo de pagamento serão estruturados em instrumento próprio, a ser celebrado após a conclusão da diligência.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As PARTES reconhecem que não conheciam previamente as contrapartes, fontes e oportunidades ora apresentadas, e que delas tomaram conhecimento exclusivamente por intermédio da PARTE DIVULGADORA e da cadeia de intermediação nomeada neste instrumento.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INFORMAÇÕES CONFIDENCIAIS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Consideram-se Informações Confidenciais todos os documentos, dados, relatórios, pareceres, laudos, certidões, apresentações, processos judiciais e administrativos, estratégias comerciais, fiscais e financeiras, identidade de investidores, compradores, vendedores, mandatários e intermediários, estruturas operacionais, valores, deságios, comissões, dados bancários e contatos revelados, direta ou indiretamente, em razão deste acordo.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As Informações Confidenciais serão utilizadas exclusivamente para a análise da operação objeto deste instrumento, vedada qualquer outra finalidade.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Nenhuma Informação Confidencial poderá ser compartilhada, reproduzida, divulgada ou disponibilizada a terceiros sem autorização prévia, expressa e escrita da PARTE DIVULGADORA, que indicará especificamente os destinatários autorizados.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 </w:t>
      </w:r>
      <w:r>
        <w:rPr>
          <w:rFonts w:ascii="Arial" w:cs="Arial" w:eastAsia="Arial" w:hAnsi="Arial"/>
          <w:sz w:val="22"/>
          <w:szCs w:val="22"/>
        </w:rPr>
        <w:t xml:space="preserve">Autorizada a divulgação, a PARTE RECEPTORA responde integralmente pelos atos dos terceiros que receberem as informações, de forma solidária.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 </w:t>
      </w:r>
      <w:r>
        <w:rPr>
          <w:rFonts w:ascii="Arial" w:cs="Arial" w:eastAsia="Arial" w:hAnsi="Arial"/>
          <w:sz w:val="22"/>
          <w:szCs w:val="22"/>
        </w:rPr>
        <w:t xml:space="preserve">A obrigação de sigilo vigora durante este acordo e por 5 (cinco) anos após sua extinção, qualquer que seja o motivo, observada a Lei nº 13.709/2018 quanto a dados pessoais.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 </w:t>
      </w:r>
      <w:r>
        <w:rPr>
          <w:rFonts w:ascii="Arial" w:cs="Arial" w:eastAsia="Arial" w:hAnsi="Arial"/>
          <w:sz w:val="22"/>
          <w:szCs w:val="22"/>
        </w:rPr>
        <w:t xml:space="preserve">Não são confidenciais as informações que já eram de domínio público, que se tornaram públicas sem violação deste acordo, que a parte já detinha comprovadamente antes da revelação, ou cuja divulgação seja exigida por lei, ordem judicial ou autoridade competente, hipótese em que a parte requerida comunicará previamente a PARTE DIVULGADORA.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DEVOLUÇÃO E DA DESTRUIÇÃO DAS INFORMAÇÕES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Encerradas as tratativas, concluída ou não a operação, a PARTE RECEPTORA deverá, em até 10 (dez) dias úteis contados da comunicação: I – devolver toda a documentação física recebida; II – destruir os arquivos eletrônicos, cópias, reproduções, anotações e materiais derivados; III – apresentar declaração formal de destruição, quando solicitada.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A retenção de qualquer documento após esse prazo caracteriza infração contratual grave.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DOCUMENTAÇÃO E DA VERIFICAÇÃO DO ATIVO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A PARTE RECEPTORA terá acesso, sob sigilo, à documentação do ativo, para aferição própria de sua existência, regularidade e integralidade, declarando possuir capacidade técnica e autonomia para realizar sua avaliação jurídica, contábil, fiscal e operacional, e assumindo integral responsabilidade pela decisão de aquisição.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A documentação mínima da operação compreende: (i) prova de produto ou de disponibilidade do lote; (ii) certificado de inspeção emitido por empresa independente no porto de embarque; (iii) certificado de origem; (iv) certificado fitossanitário ou sanitário, conforme o produto; (v) conhecimento de embarque e demais documentos de transporte; (vi) apólice de seguro da carga, conforme o Incoterm ajustado.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VENDEDOR e PARTE DIVULGADORA garantem: (i) a existência, a disponibilidade e a titularidade da mercadoria ofertada; (ii) a conformidade com a especificação contratada, comprovada por inspeção independente no local de embarque; (iii) a regularidade da documentação de exportação ou de circulação.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 </w:t>
      </w:r>
      <w:r>
        <w:rPr>
          <w:rFonts w:ascii="Arial" w:cs="Arial" w:eastAsia="Arial" w:hAnsi="Arial"/>
          <w:sz w:val="22"/>
          <w:szCs w:val="22"/>
        </w:rPr>
        <w:t xml:space="preserve">VENDEDOR e PARTE DIVULGADORA NÃO garantem, permanecendo sob exclusiva responsabilidade da PARTE RECEPTORA: (i) a variação de preço de mercado entre a assinatura e a liquidação; (ii) a obtenção de licenças de importação, cotas ou autorizações no país de destino; (iii) prazos de transporte, disponibilidade de praça ou eventos de força maior.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4.5. </w:t>
      </w:r>
      <w:r>
        <w:rPr>
          <w:rFonts w:ascii="Arial" w:cs="Arial" w:eastAsia="Arial" w:hAnsi="Arial"/>
          <w:sz w:val="22"/>
          <w:szCs w:val="22"/>
        </w:rPr>
        <w:t xml:space="preserve">As PARTES declaram ciência expressa de que o Incoterm decide onde o risco passa do vendedor para o comprador e quem paga frete e seguro. Contrato que não fixa Incoterm, porto e data-limite de embarque deixa o ponto mais caro da operação em aberto.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4.6. </w:t>
      </w:r>
      <w:r>
        <w:rPr>
          <w:rFonts w:ascii="Arial" w:cs="Arial" w:eastAsia="Arial" w:hAnsi="Arial"/>
          <w:sz w:val="22"/>
          <w:szCs w:val="22"/>
        </w:rPr>
        <w:t xml:space="preserve">Assumidas em instrumento próprio obrigações de habilitação, homologação, compensação, liquidação, entrega, transporte ou operacionalização do ativo, permanecem íntegras as garantias ali prestadas, obrigando-se o responsável pela estruturação a executá-las na forma da legislação aplicável.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NÃO CIRCUNVENÇÃO E DA PRESERVAÇÃO DA CADEIA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As oportunidades, os relacionamentos comerciais, os investidores, compradores, vendedores, mandatários e demais contatos apresentados constituem patrimônio comercial protegido das PARTES que os apresentaram.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Durante a vigência deste instrumento e por 36 (trinta e seis) meses após sua extinção, nenhuma das PARTES contatará, negociará, contratará, estruturará, intermediará ou concluirá operação, direta ou indireta, com qualquer pessoa apresentada em razão deste acordo, sem autorização prévia e escrita de quem a apresentou.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A vedação alcança a atuação por interposta pessoa, empresa coligada, controlada, controladora, sócios, procuradores, representantes ou parente até o terceiro grau.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 </w:t>
      </w:r>
      <w:r>
        <w:rPr>
          <w:rFonts w:ascii="Arial" w:cs="Arial" w:eastAsia="Arial" w:hAnsi="Arial"/>
          <w:sz w:val="22"/>
          <w:szCs w:val="22"/>
        </w:rPr>
        <w:t xml:space="preserve">Configura circunvenção, para todos os efeitos, a tentativa de contornar qualquer elo da cadeia mediante alteração do desenho da operação, troca de veículo societário, interposição de terceiros ou fracionamento do negócio.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 </w:t>
      </w:r>
      <w:r>
        <w:rPr>
          <w:rFonts w:ascii="Arial" w:cs="Arial" w:eastAsia="Arial" w:hAnsi="Arial"/>
          <w:sz w:val="22"/>
          <w:szCs w:val="22"/>
        </w:rPr>
        <w:t xml:space="preserve">A obrigação alcança não apenas a operação ora apresentada, mas também qualquer operação futura, renovação, aditamento, substituição ou desdobramento celebrado entre as mesmas PARTES ou entre elas e as contrapartes apresentadas.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REMUNERAÇÃO E DA CADEIA DE COMISSIONAMENTO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Fica reconhecida em favor da cadeia de intermediação a remuneração de 2,5% (dois vírgula cinco por cento), calculada sobre o valor bruto de cada operação efetivamente concluída em decorrência da apresentação aqui reconhecida.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 remuneração é devida ainda que a conclusão do negócio ocorra após o término deste acordo, na forma do art. 725 do Código Civil, e vincula-se ao efetivo recebimento dos valores pelo adquirente.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A cadeia de intermediação reconhecida pelas PARTES é a constante do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ROMACRED SOLUÇÕES FINANCEIRAS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12.ABC.345/01DE-35 — p.p. José Luciano da Costa Roma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2,50%</w:t>
            </w:r>
          </w:p>
        </w:tc>
      </w:tr>
    </w:tbl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6.4. </w:t>
      </w:r>
      <w:r>
        <w:rPr>
          <w:rFonts w:ascii="Arial" w:cs="Arial" w:eastAsia="Arial" w:hAnsi="Arial"/>
          <w:sz w:val="22"/>
          <w:szCs w:val="22"/>
        </w:rPr>
        <w:t xml:space="preserve">Remunerações devidas a agentes não nomeados neste instrumento serão tratadas entre as respectivas partes, sem que este acordo lhes faça referência ou gere obrigação.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 VIGÊNCIA E DA RESCISÃO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Este acordo vigora por 24 (vinte e quatro) meses contados da assinatura, renovando-se automaticamente por igual período caso nenhuma das PARTES manifeste o contrário com 30 (trinta) dias de antecedência.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Poderá ser rescindido por acordo escrito entre as PARTES, por descumprimento não sanado em 15 (quinze) dias contados de notificação, ou por fato superveniente comprovado que impeça a continuidade da operação.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A extinção não afeta as obrigações de sigilo, de não circunvenção e de pagamento da remuneração já devida.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DAS PENALIDADES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A quebra de confidencialidade sujeita a PARTE infratora a multa não compensatória de 30% (trinta por cento) do valor econômico da operação, observado o piso de R$ 200.000,00, o que corresponde, nesta data, a R$ 200.000,00, exigível independentemente da comprovação de prejuízo e sem prejuízo de perdas e danos.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A circunvenção sujeita a PARTE infratora a multa compensatória equivalente ao maior dos seguintes valores: I – a integralidade da comissão prevista para a cadeia de intermediação da operação; II – 30% (trinta por cento) do valor bruto da operação realizada com circunvenção.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A PARTE infratora responde ainda por lucros cessantes, danos emergentes, danos reputacionais e honorários advocatícios.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8.4. </w:t>
      </w:r>
      <w:r>
        <w:rPr>
          <w:rFonts w:ascii="Arial" w:cs="Arial" w:eastAsia="Arial" w:hAnsi="Arial"/>
          <w:sz w:val="22"/>
          <w:szCs w:val="22"/>
        </w:rPr>
        <w:t xml:space="preserve">As PARTES reconhecem este instrumento como título executivo extrajudicial, nos termos do art. 784, III, do Código de Processo Civil, quando assinado por duas testemunhas.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NONA — DAS ADVERTÊNCIAS ESPECÍFICAS — COMMODITY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 </w:t>
      </w:r>
      <w:r>
        <w:rPr>
          <w:rFonts w:ascii="Arial" w:cs="Arial" w:eastAsia="Arial" w:hAnsi="Arial"/>
          <w:sz w:val="22"/>
          <w:szCs w:val="22"/>
        </w:rPr>
        <w:t xml:space="preserve">As PARTES declaram ciência das condições próprias deste ativo, que integram este instrumento para todos os efeitos: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 </w:t>
      </w:r>
      <w:r>
        <w:rPr>
          <w:rFonts w:ascii="Arial" w:cs="Arial" w:eastAsia="Arial" w:hAnsi="Arial"/>
          <w:sz w:val="22"/>
          <w:szCs w:val="22"/>
        </w:rPr>
        <w:t xml:space="preserve">Certificado de inspeção emitido pelo vendedor não substitui inspeção independente contratada pelo comprador.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 </w:t>
      </w:r>
      <w:r>
        <w:rPr>
          <w:rFonts w:ascii="Arial" w:cs="Arial" w:eastAsia="Arial" w:hAnsi="Arial"/>
          <w:sz w:val="22"/>
          <w:szCs w:val="22"/>
        </w:rPr>
        <w:t xml:space="preserve">Defina o instrumento de pagamento — carta de crédito, standby ou pagamento contra documentos — antes de assinar o contrato de compra e venda.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DÉCIMA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24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TSA CONSULTORIA E EMPREENDIMENTOS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Herika Tsuruda Araki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Parte divulgadora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ROMACRED SOLUÇÕES FINANCEIRAS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José Luciano da Costa Roma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 GUILHERME CONSULTORIA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11.444.777/0001-61 — p.p. Marcos A. Guilherme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Mandatário de compra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422 (boa-fé), 425 (contrato atípico) e 722 a 729 (corretagem); Código Civil, art. 927 (dever de indenizar).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19200389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Não Circunvenção e Confidencialidade — Commodity</dc:title>
  <dc:creator>Plataforma</dc:creator>
  <dc:description>NCNDA — Sigilo e Não Circunvenção — OP-0001</dc:description>
  <cp:lastModifiedBy>Un-named</cp:lastModifiedBy>
  <cp:revision>1</cp:revision>
  <dcterms:created xsi:type="dcterms:W3CDTF">2026-08-24T21:05:45.833Z</dcterms:created>
  <dcterms:modified xsi:type="dcterms:W3CDTF">2026-08-24T21:05:45.833Z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