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ACORDO DE NÃO CIRCUNVENÇÃO E CONFIDENCIALIDADE — CRÉDITO DE PIS/COFINS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Non-Circumvention, Non-Disclosure Agreement — NCNDA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 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DIVULGADORA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TSA CONSULTORIA E EMPREENDIMENTOS LTDA, pessoa jurídica de direito privado, inscrita no CNPJ/MF sob o nº 11.222.333/0001-81, com sede na Avenida Deputado Jamel Cecílio, nº 2690, [BAIRRO NÃO INFORMADO], Goiânia/GO, CEP [CEP NÃO INFORMADO], neste ato representada por Herika Tsuruda Araki, [NACIONALIDADE NÃO INFORMADO], [ESTADO CIVIL NÃO INFORMADO], procuradora, portador(a) do RG nº [RG NÃO INFORMADO] e inscrito(a) no CPF/MF sob o nº 529.982.247-25, na qualidade de procuradora,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PARTE DIVULGADORA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INTERMEDIÁRIA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ROMACRED SOLUÇÕES FINANCEIRAS LTDA, pessoa jurídica de direito privado, inscrita no CNPJ/MF sob o nº 12.ABC.345/01DE-35, com sede na Praça Sílvio Vaz de Arruda, nº 140, [BAIRRO NÃO INFORMADO], Guariba/SP, CEP [CEP NÃO INFORMADO], neste ato representada por José Luciano da Costa Roma, [NACIONALIDADE NÃO INFORMADO], [ESTADO CIVIL NÃO INFORMADO], sócio administrador, portador(a) do RG nº [RG NÃO INFORMADO] e inscrito(a) no CPF/MF sob o nº 111.444.777-35,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INTERMEDIÁRIO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RECEPTORA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MA GUILHERME CONSULTORIA LTDA, pessoa jurídica de direito privado, inscrita no CNPJ/MF sob o nº 11.444.777/0001-61, com sede na Rua Camargo Paes, nº 25, [BAIRRO NÃO INFORMADO], Campinas/SP, CEP [CEP NÃO INFORMADO], neste ato representada por Marcos A. Guilherme, [NACIONALIDADE NÃO INFORMADO], [ESTADO CIVIL NÃO INFORMADO], sócio, portador(a) do RG nº [RG NÃO INFORMADO] e inscrito(a) no CPF/MF sob o nº 529.982.247-25, na qualidade de sócio,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PARTE RECEPTORA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celebram o presente Acordo de Não Circunvenção e Confidencialidade (Non-Circumvention, Non-Disclosure Agreement — NCNDA), destinado à cessão onerosa de direitos creditórios de natureza tributária federal, regido pelas cláusulas a seguir e, no que couber, por (i) arts. 286 a 298 do Código Civil; (ii) art. 74 da Lei nº 9.430/1996; (iii) art. 170 do Código Tributário Nacional, bem como pelos arts. 422, 425 e 722 a 729 do Código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OBJETO E DA APRESENTAÇÃO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presente instrumento tem por objeto a intermediação, a estruturação e o comissionamento decorrentes da cessão onerosa de direitos creditórios de natureza tributária federal, relativa a Crédito de PIS/COFINS, referente a PIS e COFINS, objeto do processo administrativo nº 10880.720123/2023-11, já homologado pela autoridade fiscal.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sz w:val="22"/>
          <w:szCs w:val="22"/>
        </w:rPr>
        <w:t xml:space="preserve">A operação apresenta valor de face de R$ 1.000.000,00 (um milhão de reais), deságio de 40% (quarenta por cento), valor negociado de R$ 600.000,00 (seiscentos mil reais), sendo que a forma e o prazo de pagamento serão estruturados em instrumento próprio, a ser celebrado após a conclusão da diligência.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 </w:t>
      </w:r>
      <w:r>
        <w:rPr>
          <w:rFonts w:ascii="Arial" w:cs="Arial" w:eastAsia="Arial" w:hAnsi="Arial"/>
          <w:sz w:val="22"/>
          <w:szCs w:val="22"/>
        </w:rPr>
        <w:t xml:space="preserve">As PARTES reconhecem que não conheciam previamente as contrapartes, fontes e oportunidades ora apresentadas, e que delas tomaram conhecimento exclusivamente por intermédio da PARTE DIVULGADORA e da cadeia de intermediação nomeada neste instrumento.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DAS INFORMAÇÕES CONFIDENCIAIS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Consideram-se Informações Confidenciais todos os documentos, dados, relatórios, pareceres, laudos, certidões, apresentações, processos judiciais e administrativos, estratégias comerciais, fiscais e financeiras, identidade de investidores, compradores, vendedores, mandatários e intermediários, estruturas operacionais, valores, deságios, comissões, dados bancários e contatos revelados, direta ou indiretamente, em razão deste acordo.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As Informações Confidenciais serão utilizadas exclusivamente para a análise da operação objeto deste instrumento, vedada qualquer outra finalidade.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 </w:t>
      </w:r>
      <w:r>
        <w:rPr>
          <w:rFonts w:ascii="Arial" w:cs="Arial" w:eastAsia="Arial" w:hAnsi="Arial"/>
          <w:sz w:val="22"/>
          <w:szCs w:val="22"/>
        </w:rPr>
        <w:t xml:space="preserve">Nenhuma Informação Confidencial poderá ser compartilhada, reproduzida, divulgada ou disponibilizada a terceiros sem autorização prévia, expressa e escrita da PARTE DIVULGADORA, que indicará especificamente os destinatários autorizados.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2.4. </w:t>
      </w:r>
      <w:r>
        <w:rPr>
          <w:rFonts w:ascii="Arial" w:cs="Arial" w:eastAsia="Arial" w:hAnsi="Arial"/>
          <w:sz w:val="22"/>
          <w:szCs w:val="22"/>
        </w:rPr>
        <w:t xml:space="preserve">Autorizada a divulgação, a PARTE RECEPTORA responde integralmente pelos atos dos terceiros que receberem as informações, de forma solidária.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2.5. </w:t>
      </w:r>
      <w:r>
        <w:rPr>
          <w:rFonts w:ascii="Arial" w:cs="Arial" w:eastAsia="Arial" w:hAnsi="Arial"/>
          <w:sz w:val="22"/>
          <w:szCs w:val="22"/>
        </w:rPr>
        <w:t xml:space="preserve">A obrigação de sigilo vigora durante este acordo e por 5 (cinco) anos após sua extinção, qualquer que seja o motivo, observada a Lei nº 13.709/2018 quanto a dados pessoais.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2.6. </w:t>
      </w:r>
      <w:r>
        <w:rPr>
          <w:rFonts w:ascii="Arial" w:cs="Arial" w:eastAsia="Arial" w:hAnsi="Arial"/>
          <w:sz w:val="22"/>
          <w:szCs w:val="22"/>
        </w:rPr>
        <w:t xml:space="preserve">Não são confidenciais as informações que já eram de domínio público, que se tornaram públicas sem violação deste acordo, que a parte já detinha comprovadamente antes da revelação, ou cuja divulgação seja exigida por lei, ordem judicial ou autoridade competente, hipótese em que a parte requerida comunicará previamente a PARTE DIVULGADORA.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 DEVOLUÇÃO E DA DESTRUIÇÃO DAS INFORMAÇÕES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Encerradas as tratativas, concluída ou não a operação, a PARTE RECEPTORA deverá, em até 10 (dez) dias úteis contados da comunicação: I – devolver toda a documentação física recebida; II – destruir os arquivos eletrônicos, cópias, reproduções, anotações e materiais derivados; III – apresentar declaração formal de destruição, quando solicitada.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</w:t>
      </w:r>
      <w:r>
        <w:rPr>
          <w:rFonts w:ascii="Arial" w:cs="Arial" w:eastAsia="Arial" w:hAnsi="Arial"/>
          <w:sz w:val="22"/>
          <w:szCs w:val="22"/>
        </w:rPr>
        <w:t xml:space="preserve">A retenção de qualquer documento após esse prazo caracteriza infração contratual grave.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DA DOCUMENTAÇÃO E DA VALIDAÇÃO DO CRÉDITO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A PARTE RECEPTORA terá acesso, sob sigilo, à documentação do ativo, para aferição própria de sua existência, regularidade e integralidade, declarando possuir capacidade técnica e autonomia para realizar sua avaliação jurídica, contábil, fiscal e operacional, e assumindo integral responsabilidade pela decisão de aquisição.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 </w:t>
      </w:r>
      <w:r>
        <w:rPr>
          <w:rFonts w:ascii="Arial" w:cs="Arial" w:eastAsia="Arial" w:hAnsi="Arial"/>
          <w:sz w:val="22"/>
          <w:szCs w:val="22"/>
        </w:rPr>
        <w:t xml:space="preserve">A documentação mínima da operação compreende: (i) decisão judicial transitada em julgado que reconheceu o crédito, ou processo administrativo de reconhecimento; (ii) certidão de trânsito em julgado; (iii) pedido de habilitação do crédito e respectivo despacho decisório; (iv) demonstrativo do crédito e memória de cálculo; (v) certidão de objeto e pé do processo de origem; (vi) comprovação da inexistência de cessão ou penhora anterior.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 </w:t>
      </w:r>
      <w:r>
        <w:rPr>
          <w:rFonts w:ascii="Arial" w:cs="Arial" w:eastAsia="Arial" w:hAnsi="Arial"/>
          <w:sz w:val="22"/>
          <w:szCs w:val="22"/>
        </w:rPr>
        <w:t xml:space="preserve">CEDENTE e PARTE DIVULGADORA garantem: (i) a existência e a titularidade do direito creditório, na forma do art. 295 do Código Civil; (ii) a regularidade e a integridade da documentação que instrui o crédito; (iii) a inexistência de cessão anterior, penhora ou gravame sobre o crédito; (iv) a higidez jurídica e documental do crédito até a data da efetiva cessão.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4.4. </w:t>
      </w:r>
      <w:r>
        <w:rPr>
          <w:rFonts w:ascii="Arial" w:cs="Arial" w:eastAsia="Arial" w:hAnsi="Arial"/>
          <w:sz w:val="22"/>
          <w:szCs w:val="22"/>
        </w:rPr>
        <w:t xml:space="preserve">CEDENTE e PARTE DIVULGADORA NÃO garantem, permanecendo sob exclusiva responsabilidade da PARTE RECEPTORA: (i) a habilitação, a homologação ou a compensação do crédito perante a Receita Federal do Brasil ou a Procuradoria-Geral da Fazenda Nacional; (ii) o aproveitamento tributário, a monetização ou a recuperação econômica futura do crédito pelo adquirente; (iii) a aceitação do crédito por qualquer órgão público em procedimento posterior à cessão.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4.5. </w:t>
      </w:r>
      <w:r>
        <w:rPr>
          <w:rFonts w:ascii="Arial" w:cs="Arial" w:eastAsia="Arial" w:hAnsi="Arial"/>
          <w:sz w:val="22"/>
          <w:szCs w:val="22"/>
        </w:rPr>
        <w:t xml:space="preserve">As PARTES declaram ciência expressa de que a legislação federal não admite compensação de débito próprio com crédito de terceiro (art. 74, § 12, II, alínea a, da Lei nº 9.430/1996). Quem adquire crédito federal esperando compensar tributo próprio precisa saber disso antes de assinar, e a estrutura da operação tem de responder a esse ponto por escrito.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4.6. </w:t>
      </w:r>
      <w:r>
        <w:rPr>
          <w:rFonts w:ascii="Arial" w:cs="Arial" w:eastAsia="Arial" w:hAnsi="Arial"/>
          <w:sz w:val="22"/>
          <w:szCs w:val="22"/>
        </w:rPr>
        <w:t xml:space="preserve">Assumidas em instrumento próprio obrigações de habilitação, homologação, compensação, liquidação, entrega, transporte ou operacionalização do ativo, permanecem íntegras as garantias ali prestadas, obrigando-se o responsável pela estruturação a executá-las na forma da legislação aplicável.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DA NÃO CIRCUNVENÇÃO E DA PRESERVAÇÃO DA CADEIA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As oportunidades, os relacionamentos comerciais, os investidores, compradores, vendedores, mandatários e demais contatos apresentados constituem patrimônio comercial protegido das PARTES que os apresentaram.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Durante a vigência deste instrumento e por 36 (trinta e seis) meses após sua extinção, nenhuma das PARTES contatará, negociará, contratará, estruturará, intermediará ou concluirá operação, direta ou indireta, com qualquer pessoa apresentada em razão deste acordo, sem autorização prévia e escrita de quem a apresentou.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 </w:t>
      </w:r>
      <w:r>
        <w:rPr>
          <w:rFonts w:ascii="Arial" w:cs="Arial" w:eastAsia="Arial" w:hAnsi="Arial"/>
          <w:sz w:val="22"/>
          <w:szCs w:val="22"/>
        </w:rPr>
        <w:t xml:space="preserve">A vedação alcança a atuação por interposta pessoa, empresa coligada, controlada, controladora, sócios, procuradores, representantes ou parente até o terceiro grau.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 </w:t>
      </w:r>
      <w:r>
        <w:rPr>
          <w:rFonts w:ascii="Arial" w:cs="Arial" w:eastAsia="Arial" w:hAnsi="Arial"/>
          <w:sz w:val="22"/>
          <w:szCs w:val="22"/>
        </w:rPr>
        <w:t xml:space="preserve">Configura circunvenção, para todos os efeitos, a tentativa de contornar qualquer elo da cadeia mediante alteração do desenho da operação, troca de veículo societário, interposição de terceiros ou fracionamento do negócio.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 </w:t>
      </w:r>
      <w:r>
        <w:rPr>
          <w:rFonts w:ascii="Arial" w:cs="Arial" w:eastAsia="Arial" w:hAnsi="Arial"/>
          <w:sz w:val="22"/>
          <w:szCs w:val="22"/>
        </w:rPr>
        <w:t xml:space="preserve">A obrigação alcança não apenas a operação ora apresentada, mas também qualquer operação futura, renovação, aditamento, substituição ou desdobramento celebrado entre as mesmas PARTES ou entre elas e as contrapartes apresentadas.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SEXTA — DA REMUNERAÇÃO E DA CADEIA DE COMISSIONAMENTO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Fica reconhecida em favor da cadeia de intermediação a remuneração de 2,5% (dois vírgula cinco por cento), calculada sobre o valor bruto de cada operação efetivamente concluída em decorrência da apresentação aqui reconhecida.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6.2. </w:t>
      </w:r>
      <w:r>
        <w:rPr>
          <w:rFonts w:ascii="Arial" w:cs="Arial" w:eastAsia="Arial" w:hAnsi="Arial"/>
          <w:sz w:val="22"/>
          <w:szCs w:val="22"/>
        </w:rPr>
        <w:t xml:space="preserve">A remuneração é devida ainda que a conclusão do negócio ocorra após o término deste acordo, na forma do art. 725 do Código Civil, e vincula-se ao efetivo recebimento dos valores pelo adquirente.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6.3. </w:t>
      </w:r>
      <w:r>
        <w:rPr>
          <w:rFonts w:ascii="Arial" w:cs="Arial" w:eastAsia="Arial" w:hAnsi="Arial"/>
          <w:sz w:val="22"/>
          <w:szCs w:val="22"/>
        </w:rPr>
        <w:t xml:space="preserve">A cadeia de intermediação reconhecida pelas PARTES é a constante do quadro abaixo: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Intermediário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ROMACRED SOLUÇÕES FINANCEIRAS LTDA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12.ABC.345/01DE-35 — p.p. José Luciano da Costa Roma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2,50%</w:t>
            </w:r>
          </w:p>
        </w:tc>
      </w:tr>
    </w:tbl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6.4. </w:t>
      </w:r>
      <w:r>
        <w:rPr>
          <w:rFonts w:ascii="Arial" w:cs="Arial" w:eastAsia="Arial" w:hAnsi="Arial"/>
          <w:sz w:val="22"/>
          <w:szCs w:val="22"/>
        </w:rPr>
        <w:t xml:space="preserve">Remunerações devidas a agentes não nomeados neste instrumento serão tratadas entre as respectivas partes, sem que este acordo lhes faça referência ou gere obrigação.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SÉTIMA — DA VIGÊNCIA E DA RESCISÃO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 </w:t>
      </w:r>
      <w:r>
        <w:rPr>
          <w:rFonts w:ascii="Arial" w:cs="Arial" w:eastAsia="Arial" w:hAnsi="Arial"/>
          <w:sz w:val="22"/>
          <w:szCs w:val="22"/>
        </w:rPr>
        <w:t xml:space="preserve">Este acordo vigora por 24 (vinte e quatro) meses contados da assinatura, renovando-se automaticamente por igual período caso nenhuma das PARTES manifeste o contrário com 30 (trinta) dias de antecedência.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7.2. </w:t>
      </w:r>
      <w:r>
        <w:rPr>
          <w:rFonts w:ascii="Arial" w:cs="Arial" w:eastAsia="Arial" w:hAnsi="Arial"/>
          <w:sz w:val="22"/>
          <w:szCs w:val="22"/>
        </w:rPr>
        <w:t xml:space="preserve">Poderá ser rescindido por acordo escrito entre as PARTES, por descumprimento não sanado em 15 (quinze) dias contados de notificação, ou por fato superveniente comprovado que impeça a continuidade da operação.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7.3. </w:t>
      </w:r>
      <w:r>
        <w:rPr>
          <w:rFonts w:ascii="Arial" w:cs="Arial" w:eastAsia="Arial" w:hAnsi="Arial"/>
          <w:sz w:val="22"/>
          <w:szCs w:val="22"/>
        </w:rPr>
        <w:t xml:space="preserve">A extinção não afeta as obrigações de sigilo, de não circunvenção e de pagamento da remuneração já devida.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OITAVA — DAS PENALIDADES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8.1. </w:t>
      </w:r>
      <w:r>
        <w:rPr>
          <w:rFonts w:ascii="Arial" w:cs="Arial" w:eastAsia="Arial" w:hAnsi="Arial"/>
          <w:sz w:val="22"/>
          <w:szCs w:val="22"/>
        </w:rPr>
        <w:t xml:space="preserve">A quebra de confidencialidade sujeita a PARTE infratora a multa não compensatória de 30% (trinta por cento) do valor econômico da operação, observado o piso de R$ 200.000,00, o que corresponde, nesta data, a R$ 200.000,00, exigível independentemente da comprovação de prejuízo e sem prejuízo de perdas e danos.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8.2. </w:t>
      </w:r>
      <w:r>
        <w:rPr>
          <w:rFonts w:ascii="Arial" w:cs="Arial" w:eastAsia="Arial" w:hAnsi="Arial"/>
          <w:sz w:val="22"/>
          <w:szCs w:val="22"/>
        </w:rPr>
        <w:t xml:space="preserve">A circunvenção sujeita a PARTE infratora a multa compensatória equivalente ao maior dos seguintes valores: I – a integralidade da comissão prevista para a cadeia de intermediação da operação; II – 30% (trinta por cento) do valor bruto da operação realizada com circunvenção.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8.3. </w:t>
      </w:r>
      <w:r>
        <w:rPr>
          <w:rFonts w:ascii="Arial" w:cs="Arial" w:eastAsia="Arial" w:hAnsi="Arial"/>
          <w:sz w:val="22"/>
          <w:szCs w:val="22"/>
        </w:rPr>
        <w:t xml:space="preserve">A PARTE infratora responde ainda por lucros cessantes, danos emergentes, danos reputacionais e honorários advocatícios.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8.4. </w:t>
      </w:r>
      <w:r>
        <w:rPr>
          <w:rFonts w:ascii="Arial" w:cs="Arial" w:eastAsia="Arial" w:hAnsi="Arial"/>
          <w:sz w:val="22"/>
          <w:szCs w:val="22"/>
        </w:rPr>
        <w:t xml:space="preserve">As PARTES reconhecem este instrumento como título executivo extrajudicial, nos termos do art. 784, III, do Código de Processo Civil, quando assinado por duas testemunhas.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NONA — DAS ADVERTÊNCIAS ESPECÍFICAS — CRÉDITO DE PIS/COFINS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9.1. </w:t>
      </w:r>
      <w:r>
        <w:rPr>
          <w:rFonts w:ascii="Arial" w:cs="Arial" w:eastAsia="Arial" w:hAnsi="Arial"/>
          <w:sz w:val="22"/>
          <w:szCs w:val="22"/>
        </w:rPr>
        <w:t xml:space="preserve">As PARTES declaram ciência das condições próprias deste ativo, que integram este instrumento para todos os efeitos: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9.2. </w:t>
      </w:r>
      <w:r>
        <w:rPr>
          <w:rFonts w:ascii="Arial" w:cs="Arial" w:eastAsia="Arial" w:hAnsi="Arial"/>
          <w:sz w:val="22"/>
          <w:szCs w:val="22"/>
        </w:rPr>
        <w:t xml:space="preserve">A cessão transfere o direito creditório, não o direito de compensar. A forma de aproveitamento tem de ser definida em instrumento próprio, com identificação de quem assume a obrigação de executá-la.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9.3. </w:t>
      </w:r>
      <w:r>
        <w:rPr>
          <w:rFonts w:ascii="Arial" w:cs="Arial" w:eastAsia="Arial" w:hAnsi="Arial"/>
          <w:sz w:val="22"/>
          <w:szCs w:val="22"/>
        </w:rPr>
        <w:t xml:space="preserve">Crédito ainda não habilitado perante a Receita Federal é expectativa de crédito, e o contrato deve dizer isso com essas palavras.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DÉCIMA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por meio eletrônico, reconhecendo a validade da assinatura eletrônica nos termos do art. 10, § 2º, da Medida Provisória nº 2.200-2/2001 e do art. 4º da Lei nº 14.063/2020,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24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TSA CONSULTORIA E EMPREENDIMENTOS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Herika Tsuruda Araki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Parte divulgadora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ROMACRED SOLUÇÕES FINANCEIRAS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José Luciano da Costa Roma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 GUILHERME CONSULTORIA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11.444.777/0001-61 — p.p. Marcos A. Guilherme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Mandatário de compra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422 (boa-fé), 425 (contrato atípico) e 722 a 729 (corretagem); Código Civil, art. 927 (dever de indenizar).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5BB875C6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Não Circunvenção e Confidencialidade — Crédito de PIS/COFINS</dc:title>
  <dc:creator>Plataforma</dc:creator>
  <dc:description>NCNDA — Sigilo e Não Circunvenção — OP-0001</dc:description>
  <cp:lastModifiedBy>Un-named</cp:lastModifiedBy>
  <cp:revision>1</cp:revision>
  <dcterms:created xsi:type="dcterms:W3CDTF">2026-08-24T21:05:45.751Z</dcterms:created>
  <dcterms:modified xsi:type="dcterms:W3CDTF">2026-08-24T21:05:45.751Z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