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DE NÃO CIRCUNVENÇÃO E CONFIDENCIALIDADE — OURO (AU)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Non-Circumvention, Non-Disclosure Agreement — NCNDA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DIVULGADORA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TSA CONSULTORIA E EMPREENDIMENTOS LTDA, pessoa jurídica de direito privado, inscrita no CNPJ/MF sob o nº 11.222.333/0001-81, com sede na Avenida Deputado Jamel Cecílio, nº 2690, [BAIRRO NÃO INFORMADO], Goiânia/GO, CEP [CEP NÃO INFORMADO], neste ato representada por Herika Tsuruda Araki, [NACIONALIDADE NÃO INFORMADO], [ESTADO CIVIL NÃO INFORMADO], procuradora, portador(a) do RG nº [RG NÃO INFORMADO] e inscrito(a) no CPF/MF sob o nº 529.982.247-25, na qualidade de procuradora,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DIVULGADORA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INTERMEDIÁRIA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ROMACRED SOLUÇÕES FINANCEIRAS LTDA, pessoa jurídica de direito privado, inscrita no CNPJ/MF sob o nº 12.ABC.345/01DE-35, com sede na Praça Sílvio Vaz de Arruda, nº 140, [BAIRRO NÃO INFORMADO], Guariba/SP, CEP [CEP NÃO INFORMADO], neste ato representada por José Luciano da Costa Roma, [NACIONALIDADE NÃO INFORMADO], [ESTADO CIVIL NÃO INFORMADO], sócio administrador, portador(a) do RG nº [RG NÃO INFORMADO] e inscrito(a) no CPF/MF sob o nº 111.444.777-35,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 GUILHERME CONSULTORIA LTDA, pessoa jurídica de direito privado, inscrita no CNPJ/MF sob o nº 11.444.777/0001-61, com sede na Rua Camargo Paes, nº 25, [BAIRRO NÃO INFORMADO], Campinas/SP, CEP [CEP NÃO INFORMADO], neste ato representada por Marcos A. Guilherme, [NACIONALIDADE NÃO INFORMADO], [ESTADO CIVIL NÃO INFORMADO], sócio, portador(a) do RG nº [RG NÃO INFORMADO] e inscrito(a) no CPF/MF sob o nº 529.982.247-25, na qualidade de sócio,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Acordo de Não Circunvenção e Confidencialidade (Non-Circumvention, Non-Disclosure Agreement — NCNDA), destinado à compra e venda de ouro, regido pelas cláusulas a seguir e, no que couber, por (i) Lei nº 7.766/1989; (ii) art. 153, § 5º, da Constituição Federal; (iii) Decreto-Lei nº 227/1967 e Lei nº 13.575/2017; (iv) Lei nº 9.613/1998; (v) arts. 481 e seguintes do Código Civil, bem como pelos arts. 422, 425 e 722 a 729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 E DA APRESENTAÇÃO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instrumento tem por objeto a intermediação, a estruturação e o comissionamento decorrentes da compra e venda de ouro, relativa a ouro em barras, com teor de 999,9, na forma de barra de 1 kg, na quantidade de 100,0000 quilogramas, conforme laudo de ensaio nº 4471/2026, Laboratório Metalquímica, com origem no título minerário ANM 802.115/2019, nas condições FOB Guarulhos, e destino a Zurique, Suíça.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operação apresenta valor de face de R$ 1.000.000,00 (um milhão de reais), deságio de 40% (quarenta por cento), valor negociado de R$ 600.000,00 (seiscentos mil reais), sendo que a forma e o prazo de pagamento serão estruturados em instrumento próprio, a ser celebrado após a conclusão da diligência.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As PARTES reconhecem que não conheciam previamente as contrapartes, fontes e oportunidades ora apresentadas, e que delas tomaram conhecimento exclusivamente por intermédio da PARTE DIVULGADORA e da cadeia de intermediação nomeada neste instrumento.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INFORMAÇÕES CONFIDENCIAIS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Consideram-se Informações Confidenciais todos os documentos, dados, relatórios, pareceres, laudos, certidões, apresentações, processos judiciais e administrativos, estratégias comerciais, fiscais e financeiras, identidade de investidores, compradores, vendedores, mandatários e intermediários, estruturas operacionais, valores, deságios, comissões, dados bancários e contatos revelados, direta ou indiretamente, em razão deste acordo.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As Informações Confidenciais serão utilizadas exclusivamente para a análise da operação objeto deste instrumento, vedada qualquer outra finalidade.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Nenhuma Informação Confidencial poderá ser compartilhada, reproduzida, divulgada ou disponibilizada a terceiros sem autorização prévia, expressa e escrita da PARTE DIVULGADORA, que indicará especificamente os destinatários autorizados.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 </w:t>
      </w:r>
      <w:r>
        <w:rPr>
          <w:rFonts w:ascii="Arial" w:cs="Arial" w:eastAsia="Arial" w:hAnsi="Arial"/>
          <w:sz w:val="22"/>
          <w:szCs w:val="22"/>
        </w:rPr>
        <w:t xml:space="preserve">Autorizada a divulgação, a PARTE RECEPTORA responde integralmente pelos atos dos terceiros que receberem as informações, de forma solidária.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 </w:t>
      </w:r>
      <w:r>
        <w:rPr>
          <w:rFonts w:ascii="Arial" w:cs="Arial" w:eastAsia="Arial" w:hAnsi="Arial"/>
          <w:sz w:val="22"/>
          <w:szCs w:val="22"/>
        </w:rPr>
        <w:t xml:space="preserve">A obrigação de sigilo vigora durante este acordo e por 5 (cinco) anos após sua extinção, qualquer que seja o motivo, observada a Lei nº 13.709/2018 quanto a dados pessoais.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 </w:t>
      </w:r>
      <w:r>
        <w:rPr>
          <w:rFonts w:ascii="Arial" w:cs="Arial" w:eastAsia="Arial" w:hAnsi="Arial"/>
          <w:sz w:val="22"/>
          <w:szCs w:val="22"/>
        </w:rPr>
        <w:t xml:space="preserve">Não são confidenciais as informações que já eram de domínio público, que se tornaram públicas sem violação deste acordo, que a parte já detinha comprovadamente antes da revelação, ou cuja divulgação seja exigida por lei, ordem judicial ou autoridade competente, hipótese em que a parte requerida comunicará previamente a PARTE DIVULGADORA.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DEVOLUÇÃO E DA DESTRUIÇÃO DAS INFORMAÇÕES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Encerradas as tratativas, concluída ou não a operação, a PARTE RECEPTORA deverá, em até 10 (dez) dias úteis contados da comunicação: I – devolver toda a documentação física recebida; II – destruir os arquivos eletrônicos, cópias, reproduções, anotações e materiais derivados; III – apresentar declaração formal de destruição, quando solicitada.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A retenção de qualquer documento após esse prazo caracteriza infração contratual grave.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DOCUMENTAÇÃO E DA VERIFICAÇÃO DO ATIVO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A PARTE RECEPTORA terá acesso, sob sigilo, à documentação do ativo, para aferição própria de sua existência, regularidade e integralidade, declarando possuir capacidade técnica e autonomia para realizar sua avaliação jurídica, contábil, fiscal e operacional, e assumindo integral responsabilidade pela decisão de aquisição.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A documentação mínima da operação compreende: (i) laudo de ensaio (assay) emitido por laboratório independente, com teor e massa; (ii) nota fiscal eletrônica de aquisição e a cadeia completa das notas anteriores; (iii) título minerário, permissão de lavra garimpeira ou licença ambiental da área de origem; (iv) comprovação de recolhimento da CFEM; (v) identificação do lote, com numeração das barras e peso individual; (vi) comprovação de custódia e do local de guarda do metal; (vii) identificação da instituição autorizada que realizou a primeira aquisição, em ouro de garimpo.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VENDEDOR e PARTE DIVULGADORA garantem: (i) a origem lícita e rastreável do metal, com cadeia de custódia documentada desde a extração ou a importação; (ii) o teor declarado, comprovado por laudo de ensaio de laboratório independente; (iii) a regularidade fiscal da operação, com nota fiscal eletrônica hábil; (iv) a inexistência de gravame, penhor ou reivindicação de terceiro sobre o metal; (v) o recolhimento da Compensação Financeira pela Exploração de Recursos Minerais, quando devida.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 </w:t>
      </w:r>
      <w:r>
        <w:rPr>
          <w:rFonts w:ascii="Arial" w:cs="Arial" w:eastAsia="Arial" w:hAnsi="Arial"/>
          <w:sz w:val="22"/>
          <w:szCs w:val="22"/>
        </w:rPr>
        <w:t xml:space="preserve">VENDEDOR e PARTE DIVULGADORA NÃO garantem, permanecendo sob exclusiva responsabilidade da PARTE RECEPTORA: (i) a cotação do metal na data da liquidação; (ii) a aceitação do lote por refinaria, bolsa ou contraparte estrangeira específica; (iii) o prazo de liberação em operações de exportação.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4.5. </w:t>
      </w:r>
      <w:r>
        <w:rPr>
          <w:rFonts w:ascii="Arial" w:cs="Arial" w:eastAsia="Arial" w:hAnsi="Arial"/>
          <w:sz w:val="22"/>
          <w:szCs w:val="22"/>
        </w:rPr>
        <w:t xml:space="preserve">As PARTES declaram ciência expressa de que o risco do ouro é a origem, não o preço. Metal sem cadeia de custódia documentada contamina toda a operação e alcança quem comprou: o Supremo Tribunal Federal afastou a presunção de boa-fé na aquisição de ouro de garimpo (ADI 7273), de modo que cabe ao adquirente verificar a procedência.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4.6. </w:t>
      </w:r>
      <w:r>
        <w:rPr>
          <w:rFonts w:ascii="Arial" w:cs="Arial" w:eastAsia="Arial" w:hAnsi="Arial"/>
          <w:sz w:val="22"/>
          <w:szCs w:val="22"/>
        </w:rPr>
        <w:t xml:space="preserve">Assumidas em instrumento próprio obrigações de habilitação, homologação, compensação, liquidação, entrega, transporte ou operacionalização do ativo, permanecem íntegras as garantias ali prestadas, obrigando-se o responsável pela estruturação a executá-las na forma da legislação aplicável.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NÃO CIRCUNVENÇÃO E DA PRESERVAÇÃO DA CADEIA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As oportunidades, os relacionamentos comerciais, os investidores, compradores, vendedores, mandatários e demais contatos apresentados constituem patrimônio comercial protegido das PARTES que os apresentaram.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Durante a vigência deste instrumento e por 36 (trinta e seis) meses após sua extinção, nenhuma das PARTES contatará, negociará, contratará, estruturará, intermediará ou concluirá operação, direta ou indireta, com qualquer pessoa apresentada em razão deste acordo, sem autorização prévia e escrita de quem a apresentou.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A vedação alcança a atuação por interposta pessoa, empresa coligada, controlada, controladora, sócios, procuradores, representantes ou parente até o terceiro grau.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 </w:t>
      </w:r>
      <w:r>
        <w:rPr>
          <w:rFonts w:ascii="Arial" w:cs="Arial" w:eastAsia="Arial" w:hAnsi="Arial"/>
          <w:sz w:val="22"/>
          <w:szCs w:val="22"/>
        </w:rPr>
        <w:t xml:space="preserve">Configura circunvenção, para todos os efeitos, a tentativa de contornar qualquer elo da cadeia mediante alteração do desenho da operação, troca de veículo societário, interposição de terceiros ou fracionamento do negócio.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 </w:t>
      </w:r>
      <w:r>
        <w:rPr>
          <w:rFonts w:ascii="Arial" w:cs="Arial" w:eastAsia="Arial" w:hAnsi="Arial"/>
          <w:sz w:val="22"/>
          <w:szCs w:val="22"/>
        </w:rPr>
        <w:t xml:space="preserve">A obrigação alcança não apenas a operação ora apresentada, mas também qualquer operação futura, renovação, aditamento, substituição ou desdobramento celebrado entre as mesmas PARTES ou entre elas e as contrapartes apresentadas.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REMUNERAÇÃO E DA CADEIA DE COMISSIONAMENTO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Fica reconhecida em favor da cadeia de intermediação a remuneração de 2,5% (dois vírgula cinco por cento), calculada sobre o valor bruto de cada operação efetivamente concluída em decorrência da apresentação aqui reconhecida.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A remuneração é devida ainda que a conclusão do negócio ocorra após o término deste acordo, na forma do art. 725 do Código Civil, e vincula-se ao efetivo recebimento dos valores pelo adquirente.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A cadeia de intermediação reconhecida pelas PARTES é a constante do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ROMACRED SOLUÇÕES FINANCEIRAS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12.ABC.345/01DE-35 — p.p. José Luciano da Costa Roma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2,50%</w:t>
            </w:r>
          </w:p>
        </w:tc>
      </w:tr>
    </w:tbl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6.4. </w:t>
      </w:r>
      <w:r>
        <w:rPr>
          <w:rFonts w:ascii="Arial" w:cs="Arial" w:eastAsia="Arial" w:hAnsi="Arial"/>
          <w:sz w:val="22"/>
          <w:szCs w:val="22"/>
        </w:rPr>
        <w:t xml:space="preserve">Remunerações devidas a agentes não nomeados neste instrumento serão tratadas entre as respectivas partes, sem que este acordo lhes faça referência ou gere obrigação.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 VIGÊNCIA E DA RESCISÃO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Este acordo vigora por 24 (vinte e quatro) meses contados da assinatura, renovando-se automaticamente por igual período caso nenhuma das PARTES manifeste o contrário com 30 (trinta) dias de antecedência.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Poderá ser rescindido por acordo escrito entre as PARTES, por descumprimento não sanado em 15 (quinze) dias contados de notificação, ou por fato superveniente comprovado que impeça a continuidade da operação.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A extinção não afeta as obrigações de sigilo, de não circunvenção e de pagamento da remuneração já devida.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DAS PENALIDADES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A quebra de confidencialidade sujeita a PARTE infratora a multa não compensatória de 30% (trinta por cento) do valor econômico da operação, observado o piso de R$ 200.000,00, o que corresponde, nesta data, a R$ 200.000,00, exigível independentemente da comprovação de prejuízo e sem prejuízo de perdas e danos.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A circunvenção sujeita a PARTE infratora a multa compensatória equivalente ao maior dos seguintes valores: I – a integralidade da comissão prevista para a cadeia de intermediação da operação; II – 30% (trinta por cento) do valor bruto da operação realizada com circunvenção.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A PARTE infratora responde ainda por lucros cessantes, danos emergentes, danos reputacionais e honorários advocatícios.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8.4. </w:t>
      </w:r>
      <w:r>
        <w:rPr>
          <w:rFonts w:ascii="Arial" w:cs="Arial" w:eastAsia="Arial" w:hAnsi="Arial"/>
          <w:sz w:val="22"/>
          <w:szCs w:val="22"/>
        </w:rPr>
        <w:t xml:space="preserve">As PARTES reconhecem este instrumento como título executivo extrajudicial, nos termos do art. 784, III, do Código de Processo Civil, quando assinado por duas testemunhas.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NONA — DAS ADVERTÊNCIAS ESPECÍFICAS — OURO (AU)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 </w:t>
      </w:r>
      <w:r>
        <w:rPr>
          <w:rFonts w:ascii="Arial" w:cs="Arial" w:eastAsia="Arial" w:hAnsi="Arial"/>
          <w:sz w:val="22"/>
          <w:szCs w:val="22"/>
        </w:rPr>
        <w:t xml:space="preserve">As PARTES declaram ciência das condições próprias deste ativo, que integram este instrumento para todos os efeitos: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 </w:t>
      </w:r>
      <w:r>
        <w:rPr>
          <w:rFonts w:ascii="Arial" w:cs="Arial" w:eastAsia="Arial" w:hAnsi="Arial"/>
          <w:sz w:val="22"/>
          <w:szCs w:val="22"/>
        </w:rPr>
        <w:t xml:space="preserve">A primeira aquisição de ouro extraído em garimpo é privativa de instituição autorizada a operar no mercado de câmbio. Compra feita fora dessa cadeia não se regulariza depois.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 </w:t>
      </w:r>
      <w:r>
        <w:rPr>
          <w:rFonts w:ascii="Arial" w:cs="Arial" w:eastAsia="Arial" w:hAnsi="Arial"/>
          <w:sz w:val="22"/>
          <w:szCs w:val="22"/>
        </w:rPr>
        <w:t xml:space="preserve">Quem comercializa metais preciosos é pessoa obrigada perante o COAF (art. 9º, parágrafo único, da Lei nº 9.613/1998), com dever de identificar o cliente e de comunicar operação suspeita.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9.4. </w:t>
      </w:r>
      <w:r>
        <w:rPr>
          <w:rFonts w:ascii="Arial" w:cs="Arial" w:eastAsia="Arial" w:hAnsi="Arial"/>
          <w:sz w:val="22"/>
          <w:szCs w:val="22"/>
        </w:rPr>
        <w:t xml:space="preserve">Laudo de ensaio emitido pelo próprio vendedor não substitui laudo de laboratório independente.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9.5. </w:t>
      </w:r>
      <w:r>
        <w:rPr>
          <w:rFonts w:ascii="Arial" w:cs="Arial" w:eastAsia="Arial" w:hAnsi="Arial"/>
          <w:sz w:val="22"/>
          <w:szCs w:val="22"/>
        </w:rPr>
        <w:t xml:space="preserve">Ouro como ativo financeiro tem tributação própria, com incidência exclusiva do IOF na origem (art. 153, § 5º, da Constituição Federal). Ouro como mercadoria segue outro regime — defina qual é o caso antes de fechar preço.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DÉCIMA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24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TSA CONSULTORIA E EMPREENDIMENTOS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Herika Tsuruda Araki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Parte divulgadora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ROMACRED SOLUÇÕES FINANCEIRAS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José Luciano da Costa Roma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 GUILHERME CONSULTORIA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11.444.777/0001-61 — p.p. Marcos A. Guilherme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Mandatário de compra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422 (boa-fé), 425 (contrato atípico) e 722 a 729 (corretagem); Código Civil, art. 927 (dever de indenizar).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ACED5935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Não Circunvenção e Confidencialidade — Ouro (Au)</dc:title>
  <dc:creator>Plataforma</dc:creator>
  <dc:description>NCNDA — Sigilo e Não Circunvenção — OP-0001</dc:description>
  <cp:lastModifiedBy>Un-named</cp:lastModifiedBy>
  <cp:revision>1</cp:revision>
  <dcterms:created xsi:type="dcterms:W3CDTF">2026-08-24T21:05:45.793Z</dcterms:created>
  <dcterms:modified xsi:type="dcterms:W3CDTF">2026-08-24T21:05:45.793Z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