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ACORDO DE NÃO CIRCUNVENÇÃO E CONFIDENCIALIDADE — PRECATÓRIO</w:t>
      </w:r>
    </w:p>
    <w:p>
      <w:pPr>
        <w:spacing w:after="32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Non-Circumvention, Non-Disclosure Agreement — NCNDA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 PARTES</w:t>
      </w: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 DIVULGADORA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TSA CONSULTORIA E EMPREENDIMENTOS LTDA, pessoa jurídica de direito privado, inscrita no CNPJ/MF sob o nº 11.222.333/0001-81, com sede na Avenida Deputado Jamel Cecílio, nº 2690, [BAIRRO NÃO INFORMADO], Goiânia/GO, CEP [CEP NÃO INFORMADO], neste ato representada por Herika Tsuruda Araki, [NACIONALIDADE NÃO INFORMADO], [ESTADO CIVIL NÃO INFORMADO], procuradora, portador(a) do RG nº [RG NÃO INFORMADO] e inscrito(a) no CPF/MF sob o nº 529.982.247-25, na qualidade de procuradora,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PARTE DIVULGADORA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 INTERMEDIÁRIA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ROMACRED SOLUÇÕES FINANCEIRAS LTDA, pessoa jurídica de direito privado, inscrita no CNPJ/MF sob o nº 12.ABC.345/01DE-35, com sede na Praça Sílvio Vaz de Arruda, nº 140, [BAIRRO NÃO INFORMADO], Guariba/SP, CEP [CEP NÃO INFORMADO], neste ato representada por José Luciano da Costa Roma, [NACIONALIDADE NÃO INFORMADO], [ESTADO CIVIL NÃO INFORMADO], sócio administrador, portador(a) do RG nº [RG NÃO INFORMADO] e inscrito(a) no CPF/MF sob o nº 111.444.777-35, na qualidade de sócio administrador,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INTERMEDIÁRIO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PARTE RECEPTORA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MA GUILHERME CONSULTORIA LTDA, pessoa jurídica de direito privado, inscrita no CNPJ/MF sob o nº 11.444.777/0001-61, com sede na Rua Camargo Paes, nº 25, [BAIRRO NÃO INFORMADO], Campinas/SP, CEP [CEP NÃO INFORMADO], neste ato representada por Marcos A. Guilherme, [NACIONALIDADE NÃO INFORMADO], [ESTADO CIVIL NÃO INFORMADO], sócio, portador(a) do RG nº [RG NÃO INFORMADO] e inscrito(a) no CPF/MF sob o nº 529.982.247-25, na qualidade de sócio, doravante denominado simplesmente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PARTE RECEPTORA</w:t>
      </w:r>
      <w:r>
        <w:rPr>
          <w:rFonts w:ascii="Arial" w:cs="Arial" w:eastAsia="Arial" w:hAnsi="Arial"/>
          <w:sz w:val="22"/>
          <w:szCs w:val="22"/>
        </w:rPr>
        <w:t xml:space="preserve">;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As PARTES celebram o presente Acordo de Não Circunvenção e Confidencialidade (Non-Circumvention, Non-Disclosure Agreement — NCNDA), destinado à cessão onerosa, total ou parcial, de crédito representado por precatório judicial, regido pelas cláusulas a seguir e, no que couber, por (i) art. 100, §§ 13 e 14, da Constituição Federal; (ii) arts. 286 a 298 do Código Civil; (iii) art. 3º da Emenda Constitucional nº 113/2021, bem como pelos arts. 422, 425 e 722 a 729 do Código Civil.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PRIMEIRA — DO OBJETO E DA APRESENTAÇÃO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1.1. </w:t>
      </w:r>
      <w:r>
        <w:rPr>
          <w:rFonts w:ascii="Arial" w:cs="Arial" w:eastAsia="Arial" w:hAnsi="Arial"/>
          <w:sz w:val="22"/>
          <w:szCs w:val="22"/>
        </w:rPr>
        <w:t xml:space="preserve">O presente instrumento tem por objeto a intermediação, a estruturação e o comissionamento decorrentes da cessão onerosa, total ou parcial, de crédito representado por precatório judicial, relativa a Precatório nº 2019.00874-3, em trâmite perante o Tribunal de Justiça do Estado de São Paulo, tendo como entidade devedora Município de Ribeirão Preto, de natureza comum, inscrito no orçamento de 2027.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1.2. </w:t>
      </w:r>
      <w:r>
        <w:rPr>
          <w:rFonts w:ascii="Arial" w:cs="Arial" w:eastAsia="Arial" w:hAnsi="Arial"/>
          <w:sz w:val="22"/>
          <w:szCs w:val="22"/>
        </w:rPr>
        <w:t xml:space="preserve">A operação apresenta valor de face de R$ 1.000.000,00 (um milhão de reais), deságio de 40% (quarenta por cento), valor negociado de R$ 600.000,00 (seiscentos mil reais), sendo que a forma e o prazo de pagamento serão estruturados em instrumento próprio, a ser celebrado após a conclusão da diligência.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1.3. </w:t>
      </w:r>
      <w:r>
        <w:rPr>
          <w:rFonts w:ascii="Arial" w:cs="Arial" w:eastAsia="Arial" w:hAnsi="Arial"/>
          <w:sz w:val="22"/>
          <w:szCs w:val="22"/>
        </w:rPr>
        <w:t xml:space="preserve">As PARTES reconhecem que não conheciam previamente as contrapartes, fontes e oportunidades ora apresentadas, e que delas tomaram conhecimento exclusivamente por intermédio da PARTE DIVULGADORA e da cadeia de intermediação nomeada neste instrumento.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SEGUNDA — DAS INFORMAÇÕES CONFIDENCIAIS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 </w:t>
      </w:r>
      <w:r>
        <w:rPr>
          <w:rFonts w:ascii="Arial" w:cs="Arial" w:eastAsia="Arial" w:hAnsi="Arial"/>
          <w:sz w:val="22"/>
          <w:szCs w:val="22"/>
        </w:rPr>
        <w:t xml:space="preserve">Consideram-se Informações Confidenciais todos os documentos, dados, relatórios, pareceres, laudos, certidões, apresentações, processos judiciais e administrativos, estratégias comerciais, fiscais e financeiras, identidade de investidores, compradores, vendedores, mandatários e intermediários, estruturas operacionais, valores, deságios, comissões, dados bancários e contatos revelados, direta ou indiretamente, em razão deste acordo.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 </w:t>
      </w:r>
      <w:r>
        <w:rPr>
          <w:rFonts w:ascii="Arial" w:cs="Arial" w:eastAsia="Arial" w:hAnsi="Arial"/>
          <w:sz w:val="22"/>
          <w:szCs w:val="22"/>
        </w:rPr>
        <w:t xml:space="preserve">As Informações Confidenciais serão utilizadas exclusivamente para a análise da operação objeto deste instrumento, vedada qualquer outra finalidade.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 </w:t>
      </w:r>
      <w:r>
        <w:rPr>
          <w:rFonts w:ascii="Arial" w:cs="Arial" w:eastAsia="Arial" w:hAnsi="Arial"/>
          <w:sz w:val="22"/>
          <w:szCs w:val="22"/>
        </w:rPr>
        <w:t xml:space="preserve">Nenhuma Informação Confidencial poderá ser compartilhada, reproduzida, divulgada ou disponibilizada a terceiros sem autorização prévia, expressa e escrita da PARTE DIVULGADORA, que indicará especificamente os destinatários autorizados.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2.4. </w:t>
      </w:r>
      <w:r>
        <w:rPr>
          <w:rFonts w:ascii="Arial" w:cs="Arial" w:eastAsia="Arial" w:hAnsi="Arial"/>
          <w:sz w:val="22"/>
          <w:szCs w:val="22"/>
        </w:rPr>
        <w:t xml:space="preserve">Autorizada a divulgação, a PARTE RECEPTORA responde integralmente pelos atos dos terceiros que receberem as informações, de forma solidária.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2.5. </w:t>
      </w:r>
      <w:r>
        <w:rPr>
          <w:rFonts w:ascii="Arial" w:cs="Arial" w:eastAsia="Arial" w:hAnsi="Arial"/>
          <w:sz w:val="22"/>
          <w:szCs w:val="22"/>
        </w:rPr>
        <w:t xml:space="preserve">A obrigação de sigilo vigora durante este acordo e por 5 (cinco) anos após sua extinção, qualquer que seja o motivo, observada a Lei nº 13.709/2018 quanto a dados pessoais.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2.6. </w:t>
      </w:r>
      <w:r>
        <w:rPr>
          <w:rFonts w:ascii="Arial" w:cs="Arial" w:eastAsia="Arial" w:hAnsi="Arial"/>
          <w:sz w:val="22"/>
          <w:szCs w:val="22"/>
        </w:rPr>
        <w:t xml:space="preserve">Não são confidenciais as informações que já eram de domínio público, que se tornaram públicas sem violação deste acordo, que a parte já detinha comprovadamente antes da revelação, ou cuja divulgação seja exigida por lei, ordem judicial ou autoridade competente, hipótese em que a parte requerida comunicará previamente a PARTE DIVULGADORA.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TERCEIRA — DA DEVOLUÇÃO E DA DESTRUIÇÃO DAS INFORMAÇÕES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 </w:t>
      </w:r>
      <w:r>
        <w:rPr>
          <w:rFonts w:ascii="Arial" w:cs="Arial" w:eastAsia="Arial" w:hAnsi="Arial"/>
          <w:sz w:val="22"/>
          <w:szCs w:val="22"/>
        </w:rPr>
        <w:t xml:space="preserve">Encerradas as tratativas, concluída ou não a operação, a PARTE RECEPTORA deverá, em até 10 (dez) dias úteis contados da comunicação: I – devolver toda a documentação física recebida; II – destruir os arquivos eletrônicos, cópias, reproduções, anotações e materiais derivados; III – apresentar declaração formal de destruição, quando solicitada.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 </w:t>
      </w:r>
      <w:r>
        <w:rPr>
          <w:rFonts w:ascii="Arial" w:cs="Arial" w:eastAsia="Arial" w:hAnsi="Arial"/>
          <w:sz w:val="22"/>
          <w:szCs w:val="22"/>
        </w:rPr>
        <w:t xml:space="preserve">A retenção de qualquer documento após esse prazo caracteriza infração contratual grave.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QUARTA — DA DOCUMENTAÇÃO E DA VALIDAÇÃO DO CRÉDITO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 </w:t>
      </w:r>
      <w:r>
        <w:rPr>
          <w:rFonts w:ascii="Arial" w:cs="Arial" w:eastAsia="Arial" w:hAnsi="Arial"/>
          <w:sz w:val="22"/>
          <w:szCs w:val="22"/>
        </w:rPr>
        <w:t xml:space="preserve">A PARTE RECEPTORA terá acesso, sob sigilo, à documentação do ativo, para aferição própria de sua existência, regularidade e integralidade, declarando possuir capacidade técnica e autonomia para realizar sua avaliação jurídica, contábil, fiscal e operacional, e assumindo integral responsabilidade pela decisão de aquisição.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4.2. </w:t>
      </w:r>
      <w:r>
        <w:rPr>
          <w:rFonts w:ascii="Arial" w:cs="Arial" w:eastAsia="Arial" w:hAnsi="Arial"/>
          <w:sz w:val="22"/>
          <w:szCs w:val="22"/>
        </w:rPr>
        <w:t xml:space="preserve">A documentação mínima da operação compreende: (i) ofício requisitório ou cópia do precatório expedido; (ii) certidão de objeto e pé do processo de origem; (iii) certidão de trânsito em julgado; (iv) comprovante de inscrição no orçamento da entidade devedora, com o exercício; (v) cálculo homologado e decisão que o homologou; (vi) certidão de inexistência de cessão anterior, expedida pelo tribunal; (vii) certidão sobre penhora, arresto ou bloqueio incidente sobre o crédito; (viii) documento que destaque os honorários advocatícios, contratuais e sucumbenciais.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4.3. </w:t>
      </w:r>
      <w:r>
        <w:rPr>
          <w:rFonts w:ascii="Arial" w:cs="Arial" w:eastAsia="Arial" w:hAnsi="Arial"/>
          <w:sz w:val="22"/>
          <w:szCs w:val="22"/>
        </w:rPr>
        <w:t xml:space="preserve">CEDENTE e PARTE DIVULGADORA garantem: (i) a existência, a liquidez e a certeza do crédito, na forma do art. 295 do Código Civil; (ii) a legitimidade da titularidade e a regularidade da habilitação do titular perante o tribunal; (iii) a inexistência de cessão, penhora, arresto, bloqueio, caução ou gravame anterior sobre o crédito; (iv) a inexistência de ação rescisória ou impugnação em curso capaz de desconstituir o título.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4.4. </w:t>
      </w:r>
      <w:r>
        <w:rPr>
          <w:rFonts w:ascii="Arial" w:cs="Arial" w:eastAsia="Arial" w:hAnsi="Arial"/>
          <w:sz w:val="22"/>
          <w:szCs w:val="22"/>
        </w:rPr>
        <w:t xml:space="preserve">CEDENTE e PARTE DIVULGADORA NÃO garantem, permanecendo sob exclusiva responsabilidade da PARTE RECEPTORA: (i) a data em que a entidade devedora efetuará o pagamento, que depende de dotação orçamentária e da ordem cronológica de apresentação; (ii) a inexistência de compensação futura com débitos do credor originário perante a entidade devedora; (iii) o valor final após a incidência de imposto de renda, contribuição previdenciária e demais retenções na fonte.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4.5. </w:t>
      </w:r>
      <w:r>
        <w:rPr>
          <w:rFonts w:ascii="Arial" w:cs="Arial" w:eastAsia="Arial" w:hAnsi="Arial"/>
          <w:sz w:val="22"/>
          <w:szCs w:val="22"/>
        </w:rPr>
        <w:t xml:space="preserve">As PARTES declaram ciência expressa de que o crédito é certo, mas a data do pagamento não é. Precatório inscrito em orçamento distante vale menos por isso, e nenhuma cláusula transfere esse risco ao cedente.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4.6. </w:t>
      </w:r>
      <w:r>
        <w:rPr>
          <w:rFonts w:ascii="Arial" w:cs="Arial" w:eastAsia="Arial" w:hAnsi="Arial"/>
          <w:sz w:val="22"/>
          <w:szCs w:val="22"/>
        </w:rPr>
        <w:t xml:space="preserve">Assumidas em instrumento próprio obrigações de habilitação, homologação, compensação, liquidação, entrega, transporte ou operacionalização do ativo, permanecem íntegras as garantias ali prestadas, obrigando-se o responsável pela estruturação a executá-las na forma da legislação aplicável.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QUINTA — DA NÃO CIRCUNVENÇÃO E DA PRESERVAÇÃO DA CADEIA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 </w:t>
      </w:r>
      <w:r>
        <w:rPr>
          <w:rFonts w:ascii="Arial" w:cs="Arial" w:eastAsia="Arial" w:hAnsi="Arial"/>
          <w:sz w:val="22"/>
          <w:szCs w:val="22"/>
        </w:rPr>
        <w:t xml:space="preserve">As oportunidades, os relacionamentos comerciais, os investidores, compradores, vendedores, mandatários e demais contatos apresentados constituem patrimônio comercial protegido das PARTES que os apresentaram.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 </w:t>
      </w:r>
      <w:r>
        <w:rPr>
          <w:rFonts w:ascii="Arial" w:cs="Arial" w:eastAsia="Arial" w:hAnsi="Arial"/>
          <w:sz w:val="22"/>
          <w:szCs w:val="22"/>
        </w:rPr>
        <w:t xml:space="preserve">Durante a vigência deste instrumento e por 36 (trinta e seis) meses após sua extinção, nenhuma das PARTES contatará, negociará, contratará, estruturará, intermediará ou concluirá operação, direta ou indireta, com qualquer pessoa apresentada em razão deste acordo, sem autorização prévia e escrita de quem a apresentou.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 </w:t>
      </w:r>
      <w:r>
        <w:rPr>
          <w:rFonts w:ascii="Arial" w:cs="Arial" w:eastAsia="Arial" w:hAnsi="Arial"/>
          <w:sz w:val="22"/>
          <w:szCs w:val="22"/>
        </w:rPr>
        <w:t xml:space="preserve">A vedação alcança a atuação por interposta pessoa, empresa coligada, controlada, controladora, sócios, procuradores, representantes ou parente até o terceiro grau.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5.4. </w:t>
      </w:r>
      <w:r>
        <w:rPr>
          <w:rFonts w:ascii="Arial" w:cs="Arial" w:eastAsia="Arial" w:hAnsi="Arial"/>
          <w:sz w:val="22"/>
          <w:szCs w:val="22"/>
        </w:rPr>
        <w:t xml:space="preserve">Configura circunvenção, para todos os efeitos, a tentativa de contornar qualquer elo da cadeia mediante alteração do desenho da operação, troca de veículo societário, interposição de terceiros ou fracionamento do negócio.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5.5. </w:t>
      </w:r>
      <w:r>
        <w:rPr>
          <w:rFonts w:ascii="Arial" w:cs="Arial" w:eastAsia="Arial" w:hAnsi="Arial"/>
          <w:sz w:val="22"/>
          <w:szCs w:val="22"/>
        </w:rPr>
        <w:t xml:space="preserve">A obrigação alcança não apenas a operação ora apresentada, mas também qualquer operação futura, renovação, aditamento, substituição ou desdobramento celebrado entre as mesmas PARTES ou entre elas e as contrapartes apresentadas.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SEXTA — DA REMUNERAÇÃO E DA CADEIA DE COMISSIONAMENTO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6.1. </w:t>
      </w:r>
      <w:r>
        <w:rPr>
          <w:rFonts w:ascii="Arial" w:cs="Arial" w:eastAsia="Arial" w:hAnsi="Arial"/>
          <w:sz w:val="22"/>
          <w:szCs w:val="22"/>
        </w:rPr>
        <w:t xml:space="preserve">Fica reconhecida em favor da cadeia de intermediação a remuneração de 2,5% (dois vírgula cinco por cento), calculada sobre o valor bruto de cada operação efetivamente concluída em decorrência da apresentação aqui reconhecida.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6.2. </w:t>
      </w:r>
      <w:r>
        <w:rPr>
          <w:rFonts w:ascii="Arial" w:cs="Arial" w:eastAsia="Arial" w:hAnsi="Arial"/>
          <w:sz w:val="22"/>
          <w:szCs w:val="22"/>
        </w:rPr>
        <w:t xml:space="preserve">A remuneração é devida ainda que a conclusão do negócio ocorra após o término deste acordo, na forma do art. 725 do Código Civil, e vincula-se ao efetivo recebimento dos valores pelo adquirente.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6.3. </w:t>
      </w:r>
      <w:r>
        <w:rPr>
          <w:rFonts w:ascii="Arial" w:cs="Arial" w:eastAsia="Arial" w:hAnsi="Arial"/>
          <w:sz w:val="22"/>
          <w:szCs w:val="22"/>
        </w:rPr>
        <w:t xml:space="preserve">A cadeia de intermediação reconhecida pelas PARTES é a constante do quadro abaixo: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Intermediário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Participação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ROMACRED SOLUÇÕES FINANCEIRAS LTDA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12.ABC.345/01DE-35 — p.p. José Luciano da Costa Roma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2,50%</w:t>
            </w:r>
          </w:p>
        </w:tc>
      </w:tr>
    </w:tbl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6.4. </w:t>
      </w:r>
      <w:r>
        <w:rPr>
          <w:rFonts w:ascii="Arial" w:cs="Arial" w:eastAsia="Arial" w:hAnsi="Arial"/>
          <w:sz w:val="22"/>
          <w:szCs w:val="22"/>
        </w:rPr>
        <w:t xml:space="preserve">Remunerações devidas a agentes não nomeados neste instrumento serão tratadas entre as respectivas partes, sem que este acordo lhes faça referência ou gere obrigação.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SÉTIMA — DA VIGÊNCIA E DA RESCISÃO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7.1. </w:t>
      </w:r>
      <w:r>
        <w:rPr>
          <w:rFonts w:ascii="Arial" w:cs="Arial" w:eastAsia="Arial" w:hAnsi="Arial"/>
          <w:sz w:val="22"/>
          <w:szCs w:val="22"/>
        </w:rPr>
        <w:t xml:space="preserve">Este acordo vigora por 24 (vinte e quatro) meses contados da assinatura, renovando-se automaticamente por igual período caso nenhuma das PARTES manifeste o contrário com 30 (trinta) dias de antecedência.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7.2. </w:t>
      </w:r>
      <w:r>
        <w:rPr>
          <w:rFonts w:ascii="Arial" w:cs="Arial" w:eastAsia="Arial" w:hAnsi="Arial"/>
          <w:sz w:val="22"/>
          <w:szCs w:val="22"/>
        </w:rPr>
        <w:t xml:space="preserve">Poderá ser rescindido por acordo escrito entre as PARTES, por descumprimento não sanado em 15 (quinze) dias contados de notificação, ou por fato superveniente comprovado que impeça a continuidade da operação.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7.3. </w:t>
      </w:r>
      <w:r>
        <w:rPr>
          <w:rFonts w:ascii="Arial" w:cs="Arial" w:eastAsia="Arial" w:hAnsi="Arial"/>
          <w:sz w:val="22"/>
          <w:szCs w:val="22"/>
        </w:rPr>
        <w:t xml:space="preserve">A extinção não afeta as obrigações de sigilo, de não circunvenção e de pagamento da remuneração já devida.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OITAVA — DAS PENALIDADES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8.1. </w:t>
      </w:r>
      <w:r>
        <w:rPr>
          <w:rFonts w:ascii="Arial" w:cs="Arial" w:eastAsia="Arial" w:hAnsi="Arial"/>
          <w:sz w:val="22"/>
          <w:szCs w:val="22"/>
        </w:rPr>
        <w:t xml:space="preserve">A quebra de confidencialidade sujeita a PARTE infratora a multa não compensatória de 30% (trinta por cento) do valor econômico da operação, observado o piso de R$ 200.000,00, o que corresponde, nesta data, a R$ 200.000,00, exigível independentemente da comprovação de prejuízo e sem prejuízo de perdas e danos.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8.2. </w:t>
      </w:r>
      <w:r>
        <w:rPr>
          <w:rFonts w:ascii="Arial" w:cs="Arial" w:eastAsia="Arial" w:hAnsi="Arial"/>
          <w:sz w:val="22"/>
          <w:szCs w:val="22"/>
        </w:rPr>
        <w:t xml:space="preserve">A circunvenção sujeita a PARTE infratora a multa compensatória equivalente ao maior dos seguintes valores: I – a integralidade da comissão prevista para a cadeia de intermediação da operação; II – 30% (trinta por cento) do valor bruto da operação realizada com circunvenção.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8.3. </w:t>
      </w:r>
      <w:r>
        <w:rPr>
          <w:rFonts w:ascii="Arial" w:cs="Arial" w:eastAsia="Arial" w:hAnsi="Arial"/>
          <w:sz w:val="22"/>
          <w:szCs w:val="22"/>
        </w:rPr>
        <w:t xml:space="preserve">A PARTE infratora responde ainda por lucros cessantes, danos emergentes, danos reputacionais e honorários advocatícios.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8.4. </w:t>
      </w:r>
      <w:r>
        <w:rPr>
          <w:rFonts w:ascii="Arial" w:cs="Arial" w:eastAsia="Arial" w:hAnsi="Arial"/>
          <w:sz w:val="22"/>
          <w:szCs w:val="22"/>
        </w:rPr>
        <w:t xml:space="preserve">As PARTES reconhecem este instrumento como título executivo extrajudicial, nos termos do art. 784, III, do Código de Processo Civil, quando assinado por duas testemunhas.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NONA — DAS ADVERTÊNCIAS ESPECÍFICAS — PRECATÓRIO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9.1. </w:t>
      </w:r>
      <w:r>
        <w:rPr>
          <w:rFonts w:ascii="Arial" w:cs="Arial" w:eastAsia="Arial" w:hAnsi="Arial"/>
          <w:sz w:val="22"/>
          <w:szCs w:val="22"/>
        </w:rPr>
        <w:t xml:space="preserve">As PARTES declaram ciência das condições próprias deste ativo, que integram este instrumento para todos os efeitos: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9.2. </w:t>
      </w:r>
      <w:r>
        <w:rPr>
          <w:rFonts w:ascii="Arial" w:cs="Arial" w:eastAsia="Arial" w:hAnsi="Arial"/>
          <w:sz w:val="22"/>
          <w:szCs w:val="22"/>
        </w:rPr>
        <w:t xml:space="preserve">A cessão só produz efeitos perante a entidade devedora e o tribunal depois de comunicada a ambos, por petição nos autos de origem (art. 100, § 14, da Constituição Federal). Sem essa comunicação, o pagamento continua sendo feito ao cedente.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9.3. </w:t>
      </w:r>
      <w:r>
        <w:rPr>
          <w:rFonts w:ascii="Arial" w:cs="Arial" w:eastAsia="Arial" w:hAnsi="Arial"/>
          <w:sz w:val="22"/>
          <w:szCs w:val="22"/>
        </w:rPr>
        <w:t xml:space="preserve">Honorários advocatícios destacados no ofício requisitório pertencem ao advogado e não integram o crédito cedido. Verifique o destaque antes de calcular o valor da cessão.</w:t>
      </w:r>
    </w:p>
    <w:p>
      <w:pPr>
        <w:spacing w:after="14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9.4. </w:t>
      </w:r>
      <w:r>
        <w:rPr>
          <w:rFonts w:ascii="Arial" w:cs="Arial" w:eastAsia="Arial" w:hAnsi="Arial"/>
          <w:sz w:val="22"/>
          <w:szCs w:val="22"/>
        </w:rPr>
        <w:t xml:space="preserve">A cessão não altera a natureza alimentar ou comum do crédito nem a ordem cronológica já estabelecida (art. 100, § 13, da Constituição Federal).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CLÁUSULA DÉCIMA — DO FORO</w:t>
      </w:r>
    </w:p>
    <w:p>
      <w:pPr>
        <w:spacing w:after="16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Fica eleito o foro da Comarca de São Paulo/SP para dirimir quaisquer dúvidas ou controvérsias oriundas do presente instrumento, com renúncia expressa a qualquer outro, por mais privilegiado que seja.</w:t>
      </w:r>
    </w:p>
    <w:p>
      <w:pPr>
        <w:spacing w:after="2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E, por estarem assim justas e contratadas, as PARTES firmam o presente instrumento por meio eletrônico, reconhecendo a validade da assinatura eletrônica nos termos do art. 10, § 2º, da Medida Provisória nº 2.200-2/2001 e do art. 4º da Lei nº 14.063/2020, na presença das testemunhas abaixo.</w:t>
      </w:r>
    </w:p>
    <w:p>
      <w:pPr>
        <w:spacing w:after="48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São Paulo/SP, 24 de agosto de 2026.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TSA CONSULTORIA E EMPREENDIMENTOS LTDA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11.222.333/0001-81 — p.p. Herika Tsuruda Araki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Parte divulgadora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ROMACRED SOLUÇÕES FINANCEIRAS LTDA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12.ABC.345/01DE-35 — p.p. José Luciano da Costa Roma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Intermediário</w:t>
      </w:r>
    </w:p>
    <w:p>
      <w:pPr>
        <w:spacing w:after="0" w:before="56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 GUILHERME CONSULTORIA LTDA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CNPJ 11.444.777/0001-61 — p.p. Marcos A. Guilherme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Mandatário de compra</w:t>
      </w:r>
    </w:p>
    <w:p>
      <w:pPr>
        <w:spacing w:after="120" w:before="4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TESTEMUNHAS: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1)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after="0" w:before="360"/>
      </w:pPr>
      <w:r>
        <w:rPr>
          <w:rFonts w:ascii="Arial" w:cs="Arial" w:eastAsia="Arial" w:hAnsi="Arial"/>
          <w:sz w:val="22"/>
          <w:szCs w:val="22"/>
        </w:rPr>
        <w:t xml:space="preserve">2) ____________________________________________</w:t>
      </w:r>
    </w:p>
    <w:p>
      <w:r>
        <w:rPr>
          <w:rFonts w:ascii="Arial" w:cs="Arial" w:eastAsia="Arial" w:hAnsi="Arial"/>
          <w:sz w:val="20"/>
          <w:szCs w:val="20"/>
        </w:rPr>
        <w:t xml:space="preserve">     Nome:                                    CPF:</w:t>
      </w:r>
    </w:p>
    <w:p>
      <w:pPr>
        <w:spacing w:before="600"/>
        <w:jc w:val="both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Fundamentos: Código Civil, arts. 422 (boa-fé), 425 (contrato atípico) e 722 a 729 (corretagem); Código Civil, art. 927 (dever de indenizar).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12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Documento gerado eletronicamente em Plataforma — código de conferência 83ECE3B4</w:t>
    </w:r>
  </w:p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Página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4"/>
        <w:szCs w:val="14"/>
      </w:rPr>
      <w:t xml:space="preserve"> de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Acordo de Não Circunvenção e Confidencialidade — Precatório</dc:title>
  <dc:creator>Plataforma</dc:creator>
  <dc:description>NCNDA — Sigilo e Não Circunvenção — OP-0001</dc:description>
  <cp:lastModifiedBy>Un-named</cp:lastModifiedBy>
  <cp:revision>1</cp:revision>
  <dcterms:created xsi:type="dcterms:W3CDTF">2026-08-24T21:05:45.705Z</dcterms:created>
  <dcterms:modified xsi:type="dcterms:W3CDTF">2026-08-24T21:05:45.705Z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