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INSTRUMENTO PARTICULAR DE CESSÃO DE CRÉDITO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Arts. 286 a 298 do Código Civil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CEDENTE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CESSIONÁRIO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ANUENTE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INTERVENIENTE ANUENTE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acima qualificadas têm entre si justo e contratado o presente instrumento, que se regerá pelas cláusulas e condições seguintes.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CEDENTE cede e transfere ao CESSIONÁRIO, em caráter irrevogável e irretratável, a totalidade do crédito relativo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de Justiça do Estado de São Paulo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2019.00874-3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0001327-64.2018.8.26.0158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 devedora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Natureza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de 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R$ 1.500.000,00 (um milhão e quinhentos mil reais)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Deságio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(quarenta por cento)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negociado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R$ 900.000,00 (novecentos mil reais)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cessão abrange o principal, a correção monetária, os juros, a multa e todos os acessórios do crédito, vencidos e vincendos, bem como as garantias que o acompanham (art. 287 do Código Civil).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DO PREÇO E DA FORMA DE PAGAMENTO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O preço certo e ajustado da presente cessão é de R$ 900.000,00 (novecentos mil reais), correspondente ao valor de face com deságio de 40% (quarenta por cento).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O preço será pago em duas parcelas: 30% na assinatura deste instrumento, por transferência bancária, e 70% em até 5 (cinco) dias úteis contados do protocolo da petição de habilitação no tribunal de origem.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O pagamento será comprovado por recibo ou comprovante de transferência bancária, valendo como quitação parcial ou total conforme o caso.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RESPONSABILIDADE DO CEDENTE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A cessão é feita PRO SOLUTO. O CEDENTE responde pela existência e pela legitimidade do crédito ao tempo da cessão (art. 295 do Código Civil), mas NÃO responde pela solvência do devedor (art. 296).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DAS DECLARAÇÕES E GARANTIAS DO CEDENTE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O CEDENTE declara, sob as penas da lei, que: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(a) é o legítimo e único titular do crédito ora cedido, que lhe pertence de forma livre e desembaraçada;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(b) o crédito existe, é certo e não foi anteriormente cedido, dado em pagamento, penhorado, arrestado, caucionado, compensado ou gravado com qualquer ônus, nem é objeto de discussão sobre a sua titularidade;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(c) não há ação, execução, medida cautelar ou procedimento administrativo que possa afetar a existência, o valor ou a exigibilidade do crédito, nem se encontra em recuperação judicial, extrajudicial ou falência;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(d) todos os documentos entregues ao CESSIONÁRIO são autênticos e refletem a realidade, respondendo o CEDENTE por qualquer divergência;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(e) os recursos e o ativo envolvidos têm origem lícita, não decorrendo de qualquer das infrações previstas na Lei nº 9.613/1998;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declarações acima são condição essencial do negócio. A falsidade de qualquer delas autoriza a resolução do contrato, a devolução integral dos valores pagos e a cobrança da multa prevista, sem prejuízo das responsabilidades civil e penal cabíveis.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NOTIFICAÇÃO E DA EFICÁCIA PERANTE TERCEIROS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A cessão somente produzirá efeitos perante o devedor depois que a este for notificada (art. 290 do Código Civil). Antes da notificação, o pagamento feito ao CEDENTE libera validamente o devedor (art. 292).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O CEDENTE obriga-se a firmar, em conjunto com o CESSIONÁRIO, a notificação ao devedor no prazo de 5 (cinco) dias contados da assinatura deste instrumento, bem como a repassar imediatamente ao CESSIONÁRIO qualquer valor que venha a receber relativo ao crédito cedido.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</w:t>
      </w:r>
      <w:r>
        <w:rPr>
          <w:rFonts w:ascii="Arial" w:cs="Arial" w:eastAsia="Arial" w:hAnsi="Arial"/>
          <w:sz w:val="22"/>
          <w:szCs w:val="22"/>
        </w:rPr>
        <w:t xml:space="preserve">O CEDENTE entrega neste ato ao CESSIONÁRIO todos os documentos comprobatórios do crédito, na forma do art. 290 e seguintes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DA MULTA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O descumprimento de qualquer obrigação prevista neste instrumento sujeita a PARTE infratora ao pagamento de multa de 10% (dez por cento) sobre o valor da cessão, equivalente a R$ 90.000,00 (noventa mil reais), sem prejuízo das perdas e danos que a excederem e da execução específica das obrigações.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DAS DISPOSIÇÕES FINAIS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Este instrumento obriga as PARTES, seus herdeiros e sucessores a qualquer título, e constitui título executivo extrajudicial, nos termos do art. 784, III, do Código de Processo Civil.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 </w:t>
      </w:r>
      <w:r>
        <w:rPr>
          <w:rFonts w:ascii="Arial" w:cs="Arial" w:eastAsia="Arial" w:hAnsi="Arial"/>
          <w:sz w:val="22"/>
          <w:szCs w:val="22"/>
        </w:rPr>
        <w:t xml:space="preserve">A tolerância quanto ao descumprimento de qualquer obrigação não importa novação nem renúncia ao direito de exigi-la posteriormente.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 </w:t>
      </w:r>
      <w:r>
        <w:rPr>
          <w:rFonts w:ascii="Arial" w:cs="Arial" w:eastAsia="Arial" w:hAnsi="Arial"/>
          <w:sz w:val="22"/>
          <w:szCs w:val="22"/>
        </w:rPr>
        <w:t xml:space="preserve">As PARTES declaram que os dados pessoais tratados neste instrumento observam a Lei nº 13.709/2018, limitando-se seu uso à execução deste contrato e ao cumprimento de obrigação legal.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OITAVA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286 a 298 (cessão de crédito); Código Civil, art. 290 (eficácia perante o devedor depende de notificação); Código Civil, art. 295 (o cedente responde pela existência do crédito).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8D8F9E0F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Particular de Cessão de Crédito</dc:title>
  <dc:creator>Plataforma</dc:creator>
  <dc:description>Contrato de Cessão de Crédito — OP-0001</dc:description>
  <cp:lastModifiedBy>Un-named</cp:lastModifiedBy>
  <cp:revision>1</cp:revision>
  <dcterms:created xsi:type="dcterms:W3CDTF">2026-08-24T00:02:39.212Z</dcterms:created>
  <dcterms:modified xsi:type="dcterms:W3CDTF">2026-08-24T00:02:39.212Z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