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24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INSTRUMENTO PARTICULAR DE CESSÃO DE PRECATÓRIO</w:t>
      </w:r>
    </w:p>
    <w:p>
      <w:pPr>
        <w:spacing w:after="320"/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Art. 100, §§ 13 e 14, da Constituição Federal e arts. 286 a 298 do Código Civil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PARTES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Antônio Carlos Ferreira Lima, brasileiro(a), casado(a), engenheiro civil, portador(a) da cédula de identidade RG nº 23.456.789-0 — SSP/SP, inscrito(a) no CPF/MF sob o nº 529.982.247-25, residente e domiciliado(a) na Rua das Acácias, nº 245, Centro, Ribeirão Preto/SP, CEP 14010-100, endereço eletrônico antonio.lima@exemplo.com.br, doravante denominado simplesmente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CEDENTE</w:t>
      </w:r>
      <w:r>
        <w:rPr>
          <w:rFonts w:ascii="Arial" w:cs="Arial" w:eastAsia="Arial" w:hAnsi="Arial"/>
          <w:sz w:val="22"/>
          <w:szCs w:val="22"/>
        </w:rPr>
        <w:t xml:space="preserve">;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HORIZONTE CAPITAL FUNDO DE INVESTIMENTO EM DIREITOS CREDITÓRIOS, pessoa jurídica de direito privado, inscrita no CNPJ/MF sob o nº 12.ABC.345/01DE-35, inscrição estadual nº isento, com sede na Rua Leopoldo Couto de Magalhães Júnior, nº 758, 12º andar, Itaim Bibi, São Paulo/SP, CEP 04542-000, endereço eletrônico operacoes@horizontecapital.com.br, neste ato representada por Marina Duarte Bezerra, brasileira, solteira, administradora, portador(a) do RG nº 34.567.890-1 e inscrito(a) no CPF/MF sob o nº 111.444.777-35, na qualidade de diretora de operações, doravante denominado simplesmente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CESSIONÁRIO</w:t>
      </w:r>
      <w:r>
        <w:rPr>
          <w:rFonts w:ascii="Arial" w:cs="Arial" w:eastAsia="Arial" w:hAnsi="Arial"/>
          <w:sz w:val="22"/>
          <w:szCs w:val="22"/>
        </w:rPr>
        <w:t xml:space="preserve">;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MESA NORTE INTERMEDIAÇÃO DE ATIVOS LTDA, pessoa jurídica de direito privado, inscrita no CNPJ/MF sob o nº 11.222.333/0001-81, com sede na Avenida Paulista, nº 1000, Bela Vista, São Paulo/SP, CEP 01310-100, endereço eletrônico contato@mesanorte.com.br, neste ato representada por Ricardo Alvares, brasileiro, casado, empresário, portador(a) do RG nº [RG NÃO INFORMADO] e inscrito(a) no CPF/MF sob o nº 529.982.247-25, na qualidade de sócio administrador, doravante denominado simplesmente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INTERVENIENTE ANUENTE I</w:t>
      </w:r>
      <w:r>
        <w:rPr>
          <w:rFonts w:ascii="Arial" w:cs="Arial" w:eastAsia="Arial" w:hAnsi="Arial"/>
          <w:sz w:val="22"/>
          <w:szCs w:val="22"/>
        </w:rPr>
        <w:t xml:space="preserve">;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Helena Prado Nogueira, brasileiro(a), divorciada, consultora financeira, portador(a) da cédula de identidade RG nº 45.678.901-2 — SSP/RJ, inscrito(a) no CPF/MF sob o nº 111.444.777-35, residente e domiciliado(a) na Rua Barata Ribeiro, nº 410, apto 802, Copacabana, Rio de Janeiro/RJ, CEP 22040-002, endereço eletrônico helena.prado@exemplo.com.br, doravante denominado simplesmente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INTERVENIENTE ANUENTE II</w:t>
      </w:r>
      <w:r>
        <w:rPr>
          <w:rFonts w:ascii="Arial" w:cs="Arial" w:eastAsia="Arial" w:hAnsi="Arial"/>
          <w:sz w:val="22"/>
          <w:szCs w:val="22"/>
        </w:rPr>
        <w:t xml:space="preserve">;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As PARTES acima qualificadas têm entre si justo e contratado o presente instrumento, que se regerá pelas cláusulas e condições seguintes.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PRIMEIRA — DO OBJETO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1.1. </w:t>
      </w:r>
      <w:r>
        <w:rPr>
          <w:rFonts w:ascii="Arial" w:cs="Arial" w:eastAsia="Arial" w:hAnsi="Arial"/>
          <w:sz w:val="22"/>
          <w:szCs w:val="22"/>
        </w:rPr>
        <w:t xml:space="preserve">O CEDENTE cede e transfere ao CESSIONÁRIO, em caráter irrevogável e irretratável, a totalidade do crédito relativo a Precatório nº 2019.00874-3, oriundo do processo nº 0001327-64.2018.8.26.0158, em trâmite perante o Tribunal de Justiça do Estado de São Paulo, tendo como entidade devedora Município de Ribeirão Preto, de natureza comum, inscrito no orçamento de 2027.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Tipo de ativo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Precatório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Identificação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Precatório TJSP — Município de Ribeirão Preto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Tribunal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Tribunal de Justiça do Estado de São Paulo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Precatório nº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2019.00874-3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Processo nº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0001327-64.2018.8.26.0158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Entidade devedora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Município de Ribeirão Preto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Natureza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Comum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Valor de face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R$ 1.500.000,00 (um milhão e quinhentos mil reais)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Deságio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40% (quarenta por cento)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Valor negociado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R$ 900.000,00 (novecentos mil reais)</w:t>
            </w:r>
          </w:p>
        </w:tc>
      </w:tr>
    </w:tbl>
    <w:p>
      <w:pPr>
        <w:spacing w:after="200"/>
      </w:pP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1.2. </w:t>
      </w:r>
      <w:r>
        <w:rPr>
          <w:rFonts w:ascii="Arial" w:cs="Arial" w:eastAsia="Arial" w:hAnsi="Arial"/>
          <w:sz w:val="22"/>
          <w:szCs w:val="22"/>
        </w:rPr>
        <w:t xml:space="preserve">A cessão abrange o principal, a correção monetária, os juros, a multa e todos os acessórios do crédito, vencidos e vincendos, bem como as garantias que o acompanham (art. 287 do Código Civil).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1.3. </w:t>
      </w:r>
      <w:r>
        <w:rPr>
          <w:rFonts w:ascii="Arial" w:cs="Arial" w:eastAsia="Arial" w:hAnsi="Arial"/>
          <w:sz w:val="22"/>
          <w:szCs w:val="22"/>
        </w:rPr>
        <w:t xml:space="preserve">As PARTES declaram ciência de que, nos termos do art. 100, § 13, da Constituição Federal, a cessão NÃO transfere ao CESSIONÁRIO as preferências constitucionais decorrentes da natureza alimentar do crédito, da idade, do estado de saúde ou da deficiência do titular originário.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SEGUNDA — DO PREÇO E DA FORMA DE PAGAMENTO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2.1. </w:t>
      </w:r>
      <w:r>
        <w:rPr>
          <w:rFonts w:ascii="Arial" w:cs="Arial" w:eastAsia="Arial" w:hAnsi="Arial"/>
          <w:sz w:val="22"/>
          <w:szCs w:val="22"/>
        </w:rPr>
        <w:t xml:space="preserve">O preço certo e ajustado da presente cessão é de R$ 900.000,00 (novecentos mil reais), correspondente ao valor de face com deságio de 40% (quarenta por cento).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2.2. </w:t>
      </w:r>
      <w:r>
        <w:rPr>
          <w:rFonts w:ascii="Arial" w:cs="Arial" w:eastAsia="Arial" w:hAnsi="Arial"/>
          <w:sz w:val="22"/>
          <w:szCs w:val="22"/>
        </w:rPr>
        <w:t xml:space="preserve">O preço será pago em duas parcelas: 30% na assinatura deste instrumento e 70% em até 5 (cinco) dias úteis contados do protocolo da petição de habilitação perante o tribunal de origem.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2.3. </w:t>
      </w:r>
      <w:r>
        <w:rPr>
          <w:rFonts w:ascii="Arial" w:cs="Arial" w:eastAsia="Arial" w:hAnsi="Arial"/>
          <w:sz w:val="22"/>
          <w:szCs w:val="22"/>
        </w:rPr>
        <w:t xml:space="preserve">O pagamento será comprovado por recibo ou comprovante de transferência bancária, valendo como quitação parcial ou total conforme o caso.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TERCEIRA — DA RESPONSABILIDADE DO CEDENTE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3.1. </w:t>
      </w:r>
      <w:r>
        <w:rPr>
          <w:rFonts w:ascii="Arial" w:cs="Arial" w:eastAsia="Arial" w:hAnsi="Arial"/>
          <w:sz w:val="22"/>
          <w:szCs w:val="22"/>
        </w:rPr>
        <w:t xml:space="preserve">A cessão é feita PRO SOLUTO. O CEDENTE responde pela existência e pela legitimidade do crédito ao tempo da cessão (art. 295 do Código Civil), mas NÃO responde pela solvência do devedor (art. 296).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QUARTA — DAS DECLARAÇÕES E GARANTIAS DO CEDENTE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4.1. </w:t>
      </w:r>
      <w:r>
        <w:rPr>
          <w:rFonts w:ascii="Arial" w:cs="Arial" w:eastAsia="Arial" w:hAnsi="Arial"/>
          <w:sz w:val="22"/>
          <w:szCs w:val="22"/>
        </w:rPr>
        <w:t xml:space="preserve">O CEDENTE declara, sob as penas da lei, que: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(a) é o legítimo e único titular do crédito ora cedido, que lhe pertence de forma livre e desembaraçada;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(b) o crédito existe, é certo e não foi anteriormente cedido, dado em pagamento, penhorado, arrestado, caucionado, compensado ou gravado com qualquer ônus, nem é objeto de discussão sobre a sua titularidade;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(c) não há ação, execução, medida cautelar ou procedimento administrativo que possa afetar a existência, o valor ou a exigibilidade do crédito, nem se encontra em recuperação judicial, extrajudicial ou falência;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(d) todos os documentos entregues ao CESSIONÁRIO são autênticos e refletem a realidade, respondendo o CEDENTE por qualquer divergência;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(e) os recursos e o ativo envolvidos têm origem lícita, não decorrendo de qualquer das infrações previstas na Lei nº 9.613/1998;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(f) não houve renúncia, compensação com débitos tributários, nem habilitação de terceiros sobre o precatório, e o CEDENTE não é beneficiário de acordo de parcelamento que altere o valor a receber.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As declarações acima são condição essencial do negócio. A falsidade de qualquer delas autoriza a resolução do contrato, a devolução integral dos valores pagos e a cobrança da multa prevista, sem prejuízo das responsabilidades civil e penal cabíveis.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QUINTA — DA NOTIFICAÇÃO E DA EFICÁCIA PERANTE TERCEIROS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5.1. </w:t>
      </w:r>
      <w:r>
        <w:rPr>
          <w:rFonts w:ascii="Arial" w:cs="Arial" w:eastAsia="Arial" w:hAnsi="Arial"/>
          <w:sz w:val="22"/>
          <w:szCs w:val="22"/>
        </w:rPr>
        <w:t xml:space="preserve">As PARTES declaram ciência de que, nos termos do art. 100, § 14, da Constituição Federal, a cessão só produzirá efeitos após comunicação, por meio de petição protocolizada, ao tribunal de origem e à entidade devedora.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5.2. </w:t>
      </w:r>
      <w:r>
        <w:rPr>
          <w:rFonts w:ascii="Arial" w:cs="Arial" w:eastAsia="Arial" w:hAnsi="Arial"/>
          <w:sz w:val="22"/>
          <w:szCs w:val="22"/>
        </w:rPr>
        <w:t xml:space="preserve">Fica desde já ajustado que o CESSIONÁRIO protocolará a petição de habilitação perante o tribunal de origem no prazo de 10 (dez) dias contados da assinatura deste instrumento, comprovando o ato à outra parte.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5.3. </w:t>
      </w:r>
      <w:r>
        <w:rPr>
          <w:rFonts w:ascii="Arial" w:cs="Arial" w:eastAsia="Arial" w:hAnsi="Arial"/>
          <w:sz w:val="22"/>
          <w:szCs w:val="22"/>
        </w:rPr>
        <w:t xml:space="preserve">O CEDENTE obriga-se a assinar toda a documentação complementar exigida pelo tribunal, incluindo declarações, procurações por instrumento público e reconhecimento de firma, sob pena da multa prevista neste contrato.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5.4. </w:t>
      </w:r>
      <w:r>
        <w:rPr>
          <w:rFonts w:ascii="Arial" w:cs="Arial" w:eastAsia="Arial" w:hAnsi="Arial"/>
          <w:sz w:val="22"/>
          <w:szCs w:val="22"/>
        </w:rPr>
        <w:t xml:space="preserve">O CEDENTE entrega neste ato ao CESSIONÁRIO todos os documentos comprobatórios do crédito, na forma do art. 290 e seguintes do Código Civil.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SEXTA — DO TRATAMENTO TRIBUTÁRIO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6.1. </w:t>
      </w:r>
      <w:r>
        <w:rPr>
          <w:rFonts w:ascii="Arial" w:cs="Arial" w:eastAsia="Arial" w:hAnsi="Arial"/>
          <w:sz w:val="22"/>
          <w:szCs w:val="22"/>
        </w:rPr>
        <w:t xml:space="preserve">As retenções tributárias incidentes na origem permanecem a cargo do titular originário do crédito, na forma da legislação aplicável.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6.2. </w:t>
      </w:r>
      <w:r>
        <w:rPr>
          <w:rFonts w:ascii="Arial" w:cs="Arial" w:eastAsia="Arial" w:hAnsi="Arial"/>
          <w:sz w:val="22"/>
          <w:szCs w:val="22"/>
        </w:rPr>
        <w:t xml:space="preserve">As PARTES reconhecem que a cessão não altera a natureza do crédito para fins tributários nem afasta as retenções cabíveis na origem.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SÉTIMA — DA MULTA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7.1. </w:t>
      </w:r>
      <w:r>
        <w:rPr>
          <w:rFonts w:ascii="Arial" w:cs="Arial" w:eastAsia="Arial" w:hAnsi="Arial"/>
          <w:sz w:val="22"/>
          <w:szCs w:val="22"/>
        </w:rPr>
        <w:t xml:space="preserve">O descumprimento de qualquer obrigação prevista neste instrumento sujeita a PARTE infratora ao pagamento de multa de 10% (dez por cento) sobre o valor da cessão, equivalente a R$ 90.000,00 (noventa mil reais), sem prejuízo das perdas e danos que a excederem e da execução específica das obrigações.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OITAVA — DAS DISPOSIÇÕES FINAIS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8.1. </w:t>
      </w:r>
      <w:r>
        <w:rPr>
          <w:rFonts w:ascii="Arial" w:cs="Arial" w:eastAsia="Arial" w:hAnsi="Arial"/>
          <w:sz w:val="22"/>
          <w:szCs w:val="22"/>
        </w:rPr>
        <w:t xml:space="preserve">Este instrumento obriga as PARTES, seus herdeiros e sucessores a qualquer título, e constitui título executivo extrajudicial, nos termos do art. 784, III, do Código de Processo Civil.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8.2. </w:t>
      </w:r>
      <w:r>
        <w:rPr>
          <w:rFonts w:ascii="Arial" w:cs="Arial" w:eastAsia="Arial" w:hAnsi="Arial"/>
          <w:sz w:val="22"/>
          <w:szCs w:val="22"/>
        </w:rPr>
        <w:t xml:space="preserve">A tolerância quanto ao descumprimento de qualquer obrigação não importa novação nem renúncia ao direito de exigi-la posteriormente.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8.3. </w:t>
      </w:r>
      <w:r>
        <w:rPr>
          <w:rFonts w:ascii="Arial" w:cs="Arial" w:eastAsia="Arial" w:hAnsi="Arial"/>
          <w:sz w:val="22"/>
          <w:szCs w:val="22"/>
        </w:rPr>
        <w:t xml:space="preserve">As PARTES declaram que os dados pessoais tratados neste instrumento observam a Lei nº 13.709/2018, limitando-se seu uso à execução deste contrato e ao cumprimento de obrigação legal.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NONA — DO FORO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Fica eleito o foro da Comarca de São Paulo/SP para dirimir quaisquer dúvidas ou controvérsias oriundas do presente instrumento, com renúncia expressa a qualquer outro, por mais privilegiado que seja.</w:t>
      </w:r>
    </w:p>
    <w:p>
      <w:pPr>
        <w:spacing w:after="24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E, por estarem assim justas e contratadas, as PARTES firmam o presente instrumento por meio eletrônico, reconhecendo a validade da assinatura eletrônica nos termos do art. 10, § 2º, da Medida Provisória nº 2.200-2/2001 e do art. 4º da Lei nº 14.063/2020, na presença das testemunhas abaixo.</w:t>
      </w:r>
    </w:p>
    <w:p>
      <w:pPr>
        <w:spacing w:after="480" w:before="480"/>
        <w:jc w:val="center"/>
      </w:pPr>
      <w:r>
        <w:rPr>
          <w:rFonts w:ascii="Arial" w:cs="Arial" w:eastAsia="Arial" w:hAnsi="Arial"/>
          <w:sz w:val="22"/>
          <w:szCs w:val="22"/>
        </w:rPr>
        <w:t xml:space="preserve">São Paulo/SP, 23 de agosto de 2026.</w:t>
      </w:r>
    </w:p>
    <w:p>
      <w:pPr>
        <w:spacing w:after="0" w:before="560"/>
        <w:jc w:val="center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Antônio Carlos Ferreira Lima</w:t>
      </w:r>
    </w:p>
    <w:p>
      <w:pPr>
        <w:spacing w:after="0"/>
        <w:jc w:val="center"/>
      </w:pPr>
      <w:r>
        <w:rPr>
          <w:rFonts w:ascii="Arial" w:cs="Arial" w:eastAsia="Arial" w:hAnsi="Arial"/>
          <w:sz w:val="20"/>
          <w:szCs w:val="20"/>
        </w:rPr>
        <w:t xml:space="preserve">CPF 529.982.247-25</w:t>
      </w:r>
    </w:p>
    <w:p>
      <w:pPr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Cedente</w:t>
      </w:r>
    </w:p>
    <w:p>
      <w:pPr>
        <w:spacing w:after="0" w:before="560"/>
        <w:jc w:val="center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HORIZONTE CAPITAL FUNDO DE INVESTIMENTO EM DIREITOS CREDITÓRIOS</w:t>
      </w:r>
    </w:p>
    <w:p>
      <w:pPr>
        <w:spacing w:after="0"/>
        <w:jc w:val="center"/>
      </w:pPr>
      <w:r>
        <w:rPr>
          <w:rFonts w:ascii="Arial" w:cs="Arial" w:eastAsia="Arial" w:hAnsi="Arial"/>
          <w:sz w:val="20"/>
          <w:szCs w:val="20"/>
        </w:rPr>
        <w:t xml:space="preserve">CNPJ 12.ABC.345/01DE-35 — p.p. Marina Duarte Bezerra</w:t>
      </w:r>
    </w:p>
    <w:p>
      <w:pPr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Cessionário</w:t>
      </w:r>
    </w:p>
    <w:p>
      <w:pPr>
        <w:spacing w:after="0" w:before="560"/>
        <w:jc w:val="center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MESA NORTE INTERMEDIAÇÃO DE ATIVOS LTDA</w:t>
      </w:r>
    </w:p>
    <w:p>
      <w:pPr>
        <w:spacing w:after="0"/>
        <w:jc w:val="center"/>
      </w:pPr>
      <w:r>
        <w:rPr>
          <w:rFonts w:ascii="Arial" w:cs="Arial" w:eastAsia="Arial" w:hAnsi="Arial"/>
          <w:sz w:val="20"/>
          <w:szCs w:val="20"/>
        </w:rPr>
        <w:t xml:space="preserve">CNPJ 11.222.333/0001-81 — p.p. Ricardo Alvares</w:t>
      </w:r>
    </w:p>
    <w:p>
      <w:pPr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Intermediário</w:t>
      </w:r>
    </w:p>
    <w:p>
      <w:pPr>
        <w:spacing w:after="0" w:before="560"/>
        <w:jc w:val="center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Helena Prado Nogueira</w:t>
      </w:r>
    </w:p>
    <w:p>
      <w:pPr>
        <w:spacing w:after="0"/>
        <w:jc w:val="center"/>
      </w:pPr>
      <w:r>
        <w:rPr>
          <w:rFonts w:ascii="Arial" w:cs="Arial" w:eastAsia="Arial" w:hAnsi="Arial"/>
          <w:sz w:val="20"/>
          <w:szCs w:val="20"/>
        </w:rPr>
        <w:t xml:space="preserve">CPF 111.444.777-35</w:t>
      </w:r>
    </w:p>
    <w:p>
      <w:pPr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Intermediário</w:t>
      </w:r>
    </w:p>
    <w:p>
      <w:pPr>
        <w:spacing w:after="120" w:before="4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TESTEMUNHAS:</w:t>
      </w:r>
    </w:p>
    <w:p>
      <w:pPr>
        <w:spacing w:after="0" w:before="360"/>
      </w:pPr>
      <w:r>
        <w:rPr>
          <w:rFonts w:ascii="Arial" w:cs="Arial" w:eastAsia="Arial" w:hAnsi="Arial"/>
          <w:sz w:val="22"/>
          <w:szCs w:val="22"/>
        </w:rPr>
        <w:t xml:space="preserve">1) ____________________________________________</w:t>
      </w:r>
    </w:p>
    <w:p>
      <w:r>
        <w:rPr>
          <w:rFonts w:ascii="Arial" w:cs="Arial" w:eastAsia="Arial" w:hAnsi="Arial"/>
          <w:sz w:val="20"/>
          <w:szCs w:val="20"/>
        </w:rPr>
        <w:t xml:space="preserve">     Nome:                                    CPF:</w:t>
      </w:r>
    </w:p>
    <w:p>
      <w:pPr>
        <w:spacing w:after="0" w:before="360"/>
      </w:pPr>
      <w:r>
        <w:rPr>
          <w:rFonts w:ascii="Arial" w:cs="Arial" w:eastAsia="Arial" w:hAnsi="Arial"/>
          <w:sz w:val="22"/>
          <w:szCs w:val="22"/>
        </w:rPr>
        <w:t xml:space="preserve">2) ____________________________________________</w:t>
      </w:r>
    </w:p>
    <w:p>
      <w:r>
        <w:rPr>
          <w:rFonts w:ascii="Arial" w:cs="Arial" w:eastAsia="Arial" w:hAnsi="Arial"/>
          <w:sz w:val="20"/>
          <w:szCs w:val="20"/>
        </w:rPr>
        <w:t xml:space="preserve">     Nome:                                    CPF:</w:t>
      </w:r>
    </w:p>
    <w:p>
      <w:pPr>
        <w:spacing w:before="600"/>
        <w:jc w:val="both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Fundamentos: Constituição Federal, art. 100, §§ 13 e 14; Código Civil, arts. 286 a 298; Resolução CNJ 303/2019.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6"/>
      </w:pBdr>
      <w:spacing w:before="120"/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Documento gerado eletronicamente em Plataforma — código de conferência 210EE8B3</w:t>
    </w:r>
  </w:p>
  <w:p>
    <w:pPr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Página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4"/>
        <w:szCs w:val="14"/>
      </w:rPr>
      <w:t xml:space="preserve"> de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Instrumento Particular de Cessão de Precatório</dc:title>
  <dc:creator>Plataforma</dc:creator>
  <dc:description>Cessão de Precatório — OP-0001</dc:description>
  <cp:lastModifiedBy>Un-named</cp:lastModifiedBy>
  <cp:revision>1</cp:revision>
  <dcterms:created xsi:type="dcterms:W3CDTF">2026-08-24T00:02:39.272Z</dcterms:created>
  <dcterms:modified xsi:type="dcterms:W3CDTF">2026-08-24T00:02:39.272Z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