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CARTA DE INTENÇÃO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Letter of Intent — LOI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Ao(À) Antônio Carlos Ferreira Lima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Ref.: Proposta de aquisição — Precatório TJSP — Município de Ribeirão Preto</w:t>
      </w:r>
    </w:p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PROPONENTE</w:t>
      </w:r>
      <w:r>
        <w:rPr>
          <w:rFonts w:ascii="Arial" w:cs="Arial" w:eastAsia="Arial" w:hAnsi="Arial"/>
          <w:sz w:val="22"/>
          <w:szCs w:val="22"/>
        </w:rPr>
        <w:t xml:space="preserve">, vem apresentar a presente Carta de Intenção, nos termos e condições a seguir.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DO ATIVO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proposta tem por objeto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DA PROPOSTA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PROPONENTE oferece adquirir o ativo pelo valor de face de R$ 1.500.000,00 (um milhão e quinhentos mil reais), deságio de 40% (quarenta por cento), valor negociado de R$ 900.000,00 (novecentos mil reais).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DAS CONDIÇÕES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proposta está condicionada à conclusão satisfatória da auditoria documental do ativo e da contraparte, à apresentação das certidões exigidas e à inexistência de ônus, penhora ou cessão anterior.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DA VALIDADE E DA NATUREZA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presente proposta é válida por 15 (15) dias contados do recebimento, findos os quais caducará automaticamente, independentemente de aviso.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Carta de Intenção NÃO é vinculante quanto à obrigação de contratar. São vinculantes, contudo, e desde já obrigam as partes, as disposições sobre confidencialidade, exclusividade e boa-fé nas tratativas (art. 422 do Código Civil).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DA EXCLUSIVIDADE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Aceita a proposta, o DESTINATÁRIO obriga-se a não negociar o ativo com terceiros pelo prazo de 30 (30) dias, período destinado à auditoria e à formalização do contrato definitivo.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DA CONFIDENCIALIDADE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conteúdo desta proposta é confidencial e não poderá ser divulgado a terceiros, salvo aos assessores das partes vinculados ao mesmo dever de sigilo.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427 a 435 (proposta e aceitação); Código Civil, art. 422 (boa-fé nas tratativas).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0B616F98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Intenção</dc:title>
  <dc:creator>Plataforma</dc:creator>
  <dc:description>Carta de Intenção / Proposta (LOI) — OP-0001</dc:description>
  <cp:lastModifiedBy>Un-named</cp:lastModifiedBy>
  <cp:revision>1</cp:revision>
  <dcterms:created xsi:type="dcterms:W3CDTF">2026-08-24T00:02:39.181Z</dcterms:created>
  <dcterms:modified xsi:type="dcterms:W3CDTF">2026-08-24T00:02:39.181Z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