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INSTRUMENTO PARTICULAR DE CESSÃO DE CRÉDITO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Arts. 286 a 298 do Código Civil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acima qualificadas têm entre si justo e contratado o presente instrumento, que se regerá pelas cláusulas e condições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CEDENTE cede e transfere ao CESSIONÁRIO, em caráter irrevogável e irretratável, a totalidade do crédito relativo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cessão abrange o principal, a correção monetária, os juros, a multa e todos os acessórios do crédito, vencidos e vincendos, bem como as garantias que o acompanham (art. 287 do Código Civil).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DO PREÇO E DA FORMA DE PAGAMENTO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O preço certo e ajustado da presente cessão é de R$ 900.000,00 (novecentos mil reais), correspondente ao valor de face com deságio de 40% (quarenta por cento).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O preço será pago em duas parcelas: 30% na assinatura deste instrumento, por transferência bancária, e 70% em até 5 (cinco) dias úteis contados do protocolo da petição de habilitação no tribunal de origem.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O pagamento será comprovado por recibo ou comprovante de transferência bancária, valendo como quitação parcial ou total conforme o caso.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RESPONSABILIDADE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cessão é feita PRO SOLUTO. O CEDENTE responde pela existência e pela legitimidade do crédito ao tempo da cessão (art. 295 do Código Civil), mas NÃO responde pela solvência do devedor (art. 296).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DAS DECLARAÇÕES E GARANTIAS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CEDENTE declara, sob as penas da lei, que: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(a) é o legítimo e único titular do crédito ora cedido, que lhe pertence de forma livre e desembaraçada;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(b) o crédito existe, é certo e não foi anteriormente cedido, dado em pagamento, penhorado, arrestado, caucionado, compensado ou gravado com qualquer ônus, nem é objeto de discussão sobre a sua titularidade;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(c) não há ação, execução, medida cautelar ou procedimento administrativo que possa afetar a existência, o valor ou a exigibilidade do crédito, nem se encontra em recuperação judicial, extrajudicial ou falência;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(d) todos os documentos entregues ao CESSIONÁRIO são autênticos e refletem a realidade, respondendo o CEDENTE por qualquer divergência;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(e) os recursos e o ativo envolvidos têm origem lícita, não decorrendo de qualquer das infrações previstas na Lei nº 9.613/1998;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declarações acima são condição essencial do negócio. A falsidade de qualquer delas autoriza a resolução do contrato, a devolução integral dos valores pagos e a cobrança da multa prevista, sem prejuízo das responsabilidades civil e penal cabíveis.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NOTIFICAÇÃO E DA EFICÁCIA PERANTE TERCEIROS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 cessão somente produzirá efeitos perante o devedor depois que a este for notificada (art. 290 do Código Civil). Antes da notificação, o pagamento feito ao CEDENTE libera validamente o devedor (art. 292).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O CEDENTE obriga-se a firmar, em conjunto com o CESSIONÁRIO, a notificação ao devedor no prazo de 5 (cinco) dias contados da assinatura deste instrumento, bem como a repassar imediatamente ao CESSIONÁRIO qualquer valor que venha a receber relativo ao crédito cedido.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O CEDENTE entrega neste ato ao CESSIONÁRIO todos os documentos comprobatórios do crédito, na forma do art. 290 e seguintes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MULTA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O descumprimento de qualquer obrigação prevista neste instrumento sujeita a PARTE infratora ao pagamento de multa de 10% (dez por cento) sobre o valor da cessão, equivalente a R$ 90.000,00 (noventa mil reais), sem prejuízo das perdas e danos que a excederem e da execução específica das obrigações.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DAS DISPOSIÇÕES FINAIS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Este instrumento obriga as PARTES, seus herdeiros e sucessores a qualquer título, e constitui título executivo extrajudicial, nos termos do art. 784, III, do Código de Processo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A tolerância quanto ao descumprimento de qualquer obrigação não importa novação nem renúncia ao direito de exigi-la posteriormente.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As PARTES declaram que os dados pessoais tratados neste instrumento observam a Lei nº 13.709/2018, limitando-se seu uso à execução deste contrato e ao cumprimento de obrigação legal.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286 a 298 (cessão de crédito); Código Civil, art. 290 (eficácia perante o devedor depende de notificação); Código Civil, art. 295 (o cedente responde pela existência do crédito).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A2EE99DF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Particular de Cessão de Crédito</dc:title>
  <dc:creator>Plataforma</dc:creator>
  <dc:description>Contrato de Cessão de Crédito — OP-0001</dc:description>
  <cp:lastModifiedBy>Un-named</cp:lastModifiedBy>
  <cp:revision>1</cp:revision>
  <dcterms:created xsi:type="dcterms:W3CDTF">2026-08-23T21:51:02.457Z</dcterms:created>
  <dcterms:modified xsi:type="dcterms:W3CDTF">2026-08-23T21:51:02.457Z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