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5DD6C" w14:textId="5B806027" w:rsidR="007A6AA5" w:rsidRPr="002B0E5E" w:rsidRDefault="002B0E5E" w:rsidP="002B0E5E">
      <w:pPr>
        <w:jc w:val="right"/>
        <w:rPr>
          <w:i/>
          <w:szCs w:val="34"/>
        </w:rPr>
      </w:pPr>
      <w:bookmarkStart w:id="0" w:name="_GoBack"/>
      <w:bookmarkEnd w:id="0"/>
      <w:r w:rsidRPr="002B0E5E">
        <w:rPr>
          <w:i/>
          <w:szCs w:val="34"/>
        </w:rPr>
        <w:t>Preliminary – do not cite without permission</w:t>
      </w:r>
    </w:p>
    <w:p w14:paraId="28B45999" w14:textId="7A456C1D" w:rsidR="002B0E5E" w:rsidRDefault="002B0E5E" w:rsidP="007A6AA5">
      <w:pPr>
        <w:jc w:val="center"/>
        <w:rPr>
          <w:sz w:val="34"/>
          <w:szCs w:val="34"/>
        </w:rPr>
      </w:pPr>
    </w:p>
    <w:p w14:paraId="54518779" w14:textId="77777777" w:rsidR="00616D98" w:rsidRDefault="00616D98" w:rsidP="007A6AA5">
      <w:pPr>
        <w:jc w:val="center"/>
        <w:rPr>
          <w:sz w:val="34"/>
          <w:szCs w:val="34"/>
        </w:rPr>
      </w:pPr>
    </w:p>
    <w:p w14:paraId="2F9EB9D2" w14:textId="77777777" w:rsidR="00616D98" w:rsidRDefault="00616D98" w:rsidP="007A6AA5">
      <w:pPr>
        <w:jc w:val="center"/>
        <w:rPr>
          <w:sz w:val="34"/>
          <w:szCs w:val="34"/>
        </w:rPr>
      </w:pPr>
    </w:p>
    <w:p w14:paraId="34A3A022" w14:textId="0ED229EA" w:rsidR="00767967" w:rsidRPr="007A6AA5" w:rsidRDefault="00767967" w:rsidP="007A6AA5">
      <w:pPr>
        <w:jc w:val="center"/>
        <w:rPr>
          <w:sz w:val="34"/>
          <w:szCs w:val="34"/>
        </w:rPr>
      </w:pPr>
      <w:commentRangeStart w:id="1"/>
      <w:r w:rsidRPr="007A6AA5">
        <w:rPr>
          <w:sz w:val="34"/>
          <w:szCs w:val="34"/>
        </w:rPr>
        <w:t>W</w:t>
      </w:r>
      <w:r w:rsidR="007A6AA5" w:rsidRPr="007A6AA5">
        <w:rPr>
          <w:sz w:val="34"/>
          <w:szCs w:val="34"/>
        </w:rPr>
        <w:t xml:space="preserve">orms </w:t>
      </w:r>
      <w:commentRangeEnd w:id="1"/>
      <w:r w:rsidR="007A6AA5">
        <w:rPr>
          <w:rStyle w:val="CommentReference"/>
        </w:rPr>
        <w:commentReference w:id="1"/>
      </w:r>
      <w:r w:rsidR="007A6AA5" w:rsidRPr="007A6AA5">
        <w:rPr>
          <w:sz w:val="34"/>
          <w:szCs w:val="34"/>
        </w:rPr>
        <w:t>and Wellbeing</w:t>
      </w:r>
      <w:r w:rsidRPr="007A6AA5">
        <w:rPr>
          <w:sz w:val="34"/>
          <w:szCs w:val="34"/>
        </w:rPr>
        <w:t xml:space="preserve">: </w:t>
      </w:r>
      <w:r w:rsidR="007A6AA5" w:rsidRPr="007A6AA5">
        <w:rPr>
          <w:sz w:val="34"/>
          <w:szCs w:val="34"/>
        </w:rPr>
        <w:t>15 Year Economics Impacts from Kenya</w:t>
      </w:r>
      <w:r w:rsidR="007122AE" w:rsidRPr="007A6AA5">
        <w:rPr>
          <w:rStyle w:val="FootnoteReference"/>
          <w:rFonts w:eastAsia="MS Mincho"/>
          <w:sz w:val="34"/>
          <w:szCs w:val="34"/>
        </w:rPr>
        <w:footnoteReference w:customMarkFollows="1" w:id="2"/>
        <w:t>*</w:t>
      </w:r>
      <w:r w:rsidR="00E378BD" w:rsidRPr="007A6AA5">
        <w:rPr>
          <w:sz w:val="34"/>
          <w:szCs w:val="34"/>
        </w:rPr>
        <w:t xml:space="preserve">  </w:t>
      </w:r>
    </w:p>
    <w:p w14:paraId="45B1A0F0" w14:textId="77777777" w:rsidR="00E378BD" w:rsidRDefault="00E378BD" w:rsidP="00AC2F64">
      <w:pPr>
        <w:rPr>
          <w:u w:val="single"/>
        </w:rPr>
      </w:pPr>
    </w:p>
    <w:p w14:paraId="452AF966" w14:textId="371A0732" w:rsidR="00E378BD" w:rsidRDefault="00E378BD" w:rsidP="00AC2F64">
      <w:pPr>
        <w:rPr>
          <w:u w:val="single"/>
        </w:rPr>
      </w:pPr>
    </w:p>
    <w:p w14:paraId="7C92C9AD" w14:textId="77777777" w:rsidR="00616D98" w:rsidRDefault="00616D98" w:rsidP="00AC2F64">
      <w:pPr>
        <w:rPr>
          <w:u w:val="single"/>
        </w:rPr>
      </w:pPr>
    </w:p>
    <w:p w14:paraId="5AD2A4FB" w14:textId="77777777" w:rsidR="008B3431" w:rsidRDefault="00E378BD" w:rsidP="00E378BD">
      <w:pPr>
        <w:jc w:val="center"/>
        <w:rPr>
          <w:rFonts w:eastAsia="MS Mincho"/>
        </w:rPr>
      </w:pPr>
      <w:commentRangeStart w:id="2"/>
      <w:r w:rsidRPr="00B26030">
        <w:rPr>
          <w:rFonts w:eastAsia="MS Mincho"/>
        </w:rPr>
        <w:t>Sarah Baird</w:t>
      </w:r>
      <w:r w:rsidR="008B3431">
        <w:rPr>
          <w:rFonts w:eastAsia="MS Mincho"/>
        </w:rPr>
        <w:t xml:space="preserve">, </w:t>
      </w:r>
      <w:r w:rsidR="008B3431" w:rsidRPr="00B26030">
        <w:rPr>
          <w:rFonts w:eastAsia="MS Mincho"/>
        </w:rPr>
        <w:t>George Washington University</w:t>
      </w:r>
    </w:p>
    <w:p w14:paraId="746B5619" w14:textId="407C6A09" w:rsidR="008B3431" w:rsidRDefault="00E378BD" w:rsidP="00E378BD">
      <w:pPr>
        <w:jc w:val="center"/>
        <w:rPr>
          <w:rFonts w:eastAsia="MS Mincho"/>
        </w:rPr>
      </w:pPr>
      <w:r w:rsidRPr="00B26030">
        <w:rPr>
          <w:rFonts w:eastAsia="MS Mincho"/>
        </w:rPr>
        <w:t xml:space="preserve">Joan </w:t>
      </w:r>
      <w:proofErr w:type="spellStart"/>
      <w:r w:rsidRPr="00B26030">
        <w:rPr>
          <w:rFonts w:eastAsia="MS Mincho"/>
        </w:rPr>
        <w:t>Hamory</w:t>
      </w:r>
      <w:proofErr w:type="spellEnd"/>
      <w:r w:rsidRPr="00B26030">
        <w:rPr>
          <w:rFonts w:eastAsia="MS Mincho"/>
        </w:rPr>
        <w:t xml:space="preserve"> Hicks</w:t>
      </w:r>
      <w:r w:rsidR="008B3431">
        <w:rPr>
          <w:rFonts w:eastAsia="MS Mincho"/>
        </w:rPr>
        <w:t xml:space="preserve">, </w:t>
      </w:r>
      <w:r w:rsidR="008B3431" w:rsidRPr="00B26030">
        <w:rPr>
          <w:rFonts w:eastAsia="MS Mincho"/>
        </w:rPr>
        <w:t xml:space="preserve">University of </w:t>
      </w:r>
      <w:r w:rsidR="007A6AA5">
        <w:rPr>
          <w:rFonts w:eastAsia="MS Mincho"/>
        </w:rPr>
        <w:t>Oklahoma</w:t>
      </w:r>
    </w:p>
    <w:p w14:paraId="0BB1B506" w14:textId="78E2F26B" w:rsidR="008B3431" w:rsidRDefault="00E378BD" w:rsidP="00E378BD">
      <w:pPr>
        <w:jc w:val="center"/>
        <w:rPr>
          <w:rFonts w:eastAsia="MS Mincho"/>
        </w:rPr>
      </w:pPr>
      <w:r>
        <w:rPr>
          <w:rFonts w:eastAsia="MS Mincho"/>
        </w:rPr>
        <w:t xml:space="preserve">Michael </w:t>
      </w:r>
      <w:r w:rsidRPr="00B26030">
        <w:rPr>
          <w:rFonts w:eastAsia="MS Mincho"/>
        </w:rPr>
        <w:t>Kremer</w:t>
      </w:r>
      <w:r w:rsidR="008B3431">
        <w:rPr>
          <w:rFonts w:eastAsia="MS Mincho"/>
        </w:rPr>
        <w:t xml:space="preserve">, </w:t>
      </w:r>
      <w:r w:rsidR="008B3431" w:rsidRPr="00B26030">
        <w:rPr>
          <w:rFonts w:eastAsia="MS Mincho"/>
        </w:rPr>
        <w:t>Harvard University</w:t>
      </w:r>
      <w:r w:rsidR="008B3431">
        <w:rPr>
          <w:rFonts w:eastAsia="MS Mincho"/>
        </w:rPr>
        <w:t xml:space="preserve"> and NBER</w:t>
      </w:r>
    </w:p>
    <w:p w14:paraId="4A77E317" w14:textId="00513ED3" w:rsidR="00E378BD" w:rsidRDefault="00E378BD" w:rsidP="00E378BD">
      <w:pPr>
        <w:jc w:val="center"/>
        <w:rPr>
          <w:rFonts w:eastAsia="MS Mincho"/>
          <w:vertAlign w:val="superscript"/>
        </w:rPr>
      </w:pPr>
      <w:r w:rsidRPr="00B26030">
        <w:rPr>
          <w:rFonts w:eastAsia="MS Mincho"/>
        </w:rPr>
        <w:t>Edward Miguel</w:t>
      </w:r>
      <w:r w:rsidR="008B3431">
        <w:rPr>
          <w:rFonts w:eastAsia="MS Mincho"/>
        </w:rPr>
        <w:t xml:space="preserve">, </w:t>
      </w:r>
      <w:r w:rsidR="008B3431" w:rsidRPr="00B26030">
        <w:rPr>
          <w:rFonts w:eastAsia="MS Mincho"/>
        </w:rPr>
        <w:t>University of California, Berkeley</w:t>
      </w:r>
      <w:r w:rsidR="008B3431">
        <w:rPr>
          <w:rFonts w:eastAsia="MS Mincho"/>
        </w:rPr>
        <w:t xml:space="preserve"> and NBER</w:t>
      </w:r>
      <w:commentRangeEnd w:id="2"/>
      <w:r w:rsidR="006C316E">
        <w:rPr>
          <w:rStyle w:val="CommentReference"/>
        </w:rPr>
        <w:commentReference w:id="2"/>
      </w:r>
    </w:p>
    <w:p w14:paraId="6B8CC6C7" w14:textId="61BE08F2" w:rsidR="00E378BD" w:rsidRDefault="00E378BD" w:rsidP="00AC2F64">
      <w:pPr>
        <w:rPr>
          <w:u w:val="single"/>
        </w:rPr>
      </w:pPr>
    </w:p>
    <w:p w14:paraId="526A1A82" w14:textId="77777777" w:rsidR="00616D98" w:rsidRDefault="00616D98" w:rsidP="00AC2F64">
      <w:pPr>
        <w:rPr>
          <w:u w:val="single"/>
        </w:rPr>
      </w:pPr>
    </w:p>
    <w:p w14:paraId="7DB316CF" w14:textId="0ACE72D7" w:rsidR="00AC2F64" w:rsidRDefault="007A6AA5" w:rsidP="00AC2F64">
      <w:pPr>
        <w:jc w:val="center"/>
      </w:pPr>
      <w:r>
        <w:t>March 2018</w:t>
      </w:r>
    </w:p>
    <w:p w14:paraId="5306A346" w14:textId="469169C4" w:rsidR="007108DB" w:rsidRDefault="007108DB" w:rsidP="00FC2CC6">
      <w:pPr>
        <w:rPr>
          <w:szCs w:val="22"/>
        </w:rPr>
      </w:pPr>
    </w:p>
    <w:p w14:paraId="539352F4" w14:textId="77777777" w:rsidR="00616D98" w:rsidRPr="00B26030" w:rsidRDefault="00616D98" w:rsidP="00FC2CC6">
      <w:pPr>
        <w:rPr>
          <w:szCs w:val="22"/>
        </w:rPr>
      </w:pPr>
    </w:p>
    <w:p w14:paraId="63C1F2AE" w14:textId="021E4D99" w:rsidR="007A6AA5" w:rsidRDefault="00AC2F64" w:rsidP="003114B9">
      <w:pPr>
        <w:widowControl w:val="0"/>
        <w:autoSpaceDE w:val="0"/>
        <w:autoSpaceDN w:val="0"/>
        <w:adjustRightInd w:val="0"/>
        <w:spacing w:after="240"/>
        <w:rPr>
          <w:szCs w:val="22"/>
        </w:rPr>
      </w:pPr>
      <w:r w:rsidRPr="00B26030">
        <w:rPr>
          <w:b/>
          <w:szCs w:val="22"/>
        </w:rPr>
        <w:t>Abstract:</w:t>
      </w:r>
      <w:r w:rsidRPr="00875DA5">
        <w:rPr>
          <w:szCs w:val="22"/>
        </w:rPr>
        <w:t xml:space="preserve"> </w:t>
      </w:r>
      <w:r w:rsidR="006C316E">
        <w:rPr>
          <w:szCs w:val="22"/>
        </w:rPr>
        <w:t xml:space="preserve">Estimating </w:t>
      </w:r>
      <w:r w:rsidR="008E6A99">
        <w:rPr>
          <w:szCs w:val="22"/>
        </w:rPr>
        <w:t xml:space="preserve">the impact of child health investments on adult living standards faces </w:t>
      </w:r>
      <w:r w:rsidR="006C316E">
        <w:rPr>
          <w:szCs w:val="22"/>
        </w:rPr>
        <w:t xml:space="preserve">several </w:t>
      </w:r>
      <w:r w:rsidR="00AF32EB">
        <w:rPr>
          <w:szCs w:val="22"/>
        </w:rPr>
        <w:t xml:space="preserve">major </w:t>
      </w:r>
      <w:r w:rsidR="008E6A99">
        <w:rPr>
          <w:szCs w:val="22"/>
        </w:rPr>
        <w:t>methodological challenges, including the paucity of experimental interventions for which it is feasible to locate participants</w:t>
      </w:r>
      <w:r w:rsidR="006C316E">
        <w:rPr>
          <w:szCs w:val="22"/>
        </w:rPr>
        <w:t xml:space="preserve"> many years later</w:t>
      </w:r>
      <w:r w:rsidR="00AF32EB">
        <w:rPr>
          <w:szCs w:val="22"/>
        </w:rPr>
        <w:t>,</w:t>
      </w:r>
      <w:r w:rsidR="008E6A99">
        <w:rPr>
          <w:szCs w:val="22"/>
        </w:rPr>
        <w:t xml:space="preserve"> </w:t>
      </w:r>
      <w:r w:rsidR="006C316E">
        <w:rPr>
          <w:szCs w:val="22"/>
        </w:rPr>
        <w:t>as well as difficulties in accurately measuring</w:t>
      </w:r>
      <w:r w:rsidR="008E6A99">
        <w:rPr>
          <w:szCs w:val="22"/>
        </w:rPr>
        <w:t xml:space="preserve"> economic outcomes. This study exploits a randomized school health intervention that provided deworming treatment to Kenyan children</w:t>
      </w:r>
      <w:r w:rsidR="00AF32EB">
        <w:rPr>
          <w:szCs w:val="22"/>
        </w:rPr>
        <w:t xml:space="preserve">. We </w:t>
      </w:r>
      <w:r w:rsidR="00E8696C">
        <w:rPr>
          <w:szCs w:val="22"/>
        </w:rPr>
        <w:t xml:space="preserve">estimate impacts on their living standards and wellbeing 15 years later, at which point the effective </w:t>
      </w:r>
      <w:r w:rsidR="00AF32EB">
        <w:rPr>
          <w:szCs w:val="22"/>
        </w:rPr>
        <w:t xml:space="preserve">respondent </w:t>
      </w:r>
      <w:r w:rsidR="00E8696C">
        <w:rPr>
          <w:szCs w:val="22"/>
        </w:rPr>
        <w:t xml:space="preserve">tracking rate was 85%. </w:t>
      </w:r>
      <w:r w:rsidR="001E5694">
        <w:rPr>
          <w:szCs w:val="22"/>
        </w:rPr>
        <w:t>In our main finding, we show that d</w:t>
      </w:r>
      <w:r w:rsidR="00E8696C">
        <w:rPr>
          <w:szCs w:val="22"/>
        </w:rPr>
        <w:t xml:space="preserve">eworming beneficiaries experience a </w:t>
      </w:r>
      <w:r w:rsidR="001E5694">
        <w:rPr>
          <w:szCs w:val="22"/>
        </w:rPr>
        <w:t xml:space="preserve">large and </w:t>
      </w:r>
      <w:r w:rsidR="00E8696C">
        <w:rPr>
          <w:szCs w:val="22"/>
        </w:rPr>
        <w:t xml:space="preserve">persistent 15% gain in total </w:t>
      </w:r>
      <w:r w:rsidR="001E5694">
        <w:rPr>
          <w:szCs w:val="22"/>
        </w:rPr>
        <w:t xml:space="preserve">adult </w:t>
      </w:r>
      <w:r w:rsidR="00E8696C">
        <w:rPr>
          <w:szCs w:val="22"/>
        </w:rPr>
        <w:t xml:space="preserve">earnings. Treatment group individuals </w:t>
      </w:r>
      <w:r w:rsidR="001E5694">
        <w:rPr>
          <w:szCs w:val="22"/>
        </w:rPr>
        <w:t xml:space="preserve">also </w:t>
      </w:r>
      <w:r w:rsidR="00E8696C">
        <w:rPr>
          <w:szCs w:val="22"/>
        </w:rPr>
        <w:t xml:space="preserve">have significantly higher total consumption expenditures, are more likely to live in urban areas, and are more likely to state that they are “very happy” in surveys. Given deworming’s extremely low cost, a conservative estimate of deworming’s </w:t>
      </w:r>
      <w:r w:rsidR="00AA3F74">
        <w:rPr>
          <w:szCs w:val="22"/>
        </w:rPr>
        <w:t xml:space="preserve">annualized </w:t>
      </w:r>
      <w:r w:rsidR="00E8696C">
        <w:rPr>
          <w:szCs w:val="22"/>
        </w:rPr>
        <w:t>social internal rate of return is 42.5%.</w:t>
      </w:r>
    </w:p>
    <w:p w14:paraId="430EC699" w14:textId="184EDBC8" w:rsidR="00767967" w:rsidRDefault="00BB0AD3" w:rsidP="003114B9">
      <w:pPr>
        <w:widowControl w:val="0"/>
        <w:autoSpaceDE w:val="0"/>
        <w:autoSpaceDN w:val="0"/>
        <w:adjustRightInd w:val="0"/>
        <w:spacing w:after="240"/>
      </w:pPr>
      <w:r>
        <w:t>(</w:t>
      </w:r>
      <w:r w:rsidR="00767967" w:rsidRPr="00BB0AD3">
        <w:t>JEL codes:</w:t>
      </w:r>
      <w:r w:rsidR="00767967">
        <w:t xml:space="preserve"> </w:t>
      </w:r>
      <w:r w:rsidR="00734DC3">
        <w:t>E21, I15</w:t>
      </w:r>
      <w:r w:rsidR="00767967" w:rsidRPr="00767967">
        <w:t>,</w:t>
      </w:r>
      <w:r w:rsidR="00767967">
        <w:t xml:space="preserve"> </w:t>
      </w:r>
      <w:r w:rsidR="00734DC3">
        <w:t>I25</w:t>
      </w:r>
      <w:r w:rsidR="00767967" w:rsidRPr="00767967">
        <w:t>,</w:t>
      </w:r>
      <w:r w:rsidR="00767967">
        <w:t xml:space="preserve"> </w:t>
      </w:r>
      <w:r w:rsidR="00767967" w:rsidRPr="00767967">
        <w:t>J24,</w:t>
      </w:r>
      <w:r w:rsidR="00767967">
        <w:t xml:space="preserve"> </w:t>
      </w:r>
      <w:r w:rsidR="00767967" w:rsidRPr="00767967">
        <w:t>O15</w:t>
      </w:r>
      <w:r>
        <w:t>)</w:t>
      </w:r>
    </w:p>
    <w:p w14:paraId="069EF76E" w14:textId="77777777" w:rsidR="007A6AA5" w:rsidRDefault="007A6AA5">
      <w:pPr>
        <w:spacing w:after="160" w:line="259" w:lineRule="auto"/>
        <w:rPr>
          <w:b/>
          <w:szCs w:val="22"/>
        </w:rPr>
      </w:pPr>
      <w:r>
        <w:rPr>
          <w:b/>
          <w:szCs w:val="22"/>
        </w:rPr>
        <w:br w:type="page"/>
      </w:r>
    </w:p>
    <w:p w14:paraId="50204A01" w14:textId="335608DE" w:rsidR="00215E54" w:rsidRDefault="00E17906" w:rsidP="00DF789B">
      <w:pPr>
        <w:widowControl w:val="0"/>
        <w:autoSpaceDE w:val="0"/>
        <w:autoSpaceDN w:val="0"/>
        <w:adjustRightInd w:val="0"/>
        <w:spacing w:after="240" w:line="600" w:lineRule="exact"/>
        <w:rPr>
          <w:szCs w:val="22"/>
        </w:rPr>
      </w:pPr>
      <w:r w:rsidRPr="004A1B72">
        <w:rPr>
          <w:rFonts w:ascii="Palatino Linotype" w:hAnsi="Palatino Linotype"/>
          <w:noProof/>
          <w:sz w:val="22"/>
          <w:szCs w:val="22"/>
        </w:rPr>
        <w:lastRenderedPageBreak/>
        <mc:AlternateContent>
          <mc:Choice Requires="wps">
            <w:drawing>
              <wp:anchor distT="0" distB="0" distL="114300" distR="114300" simplePos="0" relativeHeight="251660800" behindDoc="0" locked="0" layoutInCell="1" allowOverlap="1" wp14:anchorId="741DED4A" wp14:editId="77DA8644">
                <wp:simplePos x="0" y="0"/>
                <wp:positionH relativeFrom="column">
                  <wp:posOffset>5820410</wp:posOffset>
                </wp:positionH>
                <wp:positionV relativeFrom="paragraph">
                  <wp:posOffset>3804920</wp:posOffset>
                </wp:positionV>
                <wp:extent cx="213360" cy="236220"/>
                <wp:effectExtent l="0" t="0" r="0" b="0"/>
                <wp:wrapNone/>
                <wp:docPr id="6" name="Rectangle 6"/>
                <wp:cNvGraphicFramePr/>
                <a:graphic xmlns:a="http://schemas.openxmlformats.org/drawingml/2006/main">
                  <a:graphicData uri="http://schemas.microsoft.com/office/word/2010/wordprocessingShape">
                    <wps:wsp>
                      <wps:cNvSpPr/>
                      <wps:spPr>
                        <a:xfrm>
                          <a:off x="0" y="0"/>
                          <a:ext cx="213360" cy="236220"/>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682B5" id="Rectangle 6" o:spid="_x0000_s1026" style="position:absolute;margin-left:458.3pt;margin-top:299.6pt;width:16.8pt;height:18.6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" fillcolor="white [3212]" stroked="f" strokeweight=".5pt"/>
            </w:pict>
          </mc:Fallback>
        </mc:AlternateContent>
      </w:r>
      <w:r w:rsidR="00BA17A7" w:rsidRPr="00FC2CC6">
        <w:rPr>
          <w:b/>
          <w:szCs w:val="22"/>
        </w:rPr>
        <w:t xml:space="preserve">1. </w:t>
      </w:r>
      <w:r w:rsidR="00E378BD" w:rsidRPr="00BA17A7">
        <w:rPr>
          <w:b/>
          <w:sz w:val="28"/>
          <w:szCs w:val="28"/>
        </w:rPr>
        <w:t>I</w:t>
      </w:r>
      <w:r w:rsidR="00E378BD" w:rsidRPr="00E378BD">
        <w:rPr>
          <w:b/>
          <w:sz w:val="28"/>
          <w:szCs w:val="28"/>
        </w:rPr>
        <w:t>ntroduction</w:t>
      </w:r>
    </w:p>
    <w:p w14:paraId="45888CD7" w14:textId="07C5B744" w:rsidR="00847B0B" w:rsidRDefault="00847B0B" w:rsidP="00847B0B">
      <w:pPr>
        <w:pStyle w:val="NoSpacing"/>
        <w:spacing w:after="240" w:line="600" w:lineRule="exact"/>
        <w:rPr>
          <w:szCs w:val="22"/>
        </w:rPr>
      </w:pPr>
      <w:r>
        <w:rPr>
          <w:szCs w:val="22"/>
        </w:rPr>
        <w:t xml:space="preserve">The role that child health status plays in determining later life outcomes is a major topic of inquiry across research fields. </w:t>
      </w:r>
      <w:r w:rsidR="004874FE">
        <w:rPr>
          <w:szCs w:val="22"/>
        </w:rPr>
        <w:t>Beyond the direct utility benefits that healthy children (and their families) experience, t</w:t>
      </w:r>
      <w:r>
        <w:rPr>
          <w:szCs w:val="22"/>
        </w:rPr>
        <w:t>he belief that investing in child health and nutrition can generate improvements in these individuals’ quality of life when they reach adulthood provides a rationale for many public initiatives around the world, including in low-income countries</w:t>
      </w:r>
      <w:r w:rsidR="004874FE">
        <w:rPr>
          <w:szCs w:val="22"/>
        </w:rPr>
        <w:t>, from school lunch programs to subsidized access to health insurance and medical care</w:t>
      </w:r>
      <w:r w:rsidR="00C50154" w:rsidRPr="00C50154">
        <w:rPr>
          <w:szCs w:val="22"/>
        </w:rPr>
        <w:t xml:space="preserve"> </w:t>
      </w:r>
      <w:r w:rsidR="00C50154">
        <w:rPr>
          <w:szCs w:val="22"/>
        </w:rPr>
        <w:t>for children</w:t>
      </w:r>
      <w:r>
        <w:rPr>
          <w:szCs w:val="22"/>
        </w:rPr>
        <w:t xml:space="preserve">. </w:t>
      </w:r>
    </w:p>
    <w:p w14:paraId="2AE728A1" w14:textId="366EEB33" w:rsidR="00B76FFF" w:rsidRDefault="00847B0B" w:rsidP="00847B0B">
      <w:pPr>
        <w:pStyle w:val="NoSpacing"/>
        <w:spacing w:after="240" w:line="600" w:lineRule="exact"/>
        <w:ind w:firstLine="720"/>
        <w:rPr>
          <w:szCs w:val="22"/>
        </w:rPr>
      </w:pPr>
      <w:r>
        <w:rPr>
          <w:szCs w:val="22"/>
        </w:rPr>
        <w:t xml:space="preserve">Despite this interest, there remains a limited body of evidence establishing causal impacts of child health gains on adult living standards, due to the methodological challenges inherent in doing so. While there has been some recent progress in wealthy countries, often exploiting </w:t>
      </w:r>
      <w:r w:rsidR="00CF23BC">
        <w:rPr>
          <w:szCs w:val="22"/>
        </w:rPr>
        <w:t xml:space="preserve">administrative data and </w:t>
      </w:r>
      <w:r>
        <w:rPr>
          <w:szCs w:val="22"/>
        </w:rPr>
        <w:t>the targeting or scale-up rules of large-scale public programs (as surveyed in Almond et al 2017)</w:t>
      </w:r>
      <w:r w:rsidR="004874FE">
        <w:rPr>
          <w:szCs w:val="22"/>
        </w:rPr>
        <w:t xml:space="preserve">, there are few studies in low-income countries that are able to exploit credibly exogenous variation in child health status, combined with long-term tracking of program participants, and the ability to carefully measure adult living standards. </w:t>
      </w:r>
      <w:r w:rsidR="00CF23BC">
        <w:rPr>
          <w:szCs w:val="22"/>
        </w:rPr>
        <w:t xml:space="preserve">This is in part due to the lack of high-quality administrative data on most workers in low-income countries. </w:t>
      </w:r>
      <w:r w:rsidR="004874FE">
        <w:rPr>
          <w:szCs w:val="22"/>
        </w:rPr>
        <w:t xml:space="preserve">Measurement of economic wellbeing is </w:t>
      </w:r>
      <w:r w:rsidR="00CF23BC">
        <w:rPr>
          <w:szCs w:val="22"/>
        </w:rPr>
        <w:t xml:space="preserve">also </w:t>
      </w:r>
      <w:r w:rsidR="004874FE">
        <w:rPr>
          <w:szCs w:val="22"/>
        </w:rPr>
        <w:t>typically more challenging in poor countries given widespre</w:t>
      </w:r>
      <w:r w:rsidR="00CF23BC">
        <w:rPr>
          <w:szCs w:val="22"/>
        </w:rPr>
        <w:t xml:space="preserve">ad of informal sector activity and </w:t>
      </w:r>
      <w:r w:rsidR="004874FE">
        <w:rPr>
          <w:szCs w:val="22"/>
        </w:rPr>
        <w:t>subsistence agricultural production. One notable exception is the remarkable 30-year follow-up of the four villages in the INCAP nutritional supplementation study in Guatemala (</w:t>
      </w:r>
      <w:proofErr w:type="spellStart"/>
      <w:r w:rsidR="004874FE">
        <w:rPr>
          <w:szCs w:val="22"/>
        </w:rPr>
        <w:t>Martorell</w:t>
      </w:r>
      <w:proofErr w:type="spellEnd"/>
      <w:r w:rsidR="004874FE">
        <w:rPr>
          <w:szCs w:val="22"/>
        </w:rPr>
        <w:t xml:space="preserve"> et al 2010).</w:t>
      </w:r>
    </w:p>
    <w:p w14:paraId="438E076E" w14:textId="1CEA1D03" w:rsidR="004874FE" w:rsidRDefault="00D76B1E" w:rsidP="00D76B1E">
      <w:pPr>
        <w:pStyle w:val="NoSpacing"/>
        <w:spacing w:after="240" w:line="600" w:lineRule="exact"/>
        <w:ind w:firstLine="720"/>
        <w:rPr>
          <w:szCs w:val="22"/>
        </w:rPr>
      </w:pPr>
      <w:r>
        <w:rPr>
          <w:szCs w:val="22"/>
        </w:rPr>
        <w:lastRenderedPageBreak/>
        <w:t>This study exploits a randomized school health intervention that provided deworming treatment to Kenyan children starting in 1998</w:t>
      </w:r>
      <w:r w:rsidR="00BA6B72">
        <w:rPr>
          <w:szCs w:val="22"/>
        </w:rPr>
        <w:t>, the Primary School Deworming Project (PSDP)</w:t>
      </w:r>
      <w:r>
        <w:rPr>
          <w:szCs w:val="22"/>
        </w:rPr>
        <w:t xml:space="preserve">. The </w:t>
      </w:r>
      <w:r w:rsidR="00BA6B72">
        <w:rPr>
          <w:szCs w:val="22"/>
        </w:rPr>
        <w:t xml:space="preserve">PSDP </w:t>
      </w:r>
      <w:r>
        <w:rPr>
          <w:szCs w:val="22"/>
        </w:rPr>
        <w:t xml:space="preserve">treatment group of 50 schools received up to 3 years of additional deworming treatment, relative to the control group (of 25 schools). We estimate impacts on their living standards and wellbeing roughly 15 years later, during 2011-2014, using data from the Kenya Life Panel Survey (KLPS). A noteworthy aspect of KLPS is its success at maintaining contact with the original sample: at the 15 year follow-up mark, the effective respondent tracking rate was still 85%, </w:t>
      </w:r>
      <w:r w:rsidR="00CF23BC">
        <w:rPr>
          <w:szCs w:val="22"/>
        </w:rPr>
        <w:t xml:space="preserve">with rates </w:t>
      </w:r>
      <w:r>
        <w:rPr>
          <w:szCs w:val="22"/>
        </w:rPr>
        <w:t xml:space="preserve">balanced </w:t>
      </w:r>
      <w:r w:rsidR="00CF23BC">
        <w:rPr>
          <w:szCs w:val="22"/>
        </w:rPr>
        <w:t xml:space="preserve">across </w:t>
      </w:r>
      <w:r>
        <w:rPr>
          <w:szCs w:val="22"/>
        </w:rPr>
        <w:t xml:space="preserve">treatment arms. This success is due to the project’s decision to track migrants beyond the original study region, including to </w:t>
      </w:r>
      <w:r w:rsidR="00CF23BC">
        <w:rPr>
          <w:szCs w:val="22"/>
        </w:rPr>
        <w:t xml:space="preserve">other </w:t>
      </w:r>
      <w:r>
        <w:rPr>
          <w:szCs w:val="22"/>
        </w:rPr>
        <w:t>parts of Kenya, East Africa, and beyond. The survey</w:t>
      </w:r>
      <w:r w:rsidR="00CF23BC">
        <w:rPr>
          <w:szCs w:val="22"/>
        </w:rPr>
        <w:t xml:space="preserve"> instrument</w:t>
      </w:r>
      <w:r>
        <w:rPr>
          <w:szCs w:val="22"/>
        </w:rPr>
        <w:t xml:space="preserve">, which we designed, also gathers rich information on adult earnings, labor productivity, occupation, and living standards, as well as subjective wellbeing. </w:t>
      </w:r>
      <w:r w:rsidR="000B24A8">
        <w:rPr>
          <w:szCs w:val="22"/>
        </w:rPr>
        <w:t xml:space="preserve">Taken together, these features allow </w:t>
      </w:r>
      <w:r>
        <w:rPr>
          <w:szCs w:val="22"/>
        </w:rPr>
        <w:t xml:space="preserve">this study to address </w:t>
      </w:r>
      <w:r w:rsidR="000B24A8">
        <w:rPr>
          <w:szCs w:val="22"/>
        </w:rPr>
        <w:t xml:space="preserve">many of </w:t>
      </w:r>
      <w:r>
        <w:rPr>
          <w:szCs w:val="22"/>
        </w:rPr>
        <w:t>the methodological challenges mentioned above.</w:t>
      </w:r>
    </w:p>
    <w:p w14:paraId="7202D95B" w14:textId="123DA6DB" w:rsidR="002C3156" w:rsidRDefault="002C3156" w:rsidP="00D76B1E">
      <w:pPr>
        <w:pStyle w:val="NoSpacing"/>
        <w:spacing w:after="240" w:line="600" w:lineRule="exact"/>
        <w:ind w:firstLine="720"/>
        <w:rPr>
          <w:szCs w:val="22"/>
        </w:rPr>
      </w:pPr>
      <w:r>
        <w:rPr>
          <w:szCs w:val="22"/>
        </w:rPr>
        <w:t xml:space="preserve">In our main finding, we show that deworming beneficiaries experience a </w:t>
      </w:r>
      <w:r w:rsidR="00CF23BC">
        <w:rPr>
          <w:szCs w:val="22"/>
        </w:rPr>
        <w:t xml:space="preserve">large and </w:t>
      </w:r>
      <w:r>
        <w:rPr>
          <w:szCs w:val="22"/>
        </w:rPr>
        <w:t xml:space="preserve">persistent 15% gain in total earnings. Treatment group individuals </w:t>
      </w:r>
      <w:r w:rsidR="00CF23BC">
        <w:rPr>
          <w:szCs w:val="22"/>
        </w:rPr>
        <w:t xml:space="preserve">also </w:t>
      </w:r>
      <w:r>
        <w:rPr>
          <w:szCs w:val="22"/>
        </w:rPr>
        <w:t>have significantly higher total consumption expenditures</w:t>
      </w:r>
      <w:r w:rsidR="00B824AC">
        <w:rPr>
          <w:szCs w:val="22"/>
        </w:rPr>
        <w:t xml:space="preserve"> (by 26%)</w:t>
      </w:r>
      <w:r>
        <w:rPr>
          <w:szCs w:val="22"/>
        </w:rPr>
        <w:t xml:space="preserve">, are more likely to live in urban areas, and are more likely to state that they are “very happy” in surveys. Given these benefits and deworming’s extremely low cost, a conservative estimate </w:t>
      </w:r>
      <w:r w:rsidR="00B824AC">
        <w:rPr>
          <w:szCs w:val="22"/>
        </w:rPr>
        <w:t xml:space="preserve">implies that </w:t>
      </w:r>
      <w:r>
        <w:rPr>
          <w:szCs w:val="22"/>
        </w:rPr>
        <w:t>deworming’s annualized social internal rate of return is 42.5%</w:t>
      </w:r>
      <w:r w:rsidR="005A0DC5">
        <w:rPr>
          <w:szCs w:val="22"/>
        </w:rPr>
        <w:t>, a very high return by any standard</w:t>
      </w:r>
      <w:r w:rsidR="00B824AC">
        <w:rPr>
          <w:szCs w:val="22"/>
        </w:rPr>
        <w:t>, and that deworming in Kenya is likely to generate more in future government tax revenue than it initially cost</w:t>
      </w:r>
      <w:r>
        <w:rPr>
          <w:szCs w:val="22"/>
        </w:rPr>
        <w:t>.</w:t>
      </w:r>
    </w:p>
    <w:p w14:paraId="3AA28BE6" w14:textId="2899E130" w:rsidR="002B3BF5" w:rsidRDefault="00C33335" w:rsidP="00D76B1E">
      <w:pPr>
        <w:pStyle w:val="NoSpacing"/>
        <w:spacing w:after="240" w:line="600" w:lineRule="exact"/>
        <w:ind w:firstLine="720"/>
        <w:rPr>
          <w:szCs w:val="22"/>
        </w:rPr>
      </w:pPr>
      <w:r>
        <w:rPr>
          <w:szCs w:val="22"/>
        </w:rPr>
        <w:lastRenderedPageBreak/>
        <w:t>The health condition that we focus on, intestinal helminth infections, are extremely widespread, infecting one in five people worldwide (</w:t>
      </w:r>
      <w:proofErr w:type="spellStart"/>
      <w:r>
        <w:rPr>
          <w:szCs w:val="22"/>
        </w:rPr>
        <w:t>Pullan</w:t>
      </w:r>
      <w:proofErr w:type="spellEnd"/>
      <w:r>
        <w:rPr>
          <w:szCs w:val="22"/>
        </w:rPr>
        <w:t xml:space="preserve"> et al 2014). </w:t>
      </w:r>
      <w:r w:rsidR="00593F6F">
        <w:rPr>
          <w:szCs w:val="22"/>
        </w:rPr>
        <w:t>Worms infections are known to have a range of adverse health and nutritional consequences for children, including stunted growth, weakness, and anemia (</w:t>
      </w:r>
      <w:r w:rsidR="002B3BF5">
        <w:rPr>
          <w:szCs w:val="22"/>
        </w:rPr>
        <w:t>for certain types of worms) (</w:t>
      </w:r>
      <w:r w:rsidR="00D84E57">
        <w:rPr>
          <w:szCs w:val="22"/>
        </w:rPr>
        <w:t xml:space="preserve">Stephenson et al. 1993, </w:t>
      </w:r>
      <w:proofErr w:type="spellStart"/>
      <w:r w:rsidR="00D84E57">
        <w:rPr>
          <w:szCs w:val="22"/>
        </w:rPr>
        <w:t>Stoltzfus</w:t>
      </w:r>
      <w:proofErr w:type="spellEnd"/>
      <w:r w:rsidR="00D84E57">
        <w:rPr>
          <w:szCs w:val="22"/>
        </w:rPr>
        <w:t xml:space="preserve"> et al. 1997, </w:t>
      </w:r>
      <w:proofErr w:type="spellStart"/>
      <w:r w:rsidR="00C965CB">
        <w:rPr>
          <w:szCs w:val="22"/>
        </w:rPr>
        <w:t>Guyatt</w:t>
      </w:r>
      <w:proofErr w:type="spellEnd"/>
      <w:r w:rsidR="00C965CB">
        <w:rPr>
          <w:szCs w:val="22"/>
        </w:rPr>
        <w:t xml:space="preserve"> et al 2001, </w:t>
      </w:r>
      <w:r w:rsidR="00D84E57">
        <w:rPr>
          <w:szCs w:val="22"/>
        </w:rPr>
        <w:t xml:space="preserve">Silva et al. 2003, </w:t>
      </w:r>
      <w:r w:rsidR="00A669BD">
        <w:rPr>
          <w:noProof/>
          <w:szCs w:val="22"/>
        </w:rPr>
        <w:t>Disease Control Priorities Project 2008</w:t>
      </w:r>
      <w:r w:rsidR="002B3BF5">
        <w:rPr>
          <w:szCs w:val="22"/>
        </w:rPr>
        <w:t xml:space="preserve">). There is also increasing evidence that worm infections have broader immunological effects, making individuals more prone to other infections, including malaria (Kirwan et al 2010), </w:t>
      </w:r>
      <w:r w:rsidR="00137F92">
        <w:rPr>
          <w:szCs w:val="22"/>
        </w:rPr>
        <w:t xml:space="preserve">and </w:t>
      </w:r>
      <w:r w:rsidR="002B3BF5">
        <w:rPr>
          <w:szCs w:val="22"/>
        </w:rPr>
        <w:t>having adverse conse</w:t>
      </w:r>
      <w:r w:rsidR="00D84E57">
        <w:rPr>
          <w:szCs w:val="22"/>
        </w:rPr>
        <w:t xml:space="preserve">quences for the gut microbiome including </w:t>
      </w:r>
      <w:proofErr w:type="spellStart"/>
      <w:r w:rsidR="00D84E57">
        <w:rPr>
          <w:szCs w:val="22"/>
        </w:rPr>
        <w:t>dysbiosis</w:t>
      </w:r>
      <w:proofErr w:type="spellEnd"/>
      <w:r w:rsidR="002B3BF5">
        <w:rPr>
          <w:szCs w:val="22"/>
        </w:rPr>
        <w:t xml:space="preserve"> (</w:t>
      </w:r>
      <w:proofErr w:type="spellStart"/>
      <w:r w:rsidR="00D84E57">
        <w:rPr>
          <w:szCs w:val="22"/>
        </w:rPr>
        <w:t>Guernier</w:t>
      </w:r>
      <w:proofErr w:type="spellEnd"/>
      <w:r w:rsidR="00D84E57">
        <w:rPr>
          <w:szCs w:val="22"/>
        </w:rPr>
        <w:t xml:space="preserve"> et al 2017, </w:t>
      </w:r>
      <w:proofErr w:type="spellStart"/>
      <w:r w:rsidR="00D84E57">
        <w:rPr>
          <w:szCs w:val="22"/>
        </w:rPr>
        <w:t>Zaiss</w:t>
      </w:r>
      <w:proofErr w:type="spellEnd"/>
      <w:r w:rsidR="00D84E57">
        <w:rPr>
          <w:szCs w:val="22"/>
        </w:rPr>
        <w:t xml:space="preserve"> and Harris 2016</w:t>
      </w:r>
      <w:r w:rsidR="002B3BF5">
        <w:rPr>
          <w:szCs w:val="22"/>
        </w:rPr>
        <w:t>)</w:t>
      </w:r>
      <w:r w:rsidR="00137F92">
        <w:rPr>
          <w:szCs w:val="22"/>
        </w:rPr>
        <w:t xml:space="preserve">; worm infections in pregnant mothers may also affect the birthweight of their children </w:t>
      </w:r>
      <w:proofErr w:type="spellStart"/>
      <w:r w:rsidR="00137F92">
        <w:rPr>
          <w:szCs w:val="22"/>
        </w:rPr>
        <w:t>Larocque</w:t>
      </w:r>
      <w:proofErr w:type="spellEnd"/>
      <w:r w:rsidR="00137F92">
        <w:rPr>
          <w:szCs w:val="22"/>
        </w:rPr>
        <w:t xml:space="preserve"> et al 2006)</w:t>
      </w:r>
      <w:r w:rsidR="002B3BF5">
        <w:rPr>
          <w:szCs w:val="22"/>
        </w:rPr>
        <w:t xml:space="preserve">. </w:t>
      </w:r>
    </w:p>
    <w:p w14:paraId="40A2FDAA" w14:textId="6A8A62F0" w:rsidR="0097731F" w:rsidRDefault="002B3BF5" w:rsidP="00D76B1E">
      <w:pPr>
        <w:pStyle w:val="NoSpacing"/>
        <w:spacing w:after="240" w:line="600" w:lineRule="exact"/>
        <w:ind w:firstLine="720"/>
        <w:rPr>
          <w:szCs w:val="22"/>
        </w:rPr>
      </w:pPr>
      <w:r>
        <w:rPr>
          <w:szCs w:val="22"/>
        </w:rPr>
        <w:t>I</w:t>
      </w:r>
      <w:r w:rsidR="00593F6F">
        <w:rPr>
          <w:szCs w:val="22"/>
        </w:rPr>
        <w:t xml:space="preserve">t has long been hypothesized that </w:t>
      </w:r>
      <w:r>
        <w:rPr>
          <w:szCs w:val="22"/>
        </w:rPr>
        <w:t xml:space="preserve">this constellation of health effects </w:t>
      </w:r>
      <w:r w:rsidR="00593F6F">
        <w:rPr>
          <w:szCs w:val="22"/>
        </w:rPr>
        <w:t xml:space="preserve">could translate into deficits in cognitive development </w:t>
      </w:r>
      <w:r w:rsidR="00C965CB">
        <w:rPr>
          <w:szCs w:val="22"/>
        </w:rPr>
        <w:t xml:space="preserve">as well as </w:t>
      </w:r>
      <w:r w:rsidR="00593F6F">
        <w:rPr>
          <w:szCs w:val="22"/>
        </w:rPr>
        <w:t xml:space="preserve">worse </w:t>
      </w:r>
      <w:r w:rsidR="00C965CB">
        <w:rPr>
          <w:szCs w:val="22"/>
        </w:rPr>
        <w:t xml:space="preserve">living standards and </w:t>
      </w:r>
      <w:r w:rsidR="00593F6F">
        <w:rPr>
          <w:szCs w:val="22"/>
        </w:rPr>
        <w:t>life outcomes (</w:t>
      </w:r>
      <w:r w:rsidR="00C965CB">
        <w:rPr>
          <w:szCs w:val="22"/>
        </w:rPr>
        <w:t>Schapiro 1919</w:t>
      </w:r>
      <w:r w:rsidR="006B5F3E">
        <w:rPr>
          <w:szCs w:val="22"/>
        </w:rPr>
        <w:t xml:space="preserve">, </w:t>
      </w:r>
      <w:proofErr w:type="spellStart"/>
      <w:r w:rsidR="006B5F3E">
        <w:rPr>
          <w:szCs w:val="22"/>
        </w:rPr>
        <w:t>Weisbrod</w:t>
      </w:r>
      <w:proofErr w:type="spellEnd"/>
      <w:r w:rsidR="006B5F3E">
        <w:rPr>
          <w:szCs w:val="22"/>
        </w:rPr>
        <w:t xml:space="preserve"> et al 1973</w:t>
      </w:r>
      <w:r w:rsidR="00593F6F">
        <w:rPr>
          <w:szCs w:val="22"/>
        </w:rPr>
        <w:t xml:space="preserve">). </w:t>
      </w:r>
      <w:r w:rsidR="00D030BF">
        <w:rPr>
          <w:szCs w:val="22"/>
        </w:rPr>
        <w:t>This has formed the basis for the long-standing World Health Organization recommendation to provide mass school-based treatment in endemic regions</w:t>
      </w:r>
      <w:r w:rsidR="00A669BD">
        <w:rPr>
          <w:szCs w:val="22"/>
        </w:rPr>
        <w:t xml:space="preserve"> </w:t>
      </w:r>
      <w:r w:rsidR="00A669BD">
        <w:rPr>
          <w:szCs w:val="22"/>
        </w:rPr>
        <w:fldChar w:fldCharType="begin"/>
      </w:r>
      <w:r w:rsidR="00A669BD">
        <w:rPr>
          <w:szCs w:val="22"/>
        </w:rPr>
        <w:instrText xml:space="preserve"> ADDIN EN.CITE &lt;EndNote&gt;&lt;Cite&gt;&lt;Author&gt;Organization&lt;/Author&gt;&lt;Year&gt;1992&lt;/Year&gt;&lt;RecNum&gt;34&lt;/RecNum&gt;&lt;DisplayText&gt;(World Health Organization 1992)&lt;/DisplayText&gt;&lt;record&gt;&lt;rec-number&gt;34&lt;/rec-number&gt;&lt;foreign-keys&gt;&lt;key app="EN" db-id="f2200x509a5tazeww0dpewfvxdwwe2zt9vxt" timestamp="0"&gt;34&lt;/key&gt;&lt;/foreign-keys&gt;&lt;ref-type name="Report"&gt;27&lt;/ref-type&gt;&lt;contributors&gt;&lt;authors&gt;&lt;author&gt;World Health Organization,&lt;/author&gt;&lt;/authors&gt;&lt;/contributors&gt;&lt;titles&gt;&lt;title&gt;Model Describing Information. Drugs used in Parasitic Diseases&lt;/title&gt;&lt;/titles&gt;&lt;dates&gt;&lt;year&gt;1992&lt;/year&gt;&lt;/dates&gt;&lt;pub-location&gt;Geneva&lt;/pub-location&gt;&lt;publisher&gt;WHO&lt;/publisher&gt;&lt;urls&gt;&lt;/urls&gt;&lt;/record&gt;&lt;/Cite&gt;&lt;/EndNote&gt;</w:instrText>
      </w:r>
      <w:r w:rsidR="00A669BD">
        <w:rPr>
          <w:szCs w:val="22"/>
        </w:rPr>
        <w:fldChar w:fldCharType="separate"/>
      </w:r>
      <w:r w:rsidR="00A669BD">
        <w:rPr>
          <w:noProof/>
          <w:szCs w:val="22"/>
        </w:rPr>
        <w:t>(World Health Organization 1992)</w:t>
      </w:r>
      <w:r w:rsidR="00A669BD">
        <w:rPr>
          <w:szCs w:val="22"/>
        </w:rPr>
        <w:fldChar w:fldCharType="end"/>
      </w:r>
      <w:r w:rsidR="00D030BF">
        <w:rPr>
          <w:szCs w:val="22"/>
        </w:rPr>
        <w:t>. Mass treatment is attractive because diagnosing infections (typically using stool samples analyzed by lab technicians) is very expensive relative to the cost of common deworming drugs, which</w:t>
      </w:r>
      <w:r w:rsidR="00713180">
        <w:rPr>
          <w:szCs w:val="22"/>
        </w:rPr>
        <w:t xml:space="preserve"> typically cost less than US$0.6</w:t>
      </w:r>
      <w:r w:rsidR="00D030BF">
        <w:rPr>
          <w:szCs w:val="22"/>
        </w:rPr>
        <w:t>0 per year per child, and given the safety of the drugs.</w:t>
      </w:r>
    </w:p>
    <w:p w14:paraId="3D5F7ECF" w14:textId="3FD54481" w:rsidR="00D76B1E" w:rsidRDefault="0097731F" w:rsidP="00D76B1E">
      <w:pPr>
        <w:pStyle w:val="NoSpacing"/>
        <w:spacing w:after="240" w:line="600" w:lineRule="exact"/>
        <w:ind w:firstLine="720"/>
        <w:rPr>
          <w:szCs w:val="22"/>
        </w:rPr>
      </w:pPr>
      <w:r>
        <w:rPr>
          <w:szCs w:val="22"/>
        </w:rPr>
        <w:t xml:space="preserve">There has been an active recent debate regarding the appropriateness of this recommendation, especially in light of a recent survey article that claimed that population-wide </w:t>
      </w:r>
      <w:r w:rsidR="00C965CB">
        <w:rPr>
          <w:szCs w:val="22"/>
        </w:rPr>
        <w:lastRenderedPageBreak/>
        <w:t xml:space="preserve">child nutritional </w:t>
      </w:r>
      <w:r>
        <w:rPr>
          <w:szCs w:val="22"/>
        </w:rPr>
        <w:t xml:space="preserve">gains </w:t>
      </w:r>
      <w:r w:rsidR="00C965CB">
        <w:rPr>
          <w:szCs w:val="22"/>
        </w:rPr>
        <w:t xml:space="preserve">from </w:t>
      </w:r>
      <w:r>
        <w:rPr>
          <w:szCs w:val="22"/>
        </w:rPr>
        <w:t>mass treatment are generally small (Taylor-Robinson et al. 2015). However, more recent meta-analysis incorporating more studies and focusing on settings with worm infection prevalence</w:t>
      </w:r>
      <w:r w:rsidR="00D030BF">
        <w:rPr>
          <w:szCs w:val="22"/>
        </w:rPr>
        <w:t xml:space="preserve"> </w:t>
      </w:r>
      <w:r w:rsidR="00C965CB">
        <w:rPr>
          <w:szCs w:val="22"/>
        </w:rPr>
        <w:t xml:space="preserve">over 20% – </w:t>
      </w:r>
      <w:r>
        <w:rPr>
          <w:szCs w:val="22"/>
        </w:rPr>
        <w:t>the relevant range for mass treatment programs – find larger, positive and statistically significant impacts of mass deworming on child weight</w:t>
      </w:r>
      <w:r w:rsidR="00C965CB">
        <w:rPr>
          <w:szCs w:val="22"/>
        </w:rPr>
        <w:t>,</w:t>
      </w:r>
      <w:r>
        <w:rPr>
          <w:szCs w:val="22"/>
        </w:rPr>
        <w:t xml:space="preserve"> as well as </w:t>
      </w:r>
      <w:r w:rsidR="00C965CB">
        <w:rPr>
          <w:szCs w:val="22"/>
        </w:rPr>
        <w:t xml:space="preserve">on </w:t>
      </w:r>
      <w:r w:rsidR="00A71D3F">
        <w:rPr>
          <w:szCs w:val="22"/>
        </w:rPr>
        <w:t>height (</w:t>
      </w:r>
      <w:proofErr w:type="spellStart"/>
      <w:r w:rsidR="00A71D3F">
        <w:rPr>
          <w:szCs w:val="22"/>
        </w:rPr>
        <w:t>Croke</w:t>
      </w:r>
      <w:proofErr w:type="spellEnd"/>
      <w:r w:rsidR="00A71D3F">
        <w:rPr>
          <w:szCs w:val="22"/>
        </w:rPr>
        <w:t xml:space="preserve"> et al 2016</w:t>
      </w:r>
      <w:r>
        <w:rPr>
          <w:szCs w:val="22"/>
        </w:rPr>
        <w:t xml:space="preserve">). The low cost of deworming drugs mean that it is far more cost effective than several other approaches to improving child nutritional status, such as school-feeding programs. There is limited evidence regarding long-run impacts, with the exception of </w:t>
      </w:r>
      <w:proofErr w:type="spellStart"/>
      <w:r>
        <w:rPr>
          <w:szCs w:val="22"/>
        </w:rPr>
        <w:t>Bleakley</w:t>
      </w:r>
      <w:proofErr w:type="spellEnd"/>
      <w:r>
        <w:rPr>
          <w:szCs w:val="22"/>
        </w:rPr>
        <w:t xml:space="preserve"> (2007), which finds that the expansion of mass deworming in the U.S. South in the early 20</w:t>
      </w:r>
      <w:r w:rsidRPr="0097731F">
        <w:rPr>
          <w:szCs w:val="22"/>
          <w:vertAlign w:val="superscript"/>
        </w:rPr>
        <w:t>th</w:t>
      </w:r>
      <w:r>
        <w:rPr>
          <w:szCs w:val="22"/>
        </w:rPr>
        <w:t xml:space="preserve"> century led to significantly higher educational attainment and income gains when the beneficiary children reached adulthood.</w:t>
      </w:r>
    </w:p>
    <w:p w14:paraId="68F3CC84" w14:textId="0BE008D3" w:rsidR="0097731F" w:rsidRDefault="00C965CB" w:rsidP="00D76B1E">
      <w:pPr>
        <w:pStyle w:val="NoSpacing"/>
        <w:spacing w:after="240" w:line="600" w:lineRule="exact"/>
        <w:ind w:firstLine="720"/>
        <w:rPr>
          <w:szCs w:val="22"/>
        </w:rPr>
      </w:pPr>
      <w:r>
        <w:rPr>
          <w:szCs w:val="22"/>
        </w:rPr>
        <w:t>S</w:t>
      </w:r>
      <w:r w:rsidR="00BA6B72">
        <w:rPr>
          <w:szCs w:val="22"/>
        </w:rPr>
        <w:t xml:space="preserve">everal existing studies have exploited the experimental variation induced by the PSDP. Miguel and Kremer (2004) </w:t>
      </w:r>
      <w:r w:rsidR="00AA0D52">
        <w:rPr>
          <w:szCs w:val="22"/>
        </w:rPr>
        <w:t xml:space="preserve">find evidence of </w:t>
      </w:r>
      <w:r w:rsidR="00BA6B72">
        <w:rPr>
          <w:szCs w:val="22"/>
        </w:rPr>
        <w:t xml:space="preserve">improvements in child school participation in the treatment schools over the first two years of the </w:t>
      </w:r>
      <w:r w:rsidR="00AA0D52">
        <w:rPr>
          <w:szCs w:val="22"/>
        </w:rPr>
        <w:t xml:space="preserve">deworming </w:t>
      </w:r>
      <w:r w:rsidR="00BA6B72">
        <w:rPr>
          <w:szCs w:val="22"/>
        </w:rPr>
        <w:t xml:space="preserve">program, with absenteeism falling by </w:t>
      </w:r>
      <w:r w:rsidR="00AA0D52">
        <w:rPr>
          <w:szCs w:val="22"/>
        </w:rPr>
        <w:t xml:space="preserve">roughly </w:t>
      </w:r>
      <w:r w:rsidR="00BA6B72">
        <w:rPr>
          <w:szCs w:val="22"/>
        </w:rPr>
        <w:t xml:space="preserve">one quarter. </w:t>
      </w:r>
      <w:r w:rsidR="00EA3ED2">
        <w:rPr>
          <w:szCs w:val="22"/>
        </w:rPr>
        <w:t>They also estimate sizeable deworming treatment externalities, presumably as treatment kills off worms already in the body and thus reduces transmission to others in the community. In particular, they document reductions in worm infection rates both among untreated children attending treatment schools, as well as among children attending other primary school located within 4 km of the treatment schools.</w:t>
      </w:r>
      <w:r w:rsidR="00EA3ED2">
        <w:rPr>
          <w:rStyle w:val="FootnoteReference"/>
          <w:szCs w:val="22"/>
        </w:rPr>
        <w:footnoteReference w:id="3"/>
      </w:r>
      <w:r w:rsidR="00EA3ED2">
        <w:rPr>
          <w:szCs w:val="22"/>
        </w:rPr>
        <w:t xml:space="preserve"> </w:t>
      </w:r>
      <w:r w:rsidR="0097735F">
        <w:rPr>
          <w:szCs w:val="22"/>
        </w:rPr>
        <w:t xml:space="preserve">Further evidence on deworming </w:t>
      </w:r>
      <w:r w:rsidR="0097735F">
        <w:rPr>
          <w:szCs w:val="22"/>
        </w:rPr>
        <w:lastRenderedPageBreak/>
        <w:t xml:space="preserve">treatment externalities is provided in </w:t>
      </w:r>
      <w:proofErr w:type="spellStart"/>
      <w:r w:rsidR="0097735F">
        <w:rPr>
          <w:szCs w:val="22"/>
        </w:rPr>
        <w:t>Ozier</w:t>
      </w:r>
      <w:proofErr w:type="spellEnd"/>
      <w:r w:rsidR="0097735F">
        <w:rPr>
          <w:szCs w:val="22"/>
        </w:rPr>
        <w:t xml:space="preserve"> (2017), who shows that young children living in the deworming treatment communities – who were not yet school aged, and thus did not directly receive </w:t>
      </w:r>
      <w:r w:rsidR="006B5F3E">
        <w:rPr>
          <w:szCs w:val="22"/>
        </w:rPr>
        <w:t xml:space="preserve">the drugs </w:t>
      </w:r>
      <w:r w:rsidR="0097735F">
        <w:rPr>
          <w:szCs w:val="22"/>
        </w:rPr>
        <w:t xml:space="preserve">themselves – also experienced sizeable gains in school learning outcomes up to ten years later. </w:t>
      </w:r>
      <w:r w:rsidR="00FA47E5">
        <w:rPr>
          <w:szCs w:val="22"/>
        </w:rPr>
        <w:t xml:space="preserve">These gains, which are equivalent to roughly 0.5 years of schooling on average, </w:t>
      </w:r>
      <w:r w:rsidR="0097735F">
        <w:rPr>
          <w:szCs w:val="22"/>
        </w:rPr>
        <w:t xml:space="preserve">are </w:t>
      </w:r>
      <w:r w:rsidR="00FA47E5">
        <w:rPr>
          <w:szCs w:val="22"/>
        </w:rPr>
        <w:t xml:space="preserve">twice as large </w:t>
      </w:r>
      <w:r w:rsidR="0097735F">
        <w:rPr>
          <w:szCs w:val="22"/>
        </w:rPr>
        <w:t xml:space="preserve">among </w:t>
      </w:r>
      <w:r w:rsidR="00FA47E5">
        <w:rPr>
          <w:szCs w:val="22"/>
        </w:rPr>
        <w:t xml:space="preserve">children </w:t>
      </w:r>
      <w:r w:rsidR="0097735F">
        <w:rPr>
          <w:szCs w:val="22"/>
        </w:rPr>
        <w:t>with older siblings, suggesting that reducing infection transmission within the home may be particularly important.</w:t>
      </w:r>
    </w:p>
    <w:p w14:paraId="236BB6A8" w14:textId="09023383" w:rsidR="0097735F" w:rsidRDefault="00013745" w:rsidP="00D76B1E">
      <w:pPr>
        <w:pStyle w:val="NoSpacing"/>
        <w:spacing w:after="240" w:line="600" w:lineRule="exact"/>
        <w:ind w:firstLine="720"/>
        <w:rPr>
          <w:szCs w:val="22"/>
        </w:rPr>
      </w:pPr>
      <w:r>
        <w:rPr>
          <w:szCs w:val="22"/>
        </w:rPr>
        <w:t xml:space="preserve">The current study builds on previous work </w:t>
      </w:r>
      <w:r w:rsidR="0085536A">
        <w:rPr>
          <w:szCs w:val="22"/>
        </w:rPr>
        <w:t>examining</w:t>
      </w:r>
      <w:r>
        <w:rPr>
          <w:szCs w:val="22"/>
        </w:rPr>
        <w:t xml:space="preserve"> PSDP deworming impacts in the 10 year follow-up survey</w:t>
      </w:r>
      <w:r w:rsidR="001058E7">
        <w:rPr>
          <w:szCs w:val="22"/>
        </w:rPr>
        <w:t>, called KLPS-2</w:t>
      </w:r>
      <w:r>
        <w:rPr>
          <w:szCs w:val="22"/>
        </w:rPr>
        <w:t xml:space="preserve"> (Baird et al 2016). </w:t>
      </w:r>
      <w:r w:rsidR="00FA47E5">
        <w:rPr>
          <w:szCs w:val="22"/>
        </w:rPr>
        <w:t>That study also documented several long-run benefits of deworming treatment, including improvements in self-reported health, educational attainment (by roughly 0.3 years on average), improved test scores and higher secondary schooling attainment (concentrated among females), higher incomes among wage earners</w:t>
      </w:r>
      <w:r w:rsidR="001058E7">
        <w:rPr>
          <w:szCs w:val="22"/>
        </w:rPr>
        <w:t xml:space="preserve"> (20% gains)</w:t>
      </w:r>
      <w:r w:rsidR="00FA47E5">
        <w:rPr>
          <w:szCs w:val="22"/>
        </w:rPr>
        <w:t xml:space="preserve">, </w:t>
      </w:r>
      <w:r w:rsidR="001058E7">
        <w:rPr>
          <w:szCs w:val="22"/>
        </w:rPr>
        <w:t xml:space="preserve">more meals eaten, </w:t>
      </w:r>
      <w:r w:rsidR="00FA47E5">
        <w:rPr>
          <w:szCs w:val="22"/>
        </w:rPr>
        <w:t xml:space="preserve">longer hours worked and more manufacturing employment (concentrated among males). </w:t>
      </w:r>
    </w:p>
    <w:p w14:paraId="2FE642DC" w14:textId="2D6113CD" w:rsidR="001058E7" w:rsidRDefault="001058E7" w:rsidP="001058E7">
      <w:pPr>
        <w:pStyle w:val="NoSpacing"/>
        <w:spacing w:after="240" w:line="600" w:lineRule="exact"/>
        <w:ind w:firstLine="720"/>
        <w:rPr>
          <w:szCs w:val="22"/>
        </w:rPr>
      </w:pPr>
      <w:r>
        <w:rPr>
          <w:szCs w:val="22"/>
        </w:rPr>
        <w:t xml:space="preserve">The current study makes several novel contributions beyond those already documented in Baird et al (2016). First, the analysis estimates impacts 15 years after the start of the deworming project, </w:t>
      </w:r>
      <w:r w:rsidR="00A669BD">
        <w:rPr>
          <w:szCs w:val="22"/>
        </w:rPr>
        <w:t xml:space="preserve">when most respondents were between 23 to 30 years old, </w:t>
      </w:r>
      <w:r>
        <w:rPr>
          <w:szCs w:val="22"/>
        </w:rPr>
        <w:t xml:space="preserve">allowing us to estimate the extent to which impacts persist for an additional five years. </w:t>
      </w:r>
      <w:r w:rsidR="0085536A">
        <w:rPr>
          <w:szCs w:val="22"/>
        </w:rPr>
        <w:t xml:space="preserve">The study sample in the 15 year follow-up round (KLPS-3) is now firmly out of adolescence and in their prime working years, which is informative. </w:t>
      </w:r>
      <w:r>
        <w:rPr>
          <w:szCs w:val="22"/>
        </w:rPr>
        <w:t xml:space="preserve">Second, the </w:t>
      </w:r>
      <w:r w:rsidR="00A669BD">
        <w:rPr>
          <w:szCs w:val="22"/>
        </w:rPr>
        <w:t xml:space="preserve">respondent </w:t>
      </w:r>
      <w:r>
        <w:rPr>
          <w:szCs w:val="22"/>
        </w:rPr>
        <w:t xml:space="preserve">tracking rates are nearly identical, and if anything slightly higher, in the </w:t>
      </w:r>
      <w:r w:rsidR="0085536A">
        <w:rPr>
          <w:szCs w:val="22"/>
        </w:rPr>
        <w:t>KLPS-3</w:t>
      </w:r>
      <w:r>
        <w:rPr>
          <w:szCs w:val="22"/>
        </w:rPr>
        <w:t xml:space="preserve"> </w:t>
      </w:r>
      <w:r w:rsidR="0085536A">
        <w:rPr>
          <w:szCs w:val="22"/>
        </w:rPr>
        <w:t xml:space="preserve">(15 year) round </w:t>
      </w:r>
      <w:r>
        <w:rPr>
          <w:szCs w:val="22"/>
        </w:rPr>
        <w:t xml:space="preserve">relative to KLPS-2; we attribute the continued </w:t>
      </w:r>
      <w:r>
        <w:rPr>
          <w:szCs w:val="22"/>
        </w:rPr>
        <w:lastRenderedPageBreak/>
        <w:t>success with respondent tracking, in part, due to the rapid diffusion of mobile phones in the region, which has greatly fa</w:t>
      </w:r>
      <w:r w:rsidR="00B824AC">
        <w:rPr>
          <w:szCs w:val="22"/>
        </w:rPr>
        <w:t>cilitated locating respondents.</w:t>
      </w:r>
    </w:p>
    <w:p w14:paraId="641950B9" w14:textId="03813EC8" w:rsidR="00CA5F65" w:rsidRDefault="00A669BD" w:rsidP="005B5F26">
      <w:pPr>
        <w:pStyle w:val="NoSpacing"/>
        <w:spacing w:after="240" w:line="600" w:lineRule="exact"/>
        <w:ind w:firstLine="720"/>
        <w:rPr>
          <w:szCs w:val="22"/>
        </w:rPr>
      </w:pPr>
      <w:r>
        <w:rPr>
          <w:szCs w:val="22"/>
        </w:rPr>
        <w:t>Most importantly</w:t>
      </w:r>
      <w:r w:rsidR="001058E7">
        <w:rPr>
          <w:szCs w:val="22"/>
        </w:rPr>
        <w:t>, the measurement of earnings</w:t>
      </w:r>
      <w:r>
        <w:rPr>
          <w:szCs w:val="22"/>
        </w:rPr>
        <w:t xml:space="preserve">, </w:t>
      </w:r>
      <w:r w:rsidR="001058E7">
        <w:rPr>
          <w:szCs w:val="22"/>
        </w:rPr>
        <w:t xml:space="preserve">economic productivity </w:t>
      </w:r>
      <w:r>
        <w:rPr>
          <w:szCs w:val="22"/>
        </w:rPr>
        <w:t xml:space="preserve">and living standards </w:t>
      </w:r>
      <w:r w:rsidR="001058E7">
        <w:rPr>
          <w:szCs w:val="22"/>
        </w:rPr>
        <w:t xml:space="preserve">was improved between survey rounds. </w:t>
      </w:r>
      <w:r>
        <w:rPr>
          <w:szCs w:val="22"/>
        </w:rPr>
        <w:t>T</w:t>
      </w:r>
      <w:r w:rsidR="001058E7">
        <w:rPr>
          <w:szCs w:val="22"/>
        </w:rPr>
        <w:t xml:space="preserve">he KLPS-3 round used in the current analysis contains better measures of agricultural productivity, including in subsistence agricultural production, providing a more comprehensive measure of total earnings. </w:t>
      </w:r>
      <w:r>
        <w:rPr>
          <w:szCs w:val="22"/>
        </w:rPr>
        <w:t>T</w:t>
      </w:r>
      <w:r w:rsidR="001058E7">
        <w:rPr>
          <w:szCs w:val="22"/>
        </w:rPr>
        <w:t xml:space="preserve">he current analysis </w:t>
      </w:r>
      <w:r>
        <w:rPr>
          <w:szCs w:val="22"/>
        </w:rPr>
        <w:t xml:space="preserve">also </w:t>
      </w:r>
      <w:r w:rsidR="001058E7">
        <w:rPr>
          <w:szCs w:val="22"/>
        </w:rPr>
        <w:t xml:space="preserve">incorporates (for a representative subsample) a detailed consumption expenditure module modeled on the World Bank Living Standards Measurement Survey, </w:t>
      </w:r>
      <w:r w:rsidR="00AC3A20">
        <w:rPr>
          <w:szCs w:val="22"/>
        </w:rPr>
        <w:t xml:space="preserve">which </w:t>
      </w:r>
      <w:r w:rsidR="001058E7">
        <w:rPr>
          <w:szCs w:val="22"/>
        </w:rPr>
        <w:t>is often considered the gold standard for measuring living standards in rural low income settings</w:t>
      </w:r>
      <w:r>
        <w:rPr>
          <w:szCs w:val="22"/>
        </w:rPr>
        <w:t xml:space="preserve"> (</w:t>
      </w:r>
      <w:proofErr w:type="spellStart"/>
      <w:r w:rsidR="0085536A">
        <w:rPr>
          <w:szCs w:val="22"/>
        </w:rPr>
        <w:t>Glewwe</w:t>
      </w:r>
      <w:proofErr w:type="spellEnd"/>
      <w:r w:rsidR="0085536A">
        <w:rPr>
          <w:szCs w:val="22"/>
        </w:rPr>
        <w:t xml:space="preserve"> and </w:t>
      </w:r>
      <w:proofErr w:type="spellStart"/>
      <w:r w:rsidR="0085536A">
        <w:rPr>
          <w:szCs w:val="22"/>
        </w:rPr>
        <w:t>Grosh</w:t>
      </w:r>
      <w:proofErr w:type="spellEnd"/>
      <w:r w:rsidR="0085536A">
        <w:rPr>
          <w:szCs w:val="22"/>
        </w:rPr>
        <w:t xml:space="preserve"> 2000</w:t>
      </w:r>
      <w:r>
        <w:rPr>
          <w:szCs w:val="22"/>
        </w:rPr>
        <w:t>)</w:t>
      </w:r>
      <w:r w:rsidR="001058E7">
        <w:rPr>
          <w:szCs w:val="22"/>
        </w:rPr>
        <w:t xml:space="preserve">. </w:t>
      </w:r>
      <w:r w:rsidR="006E5447">
        <w:rPr>
          <w:szCs w:val="22"/>
        </w:rPr>
        <w:t xml:space="preserve">It is reassuring that </w:t>
      </w:r>
      <w:r w:rsidR="001058E7">
        <w:rPr>
          <w:szCs w:val="22"/>
        </w:rPr>
        <w:t xml:space="preserve">estimated deworming treatment effects </w:t>
      </w:r>
      <w:r w:rsidR="006E5447">
        <w:rPr>
          <w:szCs w:val="22"/>
        </w:rPr>
        <w:t xml:space="preserve">on living standards are similar </w:t>
      </w:r>
      <w:r w:rsidR="001058E7">
        <w:rPr>
          <w:szCs w:val="22"/>
        </w:rPr>
        <w:t xml:space="preserve">when measured </w:t>
      </w:r>
      <w:r w:rsidR="006E5447">
        <w:rPr>
          <w:szCs w:val="22"/>
        </w:rPr>
        <w:t xml:space="preserve">either as </w:t>
      </w:r>
      <w:r w:rsidR="001058E7">
        <w:rPr>
          <w:szCs w:val="22"/>
        </w:rPr>
        <w:t xml:space="preserve">earnings or </w:t>
      </w:r>
      <w:r w:rsidR="006E5447">
        <w:rPr>
          <w:szCs w:val="22"/>
        </w:rPr>
        <w:t xml:space="preserve">in terms of </w:t>
      </w:r>
      <w:r w:rsidR="001058E7">
        <w:rPr>
          <w:szCs w:val="22"/>
        </w:rPr>
        <w:t>consumption expenditures.</w:t>
      </w:r>
    </w:p>
    <w:p w14:paraId="58836036" w14:textId="77777777" w:rsidR="005B5F26" w:rsidRPr="005B5F26" w:rsidRDefault="005B5F26" w:rsidP="005B5F26">
      <w:pPr>
        <w:pStyle w:val="NoSpacing"/>
        <w:spacing w:after="240" w:line="600" w:lineRule="exact"/>
        <w:ind w:firstLine="720"/>
        <w:rPr>
          <w:szCs w:val="22"/>
        </w:rPr>
      </w:pPr>
    </w:p>
    <w:p w14:paraId="4440FF48" w14:textId="55237C1B" w:rsidR="00A466CB" w:rsidRPr="00FC2CC6" w:rsidRDefault="00DD5C97" w:rsidP="00FC2CC6">
      <w:pPr>
        <w:pStyle w:val="NoSpacing"/>
        <w:spacing w:after="240" w:line="600" w:lineRule="exact"/>
        <w:rPr>
          <w:b/>
          <w:szCs w:val="28"/>
        </w:rPr>
      </w:pPr>
      <w:r w:rsidRPr="00FC2CC6">
        <w:rPr>
          <w:b/>
          <w:szCs w:val="28"/>
        </w:rPr>
        <w:t xml:space="preserve">2. </w:t>
      </w:r>
      <w:r w:rsidR="00E82C5D" w:rsidRPr="00FC2CC6">
        <w:rPr>
          <w:b/>
          <w:szCs w:val="28"/>
        </w:rPr>
        <w:t>Data</w:t>
      </w:r>
      <w:r w:rsidR="00432FA8">
        <w:rPr>
          <w:b/>
          <w:szCs w:val="28"/>
        </w:rPr>
        <w:t xml:space="preserve"> and Estimation Strategy</w:t>
      </w:r>
    </w:p>
    <w:p w14:paraId="4850EF17" w14:textId="7E40313E" w:rsidR="00A3285C" w:rsidRDefault="00A3285C" w:rsidP="00A3285C">
      <w:pPr>
        <w:pStyle w:val="NoSpacing"/>
        <w:spacing w:after="240" w:line="600" w:lineRule="exact"/>
        <w:rPr>
          <w:b/>
        </w:rPr>
      </w:pPr>
      <w:r>
        <w:rPr>
          <w:b/>
        </w:rPr>
        <w:t xml:space="preserve">2.1 </w:t>
      </w:r>
      <w:r w:rsidR="00962C80">
        <w:rPr>
          <w:b/>
        </w:rPr>
        <w:t xml:space="preserve">The Primary School Deworming Project and </w:t>
      </w:r>
      <w:r>
        <w:rPr>
          <w:b/>
        </w:rPr>
        <w:t>Kenya Life Panel Survey Dataset</w:t>
      </w:r>
    </w:p>
    <w:p w14:paraId="07BB2491" w14:textId="4E323222" w:rsidR="00962C80" w:rsidRDefault="00962C80" w:rsidP="00962C80">
      <w:pPr>
        <w:pStyle w:val="NoSpacing"/>
        <w:spacing w:after="240" w:line="600" w:lineRule="exact"/>
      </w:pPr>
      <w:r w:rsidRPr="004E215E">
        <w:t xml:space="preserve">The </w:t>
      </w:r>
      <w:r w:rsidR="005B5F26">
        <w:t xml:space="preserve">original Primary School Deworming Project (PSDP) </w:t>
      </w:r>
      <w:r>
        <w:t>study area is</w:t>
      </w:r>
      <w:r w:rsidRPr="004E215E">
        <w:t xml:space="preserve"> </w:t>
      </w:r>
      <w:proofErr w:type="spellStart"/>
      <w:r w:rsidRPr="004E215E">
        <w:t>Busia</w:t>
      </w:r>
      <w:proofErr w:type="spellEnd"/>
      <w:r w:rsidRPr="004E215E">
        <w:t xml:space="preserve"> </w:t>
      </w:r>
      <w:r>
        <w:t>D</w:t>
      </w:r>
      <w:r w:rsidRPr="004E215E">
        <w:t xml:space="preserve">istrict, a </w:t>
      </w:r>
      <w:r w:rsidR="005B5F26">
        <w:t xml:space="preserve">largely agrarian </w:t>
      </w:r>
      <w:r w:rsidRPr="004E215E">
        <w:t xml:space="preserve">region </w:t>
      </w:r>
      <w:r w:rsidR="005B5F26">
        <w:t xml:space="preserve">located </w:t>
      </w:r>
      <w:r w:rsidRPr="004E215E">
        <w:t xml:space="preserve">in western Kenya that is </w:t>
      </w:r>
      <w:r w:rsidR="005B5F26">
        <w:t>fairly typical for Kenya in terms of living standards, if not slightly poorer than average. B</w:t>
      </w:r>
      <w:r>
        <w:t xml:space="preserve">oys and girls both typically attend </w:t>
      </w:r>
      <w:r w:rsidR="005B5F26">
        <w:t xml:space="preserve">local </w:t>
      </w:r>
      <w:r>
        <w:t>primary schoo</w:t>
      </w:r>
      <w:r w:rsidR="005B5F26">
        <w:t>ls</w:t>
      </w:r>
      <w:r>
        <w:t>, with dropout rates rising in grades 7 and 8 (the final two years of primary school).  Primary school completion</w:t>
      </w:r>
      <w:r w:rsidR="005B5F26">
        <w:t xml:space="preserve"> typically occurs </w:t>
      </w:r>
      <w:r>
        <w:t xml:space="preserve">when children </w:t>
      </w:r>
      <w:r w:rsidR="005B5F26">
        <w:t xml:space="preserve">are </w:t>
      </w:r>
      <w:r>
        <w:t xml:space="preserve">between 15 to 18 years of age, </w:t>
      </w:r>
      <w:r w:rsidR="005B5F26">
        <w:lastRenderedPageBreak/>
        <w:t>after which s</w:t>
      </w:r>
      <w:r w:rsidR="001A43D7">
        <w:t xml:space="preserve">lightly less than half of the individuals in our sample attended some secondary school. </w:t>
      </w:r>
      <w:r>
        <w:t>O</w:t>
      </w:r>
      <w:r w:rsidRPr="004E215E">
        <w:t xml:space="preserve">ccupational and family roles differ </w:t>
      </w:r>
      <w:r>
        <w:t xml:space="preserve">markedly </w:t>
      </w:r>
      <w:r w:rsidRPr="004E215E">
        <w:t>by gender</w:t>
      </w:r>
      <w:r>
        <w:t xml:space="preserve">, with certain occupations, such as fishing, driving bicycle taxis, and manufacturing, overwhelmingly male, and others, such as small-scale market trading and domestic service, largely female. </w:t>
      </w:r>
      <w:r w:rsidR="005B5F26">
        <w:t xml:space="preserve">This segmentation makes it plausible that the impacts of human capital interventions could differ by gender, as hypothesized in Pitt, </w:t>
      </w:r>
      <w:proofErr w:type="spellStart"/>
      <w:r w:rsidR="005B5F26">
        <w:t>Rosenzweig</w:t>
      </w:r>
      <w:proofErr w:type="spellEnd"/>
      <w:r w:rsidR="005B5F26">
        <w:t xml:space="preserve"> and Hassan (2012).</w:t>
      </w:r>
    </w:p>
    <w:p w14:paraId="2BF891FF" w14:textId="38A04FC7" w:rsidR="00962C80" w:rsidRPr="004E215E" w:rsidRDefault="00962C80" w:rsidP="00CB7411">
      <w:pPr>
        <w:autoSpaceDE w:val="0"/>
        <w:autoSpaceDN w:val="0"/>
        <w:adjustRightInd w:val="0"/>
        <w:spacing w:after="240" w:line="600" w:lineRule="exact"/>
        <w:ind w:firstLine="720"/>
      </w:pPr>
      <w:r>
        <w:t>I</w:t>
      </w:r>
      <w:r w:rsidRPr="004E215E">
        <w:t>n 1998 the non-governmental organization (NGO) International Child Support (ICS) launched the P</w:t>
      </w:r>
      <w:r>
        <w:t xml:space="preserve">rimary School Deworming Program (PSDP) in two divisions of the district, in </w:t>
      </w:r>
      <w:r w:rsidRPr="004E215E">
        <w:t>75 primary schools</w:t>
      </w:r>
      <w:r>
        <w:t xml:space="preserve"> with a total of</w:t>
      </w:r>
      <w:r w:rsidRPr="004E215E">
        <w:t xml:space="preserve"> 32,565 pupils.</w:t>
      </w:r>
      <w:r>
        <w:t xml:space="preserve"> </w:t>
      </w:r>
      <w:r w:rsidRPr="004E215E">
        <w:t xml:space="preserve">Parasitological surveys indicated that baseline helminth infection rates </w:t>
      </w:r>
      <w:r>
        <w:t xml:space="preserve">were </w:t>
      </w:r>
      <w:r w:rsidRPr="004E215E">
        <w:t>over 90%</w:t>
      </w:r>
      <w:r>
        <w:t xml:space="preserve"> in these areas</w:t>
      </w:r>
      <w:r w:rsidRPr="004E215E">
        <w:t xml:space="preserve">. Using modified WHO infection thresholds, over one third of the sample had </w:t>
      </w:r>
      <w:r>
        <w:t>moderate-</w:t>
      </w:r>
      <w:r w:rsidRPr="004E215E">
        <w:t>heavy infections with at least one helminth</w:t>
      </w:r>
      <w:r>
        <w:t xml:space="preserve"> </w:t>
      </w:r>
      <w:r>
        <w:fldChar w:fldCharType="begin"/>
      </w:r>
      <w:r>
        <w:instrText xml:space="preserve"> ADDIN EN.CITE &lt;EndNote&gt;&lt;Cite&gt;&lt;Author&gt;Miguel&lt;/Author&gt;&lt;Year&gt;2014&lt;/Year&gt;&lt;RecNum&gt;45&lt;/RecNum&gt;&lt;DisplayText&gt;(Miguel et al. 2014)&lt;/DisplayText&gt;&lt;record&gt;&lt;rec-number&gt;45&lt;/rec-number&gt;&lt;foreign-keys&gt;&lt;key app="EN" db-id="f2200x509a5tazeww0dpewfvxdwwe2zt9vxt" timestamp="1423860436"&gt;45&lt;/key&gt;&lt;/foreign-keys&gt;&lt;ref-type name="Journal Article"&gt;17&lt;/ref-type&gt;&lt;contributors&gt;&lt;authors&gt;&lt;author&gt;Edward Miguel &lt;/author&gt;&lt;author&gt;Kremer, Michael&lt;/author&gt;&lt;author&gt;Hamory Hicks, Joan&lt;/author&gt;&lt;author&gt;Nekesa, Carolyne&lt;/author&gt;&lt;/authors&gt;&lt;/contributors&gt;&lt;titles&gt;&lt;title&gt;Worms: Identifying Impacts on Education and Health in the Presence of Treatment Externalities, Data User&amp;apos;s Guide&lt;/title&gt;&lt;secondary-title&gt;Center for Effective Global Action Working Paper Series #40&lt;/secondary-title&gt;&lt;/titles&gt;&lt;periodical&gt;&lt;full-title&gt;Center for Effective Global Action Working Paper Series #40&lt;/full-title&gt;&lt;/periodical&gt;&lt;dates&gt;&lt;year&gt;2014&lt;/year&gt;&lt;/dates&gt;&lt;pub-location&gt;Berkeley, CA&lt;/pub-location&gt;&lt;urls&gt;&lt;/urls&gt;&lt;/record&gt;&lt;/Cite&gt;&lt;/EndNote&gt;</w:instrText>
      </w:r>
      <w:r>
        <w:fldChar w:fldCharType="separate"/>
      </w:r>
      <w:r>
        <w:rPr>
          <w:noProof/>
        </w:rPr>
        <w:t>(Miguel et al. 2014)</w:t>
      </w:r>
      <w:r>
        <w:fldChar w:fldCharType="end"/>
      </w:r>
      <w:r w:rsidRPr="004E215E">
        <w:t xml:space="preserve">, a high </w:t>
      </w:r>
      <w:r w:rsidR="005B5F26">
        <w:t xml:space="preserve">rate but </w:t>
      </w:r>
      <w:r w:rsidRPr="004E215E">
        <w:t xml:space="preserve">not </w:t>
      </w:r>
      <w:r w:rsidR="005B5F26">
        <w:t xml:space="preserve">atypical </w:t>
      </w:r>
      <w:r w:rsidRPr="004E215E">
        <w:t>in African settings</w:t>
      </w:r>
      <w:r>
        <w:t xml:space="preserve"> </w:t>
      </w:r>
      <w:r>
        <w:fldChar w:fldCharType="begin"/>
      </w:r>
      <w:r>
        <w:instrText xml:space="preserve"> ADDIN EN.CITE &lt;EndNote&gt;&lt;Cite&gt;&lt;Author&gt;Brooker&lt;/Author&gt;&lt;Year&gt;2000b&lt;/Year&gt;&lt;RecNum&gt;12&lt;/RecNum&gt;&lt;DisplayText&gt;(Brooker et al. 2000; Pullan et al. 2011)&lt;/DisplayText&gt;&lt;record&gt;&lt;rec-number&gt;12&lt;/rec-number&gt;&lt;foreign-keys&gt;&lt;key app="EN" db-id="f2200x509a5tazeww0dpewfvxdwwe2zt9vxt" timestamp="0"&gt;12&lt;/key&gt;&lt;/foreign-keys&gt;&lt;ref-type name="Journal Article"&gt;17&lt;/ref-type&gt;&lt;contributors&gt;&lt;authors&gt;&lt;author&gt;Simon Brooker&lt;/author&gt;&lt;author&gt;Rowlands, M.&lt;/author&gt;&lt;author&gt;Haller, L.&lt;/author&gt;&lt;author&gt;Savioli, L.&lt;/author&gt;&lt;author&gt;Bundy, D.A.&lt;/author&gt;&lt;/authors&gt;&lt;/contributors&gt;&lt;titles&gt;&lt;title&gt;Towards an Atlas of Helminth Infection in Sub-Saharan Africa: The Use of Geographical Information Systems (GIS)&lt;/title&gt;&lt;secondary-title&gt;Parasitology Today&lt;/secondary-title&gt;&lt;/titles&gt;&lt;pages&gt;303-307&lt;/pages&gt;&lt;volume&gt;16&lt;/volume&gt;&lt;number&gt;7&lt;/number&gt;&lt;section&gt;303&lt;/section&gt;&lt;dates&gt;&lt;year&gt;2000&lt;/year&gt;&lt;/dates&gt;&lt;urls&gt;&lt;/urls&gt;&lt;/record&gt;&lt;/Cite&gt;&lt;Cite&gt;&lt;Author&gt;Pullan&lt;/Author&gt;&lt;Year&gt;2011&lt;/Year&gt;&lt;RecNum&gt;28&lt;/RecNum&gt;&lt;record&gt;&lt;rec-number&gt;28&lt;/rec-number&gt;&lt;foreign-keys&gt;&lt;key app="EN" db-id="f2200x509a5tazeww0dpewfvxdwwe2zt9vxt" timestamp="0"&gt;28&lt;/key&gt;&lt;/foreign-keys&gt;&lt;ref-type name="Journal Article"&gt;17&lt;/ref-type&gt;&lt;contributors&gt;&lt;authors&gt;&lt;author&gt;R.L. Pullan&lt;/author&gt;&lt;author&gt;Gething, P.W.&lt;/author&gt;&lt;author&gt;Smith, J.L.&lt;/author&gt;&lt;author&gt;Mwandawiro, C.S.&lt;/author&gt;&lt;author&gt;Sturrock H.J.&lt;/author&gt;&lt;author&gt;Gitonga C.W.&lt;/author&gt;&lt;author&gt;Hay S.I.&lt;/author&gt;&lt;author&gt;Brooker S.&lt;/author&gt;&lt;/authors&gt;&lt;/contributors&gt;&lt;titles&gt;&lt;title&gt;Spatial modelling of soil-transmitted helminth infections in Kenya: a disease control planning tool&lt;/title&gt;&lt;secondary-title&gt;PLoS Neglected Tropical Diseases&lt;/secondary-title&gt;&lt;/titles&gt;&lt;pages&gt;e958&lt;/pages&gt;&lt;volume&gt;5&lt;/volume&gt;&lt;number&gt;2&lt;/number&gt;&lt;dates&gt;&lt;year&gt;2011&lt;/year&gt;&lt;/dates&gt;&lt;urls&gt;&lt;/urls&gt;&lt;/record&gt;&lt;/Cite&gt;&lt;/EndNote&gt;</w:instrText>
      </w:r>
      <w:r>
        <w:fldChar w:fldCharType="separate"/>
      </w:r>
      <w:r>
        <w:rPr>
          <w:noProof/>
        </w:rPr>
        <w:t>(Brooker et al. 2000; Pullan et al. 2011</w:t>
      </w:r>
      <w:r w:rsidR="005B5F26">
        <w:rPr>
          <w:noProof/>
        </w:rPr>
        <w:t>, Pullan et al 2014</w:t>
      </w:r>
      <w:r>
        <w:rPr>
          <w:noProof/>
        </w:rPr>
        <w:t>)</w:t>
      </w:r>
      <w:r>
        <w:fldChar w:fldCharType="end"/>
      </w:r>
      <w:r w:rsidR="005B5F26">
        <w:t>.</w:t>
      </w:r>
    </w:p>
    <w:p w14:paraId="7A059D67" w14:textId="38941F7B" w:rsidR="00962C80" w:rsidRDefault="00962C80" w:rsidP="001A43D7">
      <w:pPr>
        <w:pStyle w:val="NoSpacing"/>
        <w:spacing w:after="240" w:line="600" w:lineRule="exact"/>
        <w:ind w:firstLine="720"/>
      </w:pPr>
      <w:r w:rsidRPr="004E215E">
        <w:t>The schools were experimentally divided into three groups (Groups 1, 2, and 3) of 25 schools each: the schools were first stratified by administrative sub-unit (zone), zones were listed alphabetically</w:t>
      </w:r>
      <w:r>
        <w:t xml:space="preserve"> within each geographic division</w:t>
      </w:r>
      <w:r w:rsidRPr="004E215E">
        <w:t xml:space="preserve">, and schools were then listed in order of pupil enrollment within each zone, </w:t>
      </w:r>
      <w:r>
        <w:t>with</w:t>
      </w:r>
      <w:r w:rsidRPr="004E215E">
        <w:t xml:space="preserve"> every third school assigned to a given program group</w:t>
      </w:r>
      <w:r>
        <w:t xml:space="preserve">. </w:t>
      </w:r>
      <w:r w:rsidR="008E6DEF">
        <w:t xml:space="preserve">Appendix </w:t>
      </w:r>
      <w:r>
        <w:t xml:space="preserve">Figure </w:t>
      </w:r>
      <w:r w:rsidR="008E6DEF">
        <w:t xml:space="preserve">A.1 </w:t>
      </w:r>
      <w:r>
        <w:t>presents the project research design and describes the timing of data collection</w:t>
      </w:r>
      <w:r w:rsidRPr="004E215E">
        <w:t xml:space="preserve">. </w:t>
      </w:r>
      <w:r w:rsidR="001A43D7">
        <w:t>T</w:t>
      </w:r>
      <w:r w:rsidRPr="004E215E">
        <w:t xml:space="preserve">he three </w:t>
      </w:r>
      <w:r w:rsidR="001A43D7">
        <w:t xml:space="preserve">treatment </w:t>
      </w:r>
      <w:r w:rsidRPr="004E215E">
        <w:t xml:space="preserve">groups </w:t>
      </w:r>
      <w:r>
        <w:t xml:space="preserve">were </w:t>
      </w:r>
      <w:r w:rsidRPr="004E215E">
        <w:t>well-balanced along baseline characteristics</w:t>
      </w:r>
      <w:r w:rsidR="005B5F26">
        <w:t>, shown in Appendix T</w:t>
      </w:r>
      <w:r w:rsidR="005B5F26" w:rsidRPr="004E215E">
        <w:t xml:space="preserve">able </w:t>
      </w:r>
      <w:r w:rsidR="005B5F26">
        <w:t>A.1</w:t>
      </w:r>
      <w:r w:rsidRPr="004E215E">
        <w:t xml:space="preserve"> (</w:t>
      </w:r>
      <w:r w:rsidR="005B5F26">
        <w:t>also refer to Miguel and Kremer 2004</w:t>
      </w:r>
      <w:r w:rsidRPr="004E215E">
        <w:t>).</w:t>
      </w:r>
    </w:p>
    <w:p w14:paraId="054EBF33" w14:textId="6C87A04B" w:rsidR="001A43D7" w:rsidRDefault="00962C80" w:rsidP="00962C80">
      <w:pPr>
        <w:pStyle w:val="NoSpacing"/>
        <w:spacing w:after="240" w:line="600" w:lineRule="exact"/>
        <w:ind w:firstLine="720"/>
      </w:pPr>
      <w:r w:rsidRPr="004E215E">
        <w:lastRenderedPageBreak/>
        <w:t xml:space="preserve">Due to the NGO’s administrative and financial constraints, the schools were phased into deworming </w:t>
      </w:r>
      <w:r>
        <w:t xml:space="preserve">treatment during </w:t>
      </w:r>
      <w:r w:rsidRPr="004E215E">
        <w:t>1998-2001</w:t>
      </w:r>
      <w:r>
        <w:t xml:space="preserve">: </w:t>
      </w:r>
      <w:r w:rsidRPr="004E215E">
        <w:t xml:space="preserve">Group 1 schools began receiving free deworming </w:t>
      </w:r>
      <w:r>
        <w:t xml:space="preserve">and health education </w:t>
      </w:r>
      <w:r w:rsidRPr="004E215E">
        <w:t xml:space="preserve">in 1998, Group 2 schools in 1999, </w:t>
      </w:r>
      <w:r>
        <w:t xml:space="preserve">and </w:t>
      </w:r>
      <w:r w:rsidRPr="004E215E">
        <w:t xml:space="preserve">Group 3 in 2001. Children in Group 1 and 2 schools </w:t>
      </w:r>
      <w:r>
        <w:t xml:space="preserve">were </w:t>
      </w:r>
      <w:r w:rsidRPr="004E215E">
        <w:t>thus assigned 2.41 more years of deworming than Group 3 children on average</w:t>
      </w:r>
      <w:r w:rsidR="005774EA">
        <w:t>. T</w:t>
      </w:r>
      <w:r w:rsidRPr="004E215E">
        <w:t xml:space="preserve">hese early beneficiaries are the treatment group </w:t>
      </w:r>
      <w:r>
        <w:t>in the analysis</w:t>
      </w:r>
      <w:r w:rsidR="005774EA">
        <w:t xml:space="preserve"> here (following Baird et al 2016)</w:t>
      </w:r>
      <w:r w:rsidRPr="004E215E">
        <w:t>.</w:t>
      </w:r>
      <w:r>
        <w:t xml:space="preserve"> </w:t>
      </w:r>
      <w:r w:rsidR="005774EA">
        <w:t>Drug t</w:t>
      </w:r>
      <w:r>
        <w:t xml:space="preserve">ake-up rates were approximately 75% in the treatment group and </w:t>
      </w:r>
      <w:r w:rsidR="005774EA">
        <w:t xml:space="preserve">under </w:t>
      </w:r>
      <w:r>
        <w:t xml:space="preserve">5% in the control group </w:t>
      </w:r>
      <w:r>
        <w:fldChar w:fldCharType="begin"/>
      </w:r>
      <w:r>
        <w:instrText xml:space="preserve"> ADDIN EN.CITE &lt;EndNote&gt;&lt;Cite&gt;&lt;Author&gt;Miguel&lt;/Author&gt;&lt;Year&gt;2004&lt;/Year&gt;&lt;RecNum&gt;25&lt;/RecNum&gt;&lt;DisplayText&gt;(Miguel and Kremer 2004)&lt;/DisplayText&gt;&lt;record&gt;&lt;rec-number&gt;25&lt;/rec-number&gt;&lt;foreign-keys&gt;&lt;key app="EN" db-id="f2200x509a5tazeww0dpewfvxdwwe2zt9vxt" timestamp="0"&gt;25&lt;/key&gt;&lt;/foreign-keys&gt;&lt;ref-type name="Journal Article"&gt;17&lt;/ref-type&gt;&lt;contributors&gt;&lt;authors&gt;&lt;author&gt;Edward Miguel&lt;/author&gt;&lt;author&gt;Kremer, M.&lt;/author&gt;&lt;/authors&gt;&lt;/contributors&gt;&lt;titles&gt;&lt;title&gt;Worms: Identifying Impacts on Education and Health in the Presence of Treatment Externalities&lt;/title&gt;&lt;secondary-title&gt;Econometrica&lt;/secondary-title&gt;&lt;/titles&gt;&lt;periodical&gt;&lt;full-title&gt;Econometrica&lt;/full-title&gt;&lt;/periodical&gt;&lt;pages&gt;159-217&lt;/pages&gt;&lt;volume&gt;72&lt;/volume&gt;&lt;number&gt;1&lt;/number&gt;&lt;dates&gt;&lt;year&gt;2004&lt;/year&gt;&lt;/dates&gt;&lt;urls&gt;&lt;/urls&gt;&lt;/record&gt;&lt;/Cite&gt;&lt;/EndNote&gt;</w:instrText>
      </w:r>
      <w:r>
        <w:fldChar w:fldCharType="separate"/>
      </w:r>
      <w:r>
        <w:rPr>
          <w:noProof/>
        </w:rPr>
        <w:t>(Miguel and Kremer 2004)</w:t>
      </w:r>
      <w:r>
        <w:fldChar w:fldCharType="end"/>
      </w:r>
      <w:r>
        <w:t xml:space="preserve">. </w:t>
      </w:r>
    </w:p>
    <w:p w14:paraId="44747A58" w14:textId="1F17B4D6" w:rsidR="00962C80" w:rsidRPr="004E215E" w:rsidRDefault="00962C80" w:rsidP="00962C80">
      <w:pPr>
        <w:pStyle w:val="NoSpacing"/>
        <w:spacing w:after="240" w:line="600" w:lineRule="exact"/>
        <w:ind w:firstLine="720"/>
      </w:pPr>
      <w:r>
        <w:t>In 2001, the NGO required cost-sharing contributions from parents in a randomly selected half of the Group 1 and Group 2 schools, substantially reducing take-up</w:t>
      </w:r>
      <w:r w:rsidR="001A43D7">
        <w:t xml:space="preserve">, from approximately 75% to 18% (Appendix Figure A.1). </w:t>
      </w:r>
      <w:r w:rsidR="002543E0">
        <w:t xml:space="preserve">This implies that deworming drug take-up rates are </w:t>
      </w:r>
      <w:r w:rsidR="005774EA">
        <w:t xml:space="preserve">quite </w:t>
      </w:r>
      <w:r w:rsidR="002543E0">
        <w:t xml:space="preserve">similar in the cost-sharing schools and the control schools. </w:t>
      </w:r>
      <w:r w:rsidR="001A43D7">
        <w:t>I</w:t>
      </w:r>
      <w:r>
        <w:t xml:space="preserve">n 2002-2003 </w:t>
      </w:r>
      <w:r w:rsidR="001A43D7">
        <w:t xml:space="preserve">the NGO </w:t>
      </w:r>
      <w:r w:rsidR="005774EA">
        <w:t xml:space="preserve">again </w:t>
      </w:r>
      <w:r>
        <w:t xml:space="preserve">provided free deworming in all schools </w:t>
      </w:r>
      <w:r>
        <w:fldChar w:fldCharType="begin"/>
      </w:r>
      <w:r>
        <w:instrText xml:space="preserve"> ADDIN EN.CITE &lt;EndNote&gt;&lt;Cite&gt;&lt;Author&gt;Kremer&lt;/Author&gt;&lt;Year&gt;2007&lt;/Year&gt;&lt;RecNum&gt;46&lt;/RecNum&gt;&lt;DisplayText&gt;(Kremer and Miguel 2007)&lt;/DisplayText&gt;&lt;record&gt;&lt;rec-number&gt;46&lt;/rec-number&gt;&lt;foreign-keys&gt;&lt;key app="EN" db-id="f2200x509a5tazeww0dpewfvxdwwe2zt9vxt" timestamp="1423860971"&gt;46&lt;/key&gt;&lt;/foreign-keys&gt;&lt;ref-type name="Journal Article"&gt;17&lt;/ref-type&gt;&lt;contributors&gt;&lt;authors&gt;&lt;author&gt;Michael Kremer&lt;/author&gt;&lt;author&gt;Miguel, Edward&lt;/author&gt;&lt;/authors&gt;&lt;/contributors&gt;&lt;titles&gt;&lt;title&gt;The Illusion of Sustainability&lt;/title&gt;&lt;secondary-title&gt;Quarterly Journal of Economics&lt;/secondary-title&gt;&lt;/titles&gt;&lt;periodical&gt;&lt;full-title&gt;Quarterly Journal of Economics&lt;/full-title&gt;&lt;/periodical&gt;&lt;pages&gt;1007-1065&lt;/pages&gt;&lt;volume&gt;112&lt;/volume&gt;&lt;number&gt;3&lt;/number&gt;&lt;dates&gt;&lt;year&gt;2007&lt;/year&gt;&lt;/dates&gt;&lt;urls&gt;&lt;/urls&gt;&lt;/record&gt;&lt;/Cite&gt;&lt;/EndNote&gt;</w:instrText>
      </w:r>
      <w:r>
        <w:fldChar w:fldCharType="separate"/>
      </w:r>
      <w:r>
        <w:rPr>
          <w:noProof/>
        </w:rPr>
        <w:t>(Kremer and Miguel 2007)</w:t>
      </w:r>
      <w:r>
        <w:fldChar w:fldCharType="end"/>
      </w:r>
      <w:r>
        <w:t xml:space="preserve">. </w:t>
      </w:r>
    </w:p>
    <w:p w14:paraId="2666FAF6" w14:textId="5959EE64" w:rsidR="002543E0" w:rsidRDefault="00962C80" w:rsidP="00CB7411">
      <w:pPr>
        <w:pStyle w:val="NoSpacing"/>
        <w:spacing w:after="240" w:line="600" w:lineRule="exact"/>
        <w:ind w:firstLine="720"/>
      </w:pPr>
      <w:r w:rsidRPr="004E215E">
        <w:t xml:space="preserve">The Kenya Life Panel Survey </w:t>
      </w:r>
      <w:r w:rsidR="002543E0">
        <w:t>Round 1</w:t>
      </w:r>
      <w:r>
        <w:t xml:space="preserve"> </w:t>
      </w:r>
      <w:r w:rsidR="002543E0">
        <w:t>(KLPS-1) was collected during 2003-2005</w:t>
      </w:r>
      <w:r w:rsidRPr="004E215E">
        <w:t xml:space="preserve">, and tracked a representative sample of approximately 7,500 respondents who were enrolled in grades 2-7 in the PSDP schools at baseline. </w:t>
      </w:r>
      <w:r w:rsidR="002543E0">
        <w:t xml:space="preserve">At that time, sample respondents were still mainly teenagers, and few were active labor market participants. Subsequent survey rounds were collected in 2007-2009 (KLPS-2), and in 2011-2014 in Round 3 (KLPS-3), and these are the focus of this study. </w:t>
      </w:r>
      <w:r w:rsidRPr="004E215E">
        <w:t>Survey enumerators traveled throughout Kenya and Uganda to interview those who had moved out of local areas</w:t>
      </w:r>
      <w:r w:rsidR="005774EA">
        <w:t>, and the growing ubiquity of mobile phones in East Africa during the study period greatly facilitated participant tracking</w:t>
      </w:r>
      <w:r w:rsidRPr="004E215E">
        <w:t xml:space="preserve">. </w:t>
      </w:r>
    </w:p>
    <w:p w14:paraId="57831DE8" w14:textId="77777777" w:rsidR="005774EA" w:rsidRDefault="00962C80" w:rsidP="009A1161">
      <w:pPr>
        <w:pStyle w:val="NoSpacing"/>
        <w:spacing w:after="240" w:line="600" w:lineRule="exact"/>
        <w:ind w:firstLine="720"/>
      </w:pPr>
      <w:r w:rsidRPr="004E215E">
        <w:lastRenderedPageBreak/>
        <w:t xml:space="preserve">The effective survey tracking rate </w:t>
      </w:r>
      <w:r w:rsidR="005774EA">
        <w:t xml:space="preserve">has remained high in all KLPS survey rounds. </w:t>
      </w:r>
      <w:r>
        <w:t>The effective tracking rate</w:t>
      </w:r>
      <w:r w:rsidRPr="00756886">
        <w:t xml:space="preserve"> </w:t>
      </w:r>
      <w:r>
        <w:t xml:space="preserve">is </w:t>
      </w:r>
      <w:r w:rsidRPr="00756886">
        <w:t xml:space="preserve">calculated as a fraction of those found, or not found but searched for during intensive tracking, with </w:t>
      </w:r>
      <w:r w:rsidRPr="00D763F6">
        <w:t xml:space="preserve">weights adjusted appropriately, in a manner analogous to the approach in the U.S. </w:t>
      </w:r>
      <w:r w:rsidRPr="00B03538">
        <w:t>Moving To Opportunity study</w:t>
      </w:r>
      <w:r w:rsidRPr="003114B9">
        <w:t xml:space="preserve"> </w:t>
      </w:r>
      <w:r w:rsidRPr="003114B9">
        <w:fldChar w:fldCharType="begin"/>
      </w:r>
      <w:r>
        <w:instrText xml:space="preserve"> ADDIN EN.CITE &lt;EndNote&gt;&lt;Cite&gt;&lt;Author&gt;Kling&lt;/Author&gt;&lt;Year&gt;2007&lt;/Year&gt;&lt;RecNum&gt;50&lt;/RecNum&gt;&lt;DisplayText&gt;(Orr et al. 2003; Kling, Liebman and Katz 2007)&lt;/DisplayText&gt;&lt;record&gt;&lt;rec-number&gt;50&lt;/rec-number&gt;&lt;foreign-keys&gt;&lt;key app="EN" db-id="f2200x509a5tazeww0dpewfvxdwwe2zt9vxt" timestamp="1453662338"&gt;50&lt;/key&gt;&lt;/foreign-keys&gt;&lt;ref-type name="Journal Article"&gt;17&lt;/ref-type&gt;&lt;contributors&gt;&lt;authors&gt;&lt;author&gt;Kling, Jeffrey R.&lt;/author&gt;&lt;author&gt;Jeffrey B. Liebman&lt;/author&gt;&lt;author&gt;Lawrence F. Katz&lt;/author&gt;&lt;/authors&gt;&lt;/contributors&gt;&lt;titles&gt;&lt;title&gt;Experimental Analysis of Neighborhood Effects&lt;/title&gt;&lt;secondary-title&gt;Econometrica&lt;/secondary-title&gt;&lt;/titles&gt;&lt;periodical&gt;&lt;full-title&gt;Econometrica&lt;/full-title&gt;&lt;/periodical&gt;&lt;pages&gt;83-119&lt;/pages&gt;&lt;volume&gt;75&lt;/volume&gt;&lt;number&gt;1&lt;/number&gt;&lt;dates&gt;&lt;year&gt;2007&lt;/year&gt;&lt;/dates&gt;&lt;urls&gt;&lt;/urls&gt;&lt;/record&gt;&lt;/Cite&gt;&lt;Cite&gt;&lt;Author&gt;Orr&lt;/Author&gt;&lt;Year&gt;2003&lt;/Year&gt;&lt;RecNum&gt;51&lt;/RecNum&gt;&lt;record&gt;&lt;rec-number&gt;51&lt;/rec-number&gt;&lt;foreign-keys&gt;&lt;key app="EN" db-id="f2200x509a5tazeww0dpewfvxdwwe2zt9vxt" timestamp="1453662338"&gt;51&lt;/key&gt;&lt;/foreign-keys&gt;&lt;ref-type name="Report"&gt;27&lt;/ref-type&gt;&lt;contributors&gt;&lt;authors&gt;&lt;author&gt;Orr, L.&lt;/author&gt;&lt;author&gt;Feins, J.&lt;/author&gt;&lt;author&gt;Jacob, R.&lt;/author&gt;&lt;author&gt;Beecroft, E.&lt;/author&gt;&lt;author&gt;Sanbonmatsu, L.&lt;/author&gt;&lt;author&gt;Katz, LF.&lt;/author&gt;&lt;author&gt;Liebman, JB.&lt;/author&gt;&lt;author&gt;Kling, JR. &lt;/author&gt;&lt;/authors&gt;&lt;/contributors&gt;&lt;titles&gt;&lt;title&gt;Moving to Opportunity: Interim Impacts Evaluation&lt;/title&gt;&lt;/titles&gt;&lt;dates&gt;&lt;year&gt;2003&lt;/year&gt;&lt;/dates&gt;&lt;pub-location&gt;Washington, D.C.&lt;/pub-location&gt;&lt;publisher&gt;U.S. Dept. of HUD&lt;/publisher&gt;&lt;urls&gt;&lt;/urls&gt;&lt;/record&gt;&lt;/Cite&gt;&lt;/EndNote&gt;</w:instrText>
      </w:r>
      <w:r w:rsidRPr="003114B9">
        <w:fldChar w:fldCharType="separate"/>
      </w:r>
      <w:r>
        <w:rPr>
          <w:noProof/>
        </w:rPr>
        <w:t>(Orr et al. 2003; Kling, Liebman and Katz 2007)</w:t>
      </w:r>
      <w:r w:rsidRPr="003114B9">
        <w:fldChar w:fldCharType="end"/>
      </w:r>
      <w:r w:rsidR="009A1161">
        <w:t xml:space="preserve">. </w:t>
      </w:r>
      <w:r w:rsidR="005774EA">
        <w:t>I</w:t>
      </w:r>
      <w:r w:rsidR="005774EA" w:rsidRPr="004E215E">
        <w:t xml:space="preserve">n KLPS-2 </w:t>
      </w:r>
      <w:r w:rsidR="005774EA">
        <w:t xml:space="preserve">the rate </w:t>
      </w:r>
      <w:r w:rsidR="005774EA" w:rsidRPr="004E215E">
        <w:t>is 82.</w:t>
      </w:r>
      <w:r w:rsidR="005774EA">
        <w:t>5</w:t>
      </w:r>
      <w:r w:rsidR="005774EA" w:rsidRPr="004E215E">
        <w:t>%</w:t>
      </w:r>
      <w:r w:rsidR="005774EA">
        <w:t xml:space="preserve">, and </w:t>
      </w:r>
      <w:r w:rsidR="005774EA" w:rsidRPr="004E215E">
        <w:t>8</w:t>
      </w:r>
      <w:r w:rsidR="005774EA">
        <w:t>4</w:t>
      </w:r>
      <w:r w:rsidR="005774EA" w:rsidRPr="004E215E">
        <w:t>%</w:t>
      </w:r>
      <w:r w:rsidR="005774EA">
        <w:t xml:space="preserve"> </w:t>
      </w:r>
      <w:r w:rsidR="005774EA" w:rsidRPr="004E215E">
        <w:t xml:space="preserve">among those still alive </w:t>
      </w:r>
      <w:r w:rsidR="005774EA">
        <w:t>(see Appendix Table A.2, Panel A)</w:t>
      </w:r>
      <w:r w:rsidR="005774EA" w:rsidRPr="004E215E">
        <w:t>.</w:t>
      </w:r>
      <w:r w:rsidR="005774EA">
        <w:t xml:space="preserve"> The rates are slightly higher in KLPS-3, with 84.2% surveyed, rising to 86% among those still alive (Panel B). </w:t>
      </w:r>
      <w:r w:rsidRPr="004E215E">
        <w:t xml:space="preserve">These are high </w:t>
      </w:r>
      <w:r>
        <w:t xml:space="preserve">tracking rates </w:t>
      </w:r>
      <w:r w:rsidRPr="004E215E">
        <w:t xml:space="preserve">for any age group over a decade, and especially for a mobile group of adolescents and young adults. </w:t>
      </w:r>
    </w:p>
    <w:p w14:paraId="4043118E" w14:textId="1B7C1DC9" w:rsidR="005774EA" w:rsidRDefault="00962C80" w:rsidP="005774EA">
      <w:pPr>
        <w:pStyle w:val="NoSpacing"/>
        <w:spacing w:after="240" w:line="600" w:lineRule="exact"/>
        <w:ind w:firstLine="720"/>
      </w:pPr>
      <w:r>
        <w:t>T</w:t>
      </w:r>
      <w:r w:rsidRPr="004E215E">
        <w:t>racking rates are nearly identical and not significantly different in the treatment and control groups</w:t>
      </w:r>
      <w:r>
        <w:t xml:space="preserve"> (</w:t>
      </w:r>
      <w:r w:rsidR="005774EA">
        <w:t>columns 4-6</w:t>
      </w:r>
      <w:r>
        <w:t>)</w:t>
      </w:r>
      <w:r w:rsidRPr="004E215E">
        <w:t>.</w:t>
      </w:r>
      <w:r w:rsidR="005774EA">
        <w:t xml:space="preserve"> Rates are slightly higher among males than females, and this may be because many women move out of their birth area upon marriage, as is traditional</w:t>
      </w:r>
      <w:r w:rsidR="00301CFA">
        <w:t xml:space="preserve"> in this region</w:t>
      </w:r>
      <w:r w:rsidR="005774EA">
        <w:t xml:space="preserve">. A representative subsample of respondents were surveyed for a second time </w:t>
      </w:r>
      <w:r w:rsidR="00301CFA">
        <w:t xml:space="preserve">(roughly a week or two later) </w:t>
      </w:r>
      <w:r w:rsidR="005774EA">
        <w:t xml:space="preserve">during KLPS-3, for the detailed module capturing consumption expenditures and subjective wellbeing measures. Effective tracking rates are somewhat lower in this subsample (77% among those still alive, Panel C), </w:t>
      </w:r>
      <w:r w:rsidR="00301CFA">
        <w:t xml:space="preserve">possibly </w:t>
      </w:r>
      <w:r w:rsidR="005774EA">
        <w:t xml:space="preserve">in part due to survey fatigue, though tracking rates remain balanced across treatment arms </w:t>
      </w:r>
      <w:r w:rsidR="00301CFA">
        <w:t xml:space="preserve">even </w:t>
      </w:r>
      <w:r w:rsidR="005774EA">
        <w:t>in this case.</w:t>
      </w:r>
    </w:p>
    <w:p w14:paraId="6A54DFBE" w14:textId="77777777" w:rsidR="00CB7411" w:rsidRPr="00CB7411" w:rsidRDefault="00CB7411" w:rsidP="00CB7411">
      <w:pPr>
        <w:pStyle w:val="NoSpacing"/>
        <w:spacing w:after="240" w:line="600" w:lineRule="exact"/>
        <w:ind w:firstLine="720"/>
      </w:pPr>
    </w:p>
    <w:p w14:paraId="467F38B6" w14:textId="058ED651" w:rsidR="00F84CA4" w:rsidRPr="00F84CA4" w:rsidRDefault="00A3285C" w:rsidP="00FC2CC6">
      <w:pPr>
        <w:pStyle w:val="NoSpacing"/>
        <w:spacing w:after="240" w:line="600" w:lineRule="exact"/>
        <w:rPr>
          <w:b/>
          <w:szCs w:val="22"/>
        </w:rPr>
      </w:pPr>
      <w:r>
        <w:rPr>
          <w:b/>
          <w:szCs w:val="22"/>
        </w:rPr>
        <w:t>2.2</w:t>
      </w:r>
      <w:r w:rsidR="00F84CA4" w:rsidRPr="00F84CA4">
        <w:rPr>
          <w:b/>
          <w:szCs w:val="22"/>
        </w:rPr>
        <w:t xml:space="preserve"> Estimation Strategy</w:t>
      </w:r>
    </w:p>
    <w:p w14:paraId="322F7D1C" w14:textId="6644EC3B" w:rsidR="005654C1" w:rsidRDefault="004A0317" w:rsidP="00FC2CC6">
      <w:pPr>
        <w:pStyle w:val="NoSpacing"/>
        <w:spacing w:after="240" w:line="600" w:lineRule="exact"/>
      </w:pPr>
      <w:r>
        <w:t>T</w:t>
      </w:r>
      <w:r w:rsidR="00565C97" w:rsidRPr="004E215E">
        <w:t xml:space="preserve">he </w:t>
      </w:r>
      <w:r>
        <w:t xml:space="preserve">analytical </w:t>
      </w:r>
      <w:r w:rsidR="00565C97" w:rsidRPr="004E215E">
        <w:t xml:space="preserve">approach </w:t>
      </w:r>
      <w:r>
        <w:t xml:space="preserve">exploits </w:t>
      </w:r>
      <w:r w:rsidR="00565C97" w:rsidRPr="004E215E">
        <w:t xml:space="preserve">the PSDP’s </w:t>
      </w:r>
      <w:r>
        <w:t xml:space="preserve">experimental research </w:t>
      </w:r>
      <w:r w:rsidR="00565C97" w:rsidRPr="004E215E">
        <w:t xml:space="preserve">design, namely, that the program exogenously provided individuals in treatment </w:t>
      </w:r>
      <w:r>
        <w:t xml:space="preserve">schools </w:t>
      </w:r>
      <w:r w:rsidR="00565C97" w:rsidRPr="004E215E">
        <w:t>(Group</w:t>
      </w:r>
      <w:r>
        <w:t>s</w:t>
      </w:r>
      <w:r w:rsidR="00565C97" w:rsidRPr="004E215E">
        <w:t xml:space="preserve"> 1 and 2) two to three </w:t>
      </w:r>
      <w:r w:rsidR="00565C97" w:rsidRPr="004E215E">
        <w:lastRenderedPageBreak/>
        <w:t>additional years of deworming.</w:t>
      </w:r>
      <w:r w:rsidRPr="004A0317">
        <w:rPr>
          <w:rStyle w:val="FootnoteReference"/>
        </w:rPr>
        <w:t xml:space="preserve"> </w:t>
      </w:r>
      <w:r>
        <w:rPr>
          <w:rStyle w:val="FootnoteReference"/>
        </w:rPr>
        <w:footnoteReference w:id="4"/>
      </w:r>
      <w:r w:rsidR="00565C97" w:rsidRPr="004E215E">
        <w:t xml:space="preserve"> We focus on intention-to-treat estimates, since compliance rates are high</w:t>
      </w:r>
      <w:r w:rsidR="0058055A">
        <w:t>,</w:t>
      </w:r>
      <w:r w:rsidR="00565C97" w:rsidRPr="004E215E">
        <w:t xml:space="preserve"> and previous research showed that untreated </w:t>
      </w:r>
      <w:r w:rsidR="002C6A36">
        <w:t xml:space="preserve">individuals </w:t>
      </w:r>
      <w:r w:rsidR="00565C97" w:rsidRPr="004E215E">
        <w:t xml:space="preserve">within treatment communities experienced gains </w:t>
      </w:r>
      <w:r w:rsidR="00F90E6D">
        <w:fldChar w:fldCharType="begin"/>
      </w:r>
      <w:r w:rsidR="00781891">
        <w:instrText xml:space="preserve"> ADDIN EN.CITE &lt;EndNote&gt;&lt;Cite&gt;&lt;Author&gt;Miguel&lt;/Author&gt;&lt;Year&gt;2004&lt;/Year&gt;&lt;RecNum&gt;25&lt;/RecNum&gt;&lt;DisplayText&gt;(Miguel and Kremer 2004)&lt;/DisplayText&gt;&lt;record&gt;&lt;rec-number&gt;25&lt;/rec-number&gt;&lt;foreign-keys&gt;&lt;key app="EN" db-id="f2200x509a5tazeww0dpewfvxdwwe2zt9vxt" timestamp="0"&gt;25&lt;/key&gt;&lt;/foreign-keys&gt;&lt;ref-type name="Journal Article"&gt;17&lt;/ref-type&gt;&lt;contributors&gt;&lt;authors&gt;&lt;author&gt;Edward Miguel&lt;/author&gt;&lt;author&gt;Kremer, M.&lt;/author&gt;&lt;/authors&gt;&lt;/contributors&gt;&lt;titles&gt;&lt;title&gt;Worms: Identifying Impacts on Education and Health in the Presence of Treatment Externalities&lt;/title&gt;&lt;secondary-title&gt;Econometrica&lt;/secondary-title&gt;&lt;/titles&gt;&lt;periodical&gt;&lt;full-title&gt;Econometrica&lt;/full-title&gt;&lt;/periodical&gt;&lt;pages&gt;159-217&lt;/pages&gt;&lt;volume&gt;72&lt;/volume&gt;&lt;number&gt;1&lt;/number&gt;&lt;dates&gt;&lt;year&gt;2004&lt;/year&gt;&lt;/dates&gt;&lt;urls&gt;&lt;/urls&gt;&lt;/record&gt;&lt;/Cite&gt;&lt;/EndNote&gt;</w:instrText>
      </w:r>
      <w:r w:rsidR="00F90E6D">
        <w:fldChar w:fldCharType="separate"/>
      </w:r>
      <w:r w:rsidR="00B5552B">
        <w:rPr>
          <w:noProof/>
        </w:rPr>
        <w:t>(Miguel and Kremer 2004)</w:t>
      </w:r>
      <w:r w:rsidR="00F90E6D">
        <w:fldChar w:fldCharType="end"/>
      </w:r>
      <w:r w:rsidR="00E85B02">
        <w:t>,</w:t>
      </w:r>
      <w:r w:rsidR="00565C97" w:rsidRPr="004E215E">
        <w:t xml:space="preserve"> complicating estimation of treatment effects on the treated within schools.</w:t>
      </w:r>
      <w:r w:rsidR="00D86F79" w:rsidRPr="004E215E">
        <w:t xml:space="preserve"> </w:t>
      </w:r>
      <w:r>
        <w:t xml:space="preserve">While we focus on full sample results, we also present results separately for </w:t>
      </w:r>
      <w:r w:rsidRPr="00E16C31">
        <w:t>women and men</w:t>
      </w:r>
      <w:r>
        <w:t xml:space="preserve">. This </w:t>
      </w:r>
      <w:r w:rsidRPr="00E16C31">
        <w:t>follow</w:t>
      </w:r>
      <w:r>
        <w:t>s</w:t>
      </w:r>
      <w:r w:rsidRPr="00E16C31">
        <w:t xml:space="preserve"> the tradition in the labor </w:t>
      </w:r>
      <w:r>
        <w:t xml:space="preserve">economics </w:t>
      </w:r>
      <w:r w:rsidRPr="00E16C31">
        <w:t xml:space="preserve">literature of </w:t>
      </w:r>
      <w:r>
        <w:fldChar w:fldCharType="begin"/>
      </w:r>
      <w:r>
        <w:instrText xml:space="preserve"> ADDIN EN.CITE &lt;EndNote&gt;&lt;Cite&gt;&lt;Author&gt;Altonji&lt;/Author&gt;&lt;Year&gt;1999&lt;/Year&gt;&lt;RecNum&gt;4&lt;/RecNum&gt;&lt;DisplayText&gt;(Altonji and Blank 1999; Bertrand 2011)&lt;/DisplayText&gt;&lt;record&gt;&lt;rec-number&gt;4&lt;/rec-number&gt;&lt;foreign-keys&gt;&lt;key app="EN" db-id="f2200x509a5tazeww0dpewfvxdwwe2zt9vxt" timestamp="0"&gt;4&lt;/key&gt;&lt;/foreign-keys&gt;&lt;ref-type name="Book Section"&gt;5&lt;/ref-type&gt;&lt;contributors&gt;&lt;authors&gt;&lt;author&gt;Altonji, Joseph G.&lt;/author&gt;&lt;author&gt;Blank, Rebecca M.&lt;/author&gt;&lt;/authors&gt;&lt;secondary-authors&gt;&lt;author&gt;O. Ashenfelter &amp;amp; D. Card&lt;/author&gt;&lt;/secondary-authors&gt;&lt;/contributors&gt;&lt;titles&gt;&lt;title&gt;Race and gender in the labor market&lt;/title&gt;&lt;secondary-title&gt;Handbook of Labor Economics&lt;/secondary-title&gt;&lt;/titles&gt;&lt;pages&gt;3143-3259&lt;/pages&gt;&lt;volume&gt;4&lt;/volume&gt;&lt;dates&gt;&lt;year&gt;1999&lt;/year&gt;&lt;/dates&gt;&lt;urls&gt;&lt;/urls&gt;&lt;/record&gt;&lt;/Cite&gt;&lt;Cite&gt;&lt;Author&gt;Bertrand&lt;/Author&gt;&lt;Year&gt;2011&lt;/Year&gt;&lt;RecNum&gt;53&lt;/RecNum&gt;&lt;record&gt;&lt;rec-number&gt;53&lt;/rec-number&gt;&lt;foreign-keys&gt;&lt;key app="EN" db-id="f2200x509a5tazeww0dpewfvxdwwe2zt9vxt" timestamp="1453662338"&gt;53&lt;/key&gt;&lt;/foreign-keys&gt;&lt;ref-type name="Book Section"&gt;5&lt;/ref-type&gt;&lt;contributors&gt;&lt;authors&gt;&lt;author&gt;Bertrand, Marianne&lt;/author&gt;&lt;/authors&gt;&lt;secondary-authors&gt;&lt;author&gt;O. Ashenfelter &amp;amp; D. Card &lt;/author&gt;&lt;/secondary-authors&gt;&lt;/contributors&gt;&lt;titles&gt;&lt;title&gt;New Perspectives on Gende&lt;/title&gt;&lt;secondary-title&gt;Handbook of Labor Economics&lt;/secondary-title&gt;&lt;/titles&gt;&lt;volume&gt;4&lt;/volume&gt;&lt;dates&gt;&lt;year&gt;2011&lt;/year&gt;&lt;/dates&gt;&lt;publisher&gt;Elsevier&lt;/publisher&gt;&lt;urls&gt;&lt;/urls&gt;&lt;/record&gt;&lt;/Cite&gt;&lt;/EndNote&gt;</w:instrText>
      </w:r>
      <w:r>
        <w:fldChar w:fldCharType="separate"/>
      </w:r>
      <w:r>
        <w:rPr>
          <w:noProof/>
        </w:rPr>
        <w:t>(Altonji and Blank 1999; Bertrand 2011)</w:t>
      </w:r>
      <w:r>
        <w:fldChar w:fldCharType="end"/>
      </w:r>
      <w:r>
        <w:t xml:space="preserve">, and is also sensible given the findings on treatment effect heterogeneity in Baird et al (2016), and the conceptual discussion in Pitt, </w:t>
      </w:r>
      <w:proofErr w:type="spellStart"/>
      <w:r>
        <w:t>Rosenzweig</w:t>
      </w:r>
      <w:proofErr w:type="spellEnd"/>
      <w:r>
        <w:t xml:space="preserve"> and Hassan (2012) regarding why the </w:t>
      </w:r>
      <w:r w:rsidR="005654C1" w:rsidRPr="00E16C31">
        <w:t xml:space="preserve">labor market effects of health investments </w:t>
      </w:r>
      <w:r>
        <w:t xml:space="preserve">could differ for </w:t>
      </w:r>
      <w:r w:rsidR="005654C1" w:rsidRPr="00E16C31">
        <w:t>males and females in low</w:t>
      </w:r>
      <w:r>
        <w:t>-income “brawn-based economies”.</w:t>
      </w:r>
    </w:p>
    <w:p w14:paraId="508C87ED" w14:textId="09C29F5A" w:rsidR="00565C97" w:rsidRPr="004E215E" w:rsidRDefault="00942128" w:rsidP="00FC2CC6">
      <w:pPr>
        <w:pStyle w:val="NoSpacing"/>
        <w:spacing w:after="240" w:line="600" w:lineRule="exact"/>
        <w:ind w:firstLine="720"/>
      </w:pPr>
      <w:r w:rsidRPr="004E215E">
        <w:t>T</w:t>
      </w:r>
      <w:r w:rsidR="00565C97" w:rsidRPr="004E215E">
        <w:t xml:space="preserve">he dependent variable is </w:t>
      </w:r>
      <w:r w:rsidR="004A0317">
        <w:t xml:space="preserve">an </w:t>
      </w:r>
      <w:proofErr w:type="gramStart"/>
      <w:r w:rsidR="00565C97" w:rsidRPr="004E215E">
        <w:t xml:space="preserve">outcome </w:t>
      </w:r>
      <w:proofErr w:type="gramEnd"/>
      <m:oMath>
        <m:sSub>
          <m:sSubPr>
            <m:ctrlPr>
              <w:rPr>
                <w:rFonts w:ascii="Cambria Math" w:hAnsi="Cambria Math"/>
                <w:i/>
              </w:rPr>
            </m:ctrlPr>
          </m:sSubPr>
          <m:e>
            <m:r>
              <w:rPr>
                <w:rFonts w:ascii="Cambria Math" w:hAnsi="Cambria Math"/>
              </w:rPr>
              <m:t>Y</m:t>
            </m:r>
          </m:e>
          <m:sub>
            <m:r>
              <w:rPr>
                <w:rFonts w:ascii="Cambria Math" w:hAnsi="Cambria Math"/>
              </w:rPr>
              <m:t>ijt</m:t>
            </m:r>
          </m:sub>
        </m:sSub>
      </m:oMath>
      <w:r w:rsidR="00565C97" w:rsidRPr="004E215E">
        <w:t xml:space="preserve">, for individual </w:t>
      </w:r>
      <m:oMath>
        <m:r>
          <w:rPr>
            <w:rFonts w:ascii="Cambria Math" w:hAnsi="Cambria Math"/>
          </w:rPr>
          <m:t>i</m:t>
        </m:r>
      </m:oMath>
      <w:r w:rsidR="00565C97" w:rsidRPr="004E215E">
        <w:t xml:space="preserve"> </w:t>
      </w:r>
      <w:r w:rsidR="008903C6">
        <w:t xml:space="preserve">in </w:t>
      </w:r>
      <w:r w:rsidR="00565C97" w:rsidRPr="004E215E">
        <w:t xml:space="preserve">school </w:t>
      </w:r>
      <m:oMath>
        <m:r>
          <w:rPr>
            <w:rFonts w:ascii="Cambria Math" w:hAnsi="Cambria Math"/>
          </w:rPr>
          <m:t>j</m:t>
        </m:r>
      </m:oMath>
      <w:r w:rsidR="00565C97" w:rsidRPr="004E215E">
        <w:t>, in survey</w:t>
      </w:r>
      <w:r w:rsidR="00962C80">
        <w:t xml:space="preserve"> round </w:t>
      </w:r>
      <m:oMath>
        <m:r>
          <w:rPr>
            <w:rFonts w:ascii="Cambria Math" w:hAnsi="Cambria Math"/>
          </w:rPr>
          <m:t>t</m:t>
        </m:r>
      </m:oMath>
      <w:r w:rsidR="00962C80">
        <w:t xml:space="preserve"> (for KLPS-2 or KLPS-3)</w:t>
      </w:r>
      <w:r w:rsidR="00565C97" w:rsidRPr="004E215E">
        <w:t xml:space="preserve">: </w:t>
      </w:r>
    </w:p>
    <w:tbl>
      <w:tblPr>
        <w:tblW w:w="9468" w:type="dxa"/>
        <w:tblLayout w:type="fixed"/>
        <w:tblLook w:val="04A0" w:firstRow="1" w:lastRow="0" w:firstColumn="1" w:lastColumn="0" w:noHBand="0" w:noVBand="1"/>
      </w:tblPr>
      <w:tblGrid>
        <w:gridCol w:w="1137"/>
        <w:gridCol w:w="7124"/>
        <w:gridCol w:w="1207"/>
      </w:tblGrid>
      <w:tr w:rsidR="00565C97" w:rsidRPr="004E215E" w14:paraId="658F9E2F" w14:textId="77777777" w:rsidTr="00F773E0">
        <w:tc>
          <w:tcPr>
            <w:tcW w:w="1152" w:type="dxa"/>
          </w:tcPr>
          <w:p w14:paraId="3A477108" w14:textId="77777777" w:rsidR="00565C97" w:rsidRPr="004E215E" w:rsidRDefault="00565C97" w:rsidP="00FC2CC6">
            <w:pPr>
              <w:pStyle w:val="NoSpacing"/>
              <w:spacing w:after="240" w:line="600" w:lineRule="exact"/>
            </w:pPr>
          </w:p>
        </w:tc>
        <w:tc>
          <w:tcPr>
            <w:tcW w:w="7243" w:type="dxa"/>
          </w:tcPr>
          <w:p w14:paraId="61C802E4" w14:textId="6E6C6992" w:rsidR="00565C97" w:rsidRPr="004E215E" w:rsidRDefault="00F80C60" w:rsidP="00FC2CC6">
            <w:pPr>
              <w:pStyle w:val="NoSpacing"/>
              <w:spacing w:after="240" w:line="600" w:lineRule="exact"/>
              <w:jc w:val="center"/>
            </w:pPr>
            <m:oMathPara>
              <m:oMath>
                <m:sSub>
                  <m:sSubPr>
                    <m:ctrlPr>
                      <w:rPr>
                        <w:rFonts w:ascii="Cambria Math" w:hAnsi="Cambria Math"/>
                        <w:i/>
                      </w:rPr>
                    </m:ctrlPr>
                  </m:sSubPr>
                  <m:e>
                    <m:r>
                      <w:rPr>
                        <w:rFonts w:ascii="Cambria Math" w:hAnsi="Cambria Math"/>
                      </w:rPr>
                      <m:t>Y</m:t>
                    </m:r>
                  </m:e>
                  <m:sub>
                    <m:r>
                      <w:rPr>
                        <w:rFonts w:ascii="Cambria Math" w:hAnsi="Cambria Math"/>
                      </w:rPr>
                      <m:t>ijt</m:t>
                    </m:r>
                  </m:sub>
                </m:sSub>
                <m:r>
                  <w:rPr>
                    <w:rFonts w:ascii="Cambria Math" w:hAnsi="Cambria Math"/>
                  </w:rPr>
                  <m:t>=α+β</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{ij,0}</m:t>
                    </m:r>
                  </m:sub>
                  <m:sup>
                    <m:r>
                      <w:rPr>
                        <w:rFonts w:ascii="Cambria Math" w:hAnsi="Cambria Math"/>
                      </w:rPr>
                      <m:t>'</m:t>
                    </m:r>
                  </m:sup>
                </m:sSubSup>
                <m:r>
                  <w:rPr>
                    <w:rFonts w:ascii="Cambria Math" w:hAnsi="Cambria Math"/>
                  </w:rPr>
                  <m:t>γ+</m:t>
                </m:r>
                <m:sSub>
                  <m:sSubPr>
                    <m:ctrlPr>
                      <w:rPr>
                        <w:rFonts w:ascii="Cambria Math" w:hAnsi="Cambria Math"/>
                        <w:i/>
                      </w:rPr>
                    </m:ctrlPr>
                  </m:sSubPr>
                  <m:e>
                    <m:r>
                      <w:rPr>
                        <w:rFonts w:ascii="Cambria Math" w:hAnsi="Cambria Math"/>
                      </w:rPr>
                      <m:t>ε</m:t>
                    </m:r>
                  </m:e>
                  <m:sub>
                    <m:r>
                      <w:rPr>
                        <w:rFonts w:ascii="Cambria Math" w:hAnsi="Cambria Math"/>
                      </w:rPr>
                      <m:t>ijt</m:t>
                    </m:r>
                  </m:sub>
                </m:sSub>
                <m:r>
                  <w:rPr>
                    <w:rFonts w:ascii="Cambria Math" w:hAnsi="Cambria Math"/>
                  </w:rPr>
                  <m:t xml:space="preserve"> </m:t>
                </m:r>
              </m:oMath>
            </m:oMathPara>
          </w:p>
        </w:tc>
        <w:tc>
          <w:tcPr>
            <w:tcW w:w="1224" w:type="dxa"/>
            <w:vAlign w:val="center"/>
          </w:tcPr>
          <w:p w14:paraId="5123CD81" w14:textId="2ECE4A6E" w:rsidR="00565C97" w:rsidRPr="004E215E" w:rsidRDefault="00565C97" w:rsidP="00FC2CC6">
            <w:pPr>
              <w:pStyle w:val="NoSpacing"/>
              <w:spacing w:after="240" w:line="600" w:lineRule="exact"/>
              <w:jc w:val="right"/>
              <w:rPr>
                <w:b/>
                <w:bCs/>
                <w:i/>
                <w:iCs/>
                <w:color w:val="323E4F" w:themeColor="text2" w:themeShade="BF"/>
                <w:spacing w:val="5"/>
                <w:kern w:val="28"/>
              </w:rPr>
            </w:pPr>
            <w:r w:rsidRPr="004E215E">
              <w:t>(</w:t>
            </w:r>
            <w:r w:rsidR="004A0317">
              <w:t>1</w:t>
            </w:r>
            <w:r w:rsidRPr="004E215E">
              <w:t>)</w:t>
            </w:r>
          </w:p>
        </w:tc>
      </w:tr>
    </w:tbl>
    <w:p w14:paraId="0AA12736" w14:textId="77777777" w:rsidR="00C049DF" w:rsidRDefault="00565C97" w:rsidP="00FC2CC6">
      <w:pPr>
        <w:pStyle w:val="NoSpacing"/>
        <w:spacing w:after="240" w:line="600" w:lineRule="exact"/>
      </w:pPr>
      <w:r w:rsidRPr="004E215E">
        <w:t>The outcome is a function of the assigned deworming program treatment status of t</w:t>
      </w:r>
      <w:r w:rsidR="004A0317">
        <w:t>he individual’s primary school</w:t>
      </w:r>
      <w:proofErr w:type="gramStart"/>
      <w:r w:rsidR="004A0317">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4A0317">
        <w:t xml:space="preserve">. </w:t>
      </w:r>
    </w:p>
    <w:p w14:paraId="788ED6BB" w14:textId="399FD47D" w:rsidR="00C049DF" w:rsidRDefault="00C049DF" w:rsidP="00C049DF">
      <w:pPr>
        <w:pStyle w:val="NoSpacing"/>
        <w:spacing w:after="240" w:line="600" w:lineRule="exact"/>
        <w:ind w:firstLine="720"/>
      </w:pPr>
      <w:r w:rsidRPr="00B44EB7">
        <w:t xml:space="preserve">The main coefficient of interest </w:t>
      </w:r>
      <w:proofErr w:type="gramStart"/>
      <w:r w:rsidRPr="00B44EB7">
        <w:t xml:space="preserve">is </w:t>
      </w:r>
      <w:proofErr w:type="gramEnd"/>
      <m:oMath>
        <m:r>
          <w:rPr>
            <w:rFonts w:ascii="Cambria Math" w:hAnsi="Cambria Math"/>
          </w:rPr>
          <m:t>β</m:t>
        </m:r>
      </m:oMath>
      <w:r w:rsidRPr="00B44EB7">
        <w:t>, which captures gains accruing to individuals in treatme</w:t>
      </w:r>
      <w:r>
        <w:t xml:space="preserve">nt </w:t>
      </w:r>
      <w:r w:rsidRPr="004E215E">
        <w:t xml:space="preserve">schools relative to </w:t>
      </w:r>
      <w:r>
        <w:t xml:space="preserve">the </w:t>
      </w:r>
      <w:r w:rsidRPr="004E215E">
        <w:t>control</w:t>
      </w:r>
      <w:r>
        <w:t xml:space="preserve">. Since </w:t>
      </w:r>
      <w:r w:rsidRPr="004E215E">
        <w:t xml:space="preserve">deworming </w:t>
      </w:r>
      <w:r>
        <w:t xml:space="preserve">was </w:t>
      </w:r>
      <w:r w:rsidRPr="004E215E">
        <w:t xml:space="preserve">assigned </w:t>
      </w:r>
      <w:r>
        <w:t xml:space="preserve">by </w:t>
      </w:r>
      <w:r w:rsidRPr="004E215E">
        <w:t xml:space="preserve">school rather than </w:t>
      </w:r>
      <w:r>
        <w:t xml:space="preserve">at </w:t>
      </w:r>
      <w:r w:rsidRPr="004E215E">
        <w:t>the individual level</w:t>
      </w:r>
      <w:r>
        <w:t xml:space="preserve">, some of the gains in treatment schools are likely due to </w:t>
      </w:r>
      <w:r w:rsidRPr="004E215E">
        <w:t xml:space="preserve">within-school </w:t>
      </w:r>
      <w:r w:rsidRPr="004E215E">
        <w:lastRenderedPageBreak/>
        <w:t>externalit</w:t>
      </w:r>
      <w:r>
        <w:t>ies</w:t>
      </w:r>
      <w:r w:rsidRPr="004E215E">
        <w:t xml:space="preserve">. </w:t>
      </w:r>
      <w:r>
        <w:t>This is an attractive coefficient to focus on since it is a lower bound on the overall effect of deworming, as shown in Baird et al (2016).</w:t>
      </w:r>
      <w:r>
        <w:rPr>
          <w:rStyle w:val="FootnoteReference"/>
        </w:rPr>
        <w:footnoteReference w:id="5"/>
      </w:r>
      <w:r>
        <w:t xml:space="preserve"> </w:t>
      </w:r>
    </w:p>
    <w:p w14:paraId="7DE44CA1" w14:textId="2AB59C15" w:rsidR="004A0317" w:rsidRDefault="004A0317" w:rsidP="004A0317">
      <w:pPr>
        <w:pStyle w:val="NoSpacing"/>
        <w:spacing w:after="240" w:line="600" w:lineRule="exact"/>
        <w:ind w:firstLine="720"/>
      </w:pPr>
      <w:r>
        <w:t xml:space="preserve">There are two other sources of exogenous variation in exposure to deworming treatment, namely, </w:t>
      </w:r>
      <w:r w:rsidRPr="004E215E">
        <w:t>the 2001 cost-sharing school indicator</w:t>
      </w:r>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w:t>
      </w:r>
      <w:r w:rsidRPr="004E215E">
        <w:t xml:space="preserve">, </w:t>
      </w:r>
      <w:r>
        <w:t>and t</w:t>
      </w:r>
      <w:r w:rsidR="00565C97" w:rsidRPr="004E215E">
        <w:t xml:space="preserve">he proportion </w:t>
      </w:r>
      <w:r>
        <w:t xml:space="preserve">of students in </w:t>
      </w:r>
      <w:r w:rsidR="00D86F79" w:rsidRPr="004E215E">
        <w:t xml:space="preserve">neighboring schools </w:t>
      </w:r>
      <w:r w:rsidR="007571F4">
        <w:t xml:space="preserve">within 6 km </w:t>
      </w:r>
      <w:r>
        <w:t xml:space="preserve">that received deworming treatment in </w:t>
      </w:r>
      <w:r w:rsidR="00565C97" w:rsidRPr="004E215E">
        <w:t>PSDP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565C97" w:rsidRPr="004E215E">
        <w:t>)</w:t>
      </w:r>
      <w:r>
        <w:t>. While not the main focus of the analysis, below we also present evidence that these two sources of variation had significant impact</w:t>
      </w:r>
      <w:r w:rsidR="008D24F7">
        <w:t>s</w:t>
      </w:r>
      <w:r>
        <w:t xml:space="preserve"> on </w:t>
      </w:r>
      <w:r w:rsidR="009A4233">
        <w:t xml:space="preserve">economic </w:t>
      </w:r>
      <w:r>
        <w:t xml:space="preserve">outcomes. </w:t>
      </w:r>
    </w:p>
    <w:p w14:paraId="7113A054" w14:textId="5C7F448C" w:rsidR="00C049DF" w:rsidRDefault="00301CFA" w:rsidP="004A0317">
      <w:pPr>
        <w:pStyle w:val="NoSpacing"/>
        <w:spacing w:after="240" w:line="600" w:lineRule="exact"/>
        <w:ind w:firstLine="720"/>
      </w:pPr>
      <w:r>
        <w:t xml:space="preserve">The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term</w:t>
      </w:r>
      <w:r w:rsidRPr="004E215E">
        <w:t xml:space="preserve"> captures </w:t>
      </w:r>
      <w:r>
        <w:t xml:space="preserve">the effect of the sharp reduction in deworming drug treatment induced by the cost-sharing requirement, and this effect is predicted to have the opposite sign of the </w:t>
      </w:r>
      <m:oMath>
        <m:r>
          <w:rPr>
            <w:rFonts w:ascii="Cambria Math" w:hAnsi="Cambria Math"/>
          </w:rPr>
          <m:t>β</m:t>
        </m:r>
      </m:oMath>
      <w:r>
        <w:t xml:space="preserve"> effect. </w:t>
      </w:r>
      <w:r w:rsidR="00C049DF">
        <w:t xml:space="preserve">The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C049DF">
        <w:t xml:space="preserve"> term</w:t>
      </w:r>
      <w:r w:rsidR="00C049DF" w:rsidRPr="004E215E">
        <w:t xml:space="preserve"> captures the spillover effects for nearby schools, following </w:t>
      </w:r>
      <w:r w:rsidR="00C049DF">
        <w:t xml:space="preserve">the approach in </w:t>
      </w:r>
      <w:r w:rsidR="00C049DF">
        <w:fldChar w:fldCharType="begin"/>
      </w:r>
      <w:r w:rsidR="00C049DF">
        <w:instrText xml:space="preserve"> ADDIN EN.CITE &lt;EndNote&gt;&lt;Cite&gt;&lt;Author&gt;Miguel&lt;/Author&gt;&lt;Year&gt;2004&lt;/Year&gt;&lt;RecNum&gt;25&lt;/RecNum&gt;&lt;DisplayText&gt;(Miguel and Kremer 2004)&lt;/DisplayText&gt;&lt;record&gt;&lt;rec-number&gt;25&lt;/rec-number&gt;&lt;foreign-keys&gt;&lt;key app="EN" db-id="f2200x509a5tazeww0dpewfvxdwwe2zt9vxt" timestamp="0"&gt;25&lt;/key&gt;&lt;/foreign-keys&gt;&lt;ref-type name="Journal Article"&gt;17&lt;/ref-type&gt;&lt;contributors&gt;&lt;authors&gt;&lt;author&gt;Edward Miguel&lt;/author&gt;&lt;author&gt;Kremer, M.&lt;/author&gt;&lt;/authors&gt;&lt;/contributors&gt;&lt;titles&gt;&lt;title&gt;Worms: Identifying Impacts on Education and Health in the Presence of Treatment Externalities&lt;/title&gt;&lt;secondary-title&gt;Econometrica&lt;/secondary-title&gt;&lt;/titles&gt;&lt;periodical&gt;&lt;full-title&gt;Econometrica&lt;/full-title&gt;&lt;/periodical&gt;&lt;pages&gt;159-217&lt;/pages&gt;&lt;volume&gt;72&lt;/volume&gt;&lt;number&gt;1&lt;/number&gt;&lt;dates&gt;&lt;year&gt;2004&lt;/year&gt;&lt;/dates&gt;&lt;urls&gt;&lt;/urls&gt;&lt;/record&gt;&lt;/Cite&gt;&lt;/EndNote&gt;</w:instrText>
      </w:r>
      <w:r w:rsidR="00C049DF">
        <w:fldChar w:fldCharType="separate"/>
      </w:r>
      <w:r w:rsidR="00C049DF">
        <w:rPr>
          <w:noProof/>
        </w:rPr>
        <w:t>Miguel and Kremer (2004)</w:t>
      </w:r>
      <w:r w:rsidR="00C049DF">
        <w:fldChar w:fldCharType="end"/>
      </w:r>
      <w:r w:rsidR="00C049DF">
        <w:t xml:space="preserve">, in which </w:t>
      </w:r>
      <w:r w:rsidR="00C049DF" w:rsidRPr="00F00C7E">
        <w:t xml:space="preserve">cross-school externalities </w:t>
      </w:r>
      <w:r w:rsidR="00C049DF">
        <w:t xml:space="preserve">are estimated </w:t>
      </w:r>
      <w:r w:rsidR="00C049DF" w:rsidRPr="00F00C7E">
        <w:t xml:space="preserve">by taking advantage of variation in the local density of treatment schools induced by </w:t>
      </w:r>
      <w:r w:rsidR="00C049DF">
        <w:t xml:space="preserve">the </w:t>
      </w:r>
      <w:r w:rsidR="00C049DF" w:rsidRPr="00F00C7E">
        <w:t>randomization</w:t>
      </w:r>
      <w:r w:rsidR="00C049DF">
        <w:t xml:space="preserve">. </w:t>
      </w:r>
      <w:r>
        <w:t xml:space="preserve">This effect is predicted to generally have the same sign of the </w:t>
      </w:r>
      <m:oMath>
        <m:r>
          <w:rPr>
            <w:rFonts w:ascii="Cambria Math" w:hAnsi="Cambria Math"/>
          </w:rPr>
          <m:t>β</m:t>
        </m:r>
      </m:oMath>
      <w:r>
        <w:t xml:space="preserve"> effect. </w:t>
      </w:r>
      <w:r w:rsidR="00C049DF">
        <w:t>As explained further in that paper, since reinfection rates are high in the area, the magnitude of externality effects may be either larger or smaller than the effect of own-school treatment.</w:t>
      </w:r>
      <w:r w:rsidR="00C049DF">
        <w:rPr>
          <w:rStyle w:val="FootnoteReference"/>
        </w:rPr>
        <w:footnoteReference w:id="6"/>
      </w:r>
      <w:r w:rsidR="00C049DF">
        <w:t xml:space="preserve"> </w:t>
      </w:r>
    </w:p>
    <w:p w14:paraId="35BF4DA3" w14:textId="3686EBDF" w:rsidR="00D86F79" w:rsidRPr="00B44EB7" w:rsidRDefault="00EC0EF6" w:rsidP="004A0317">
      <w:pPr>
        <w:pStyle w:val="NoSpacing"/>
        <w:spacing w:after="240" w:line="600" w:lineRule="exact"/>
        <w:ind w:firstLine="720"/>
      </w:pPr>
      <w:r>
        <w:lastRenderedPageBreak/>
        <w:t xml:space="preserve">We also include </w:t>
      </w:r>
      <w:r w:rsidR="00565C97" w:rsidRPr="004E215E">
        <w:t xml:space="preserve">a vector </w:t>
      </w:r>
      <m:oMath>
        <m:sSub>
          <m:sSubPr>
            <m:ctrlPr>
              <w:rPr>
                <w:rFonts w:ascii="Cambria Math" w:hAnsi="Cambria Math"/>
                <w:i/>
              </w:rPr>
            </m:ctrlPr>
          </m:sSubPr>
          <m:e>
            <m:r>
              <w:rPr>
                <w:rFonts w:ascii="Cambria Math" w:hAnsi="Cambria Math"/>
              </w:rPr>
              <m:t>X</m:t>
            </m:r>
          </m:e>
          <m:sub>
            <m:r>
              <w:rPr>
                <w:rFonts w:ascii="Cambria Math" w:hAnsi="Cambria Math"/>
              </w:rPr>
              <m:t>{ij,0}</m:t>
            </m:r>
          </m:sub>
        </m:sSub>
      </m:oMath>
      <w:r w:rsidR="00565C97" w:rsidRPr="004E215E">
        <w:t xml:space="preserve"> of baseline individual and school </w:t>
      </w:r>
      <w:r>
        <w:t>covariates</w:t>
      </w:r>
      <w:r w:rsidR="00565C97" w:rsidRPr="004E215E">
        <w:t xml:space="preserve">; and a disturbance </w:t>
      </w:r>
      <w:proofErr w:type="gramStart"/>
      <w:r w:rsidR="00565C97" w:rsidRPr="004E215E">
        <w:t xml:space="preserve">term </w:t>
      </w:r>
      <w:proofErr w:type="gramEnd"/>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00565C97" w:rsidRPr="004E215E">
        <w:t xml:space="preserve">, which is clustered at the school level. </w:t>
      </w:r>
      <w:r w:rsidR="00AB0C18">
        <w:t>T</w:t>
      </w:r>
      <w:r w:rsidR="00AB0C18" w:rsidRPr="004E215E">
        <w:t xml:space="preserve">he </w:t>
      </w:r>
      <m:oMath>
        <m:sSub>
          <m:sSubPr>
            <m:ctrlPr>
              <w:rPr>
                <w:rFonts w:ascii="Cambria Math" w:hAnsi="Cambria Math"/>
                <w:i/>
              </w:rPr>
            </m:ctrlPr>
          </m:sSubPr>
          <m:e>
            <m:r>
              <w:rPr>
                <w:rFonts w:ascii="Cambria Math" w:hAnsi="Cambria Math"/>
              </w:rPr>
              <m:t>X</m:t>
            </m:r>
          </m:e>
          <m:sub>
            <m:r>
              <w:rPr>
                <w:rFonts w:ascii="Cambria Math" w:hAnsi="Cambria Math"/>
              </w:rPr>
              <m:t>{ij,0}</m:t>
            </m:r>
          </m:sub>
        </m:sSub>
      </m:oMath>
      <w:r w:rsidR="00AB0C18" w:rsidRPr="004E215E">
        <w:t xml:space="preserve"> </w:t>
      </w:r>
      <w:r>
        <w:t xml:space="preserve">terms </w:t>
      </w:r>
      <w:r w:rsidR="00AB0C18" w:rsidRPr="004E215E">
        <w:t xml:space="preserve">include school geographic and demographic characteristics used in the PSDP “list randomization”, the student gender and grade characteristics used for stratification in drawing the KLPS </w:t>
      </w:r>
      <w:r w:rsidR="00AB0C18" w:rsidRPr="00D763F6">
        <w:t>sample</w:t>
      </w:r>
      <w:r w:rsidR="00D005B6" w:rsidRPr="003114B9">
        <w:t xml:space="preserve"> </w:t>
      </w:r>
      <w:r w:rsidR="00D005B6" w:rsidRPr="003114B9">
        <w:fldChar w:fldCharType="begin"/>
      </w:r>
      <w:r w:rsidR="00A56980">
        <w:instrText xml:space="preserve"> ADDIN EN.CITE &lt;EndNote&gt;&lt;Cite&gt;&lt;Author&gt;Bruhn&lt;/Author&gt;&lt;Year&gt;2009&lt;/Year&gt;&lt;RecNum&gt;54&lt;/RecNum&gt;&lt;DisplayText&gt;(Bruhn and McKenzie 2009)&lt;/DisplayText&gt;&lt;record&gt;&lt;rec-number&gt;54&lt;/rec-number&gt;&lt;foreign-keys&gt;&lt;key app="EN" db-id="f2200x509a5tazeww0dpewfvxdwwe2zt9vxt" timestamp="1453662338"&gt;54&lt;/key&gt;&lt;/foreign-keys&gt;&lt;ref-type name="Journal Article"&gt;17&lt;/ref-type&gt;&lt;contributors&gt;&lt;authors&gt;&lt;author&gt;Bruhn, Miriam&lt;/author&gt;&lt;author&gt;McKenzie, David&lt;/author&gt;&lt;/authors&gt;&lt;/contributors&gt;&lt;titles&gt;&lt;title&gt;In pursuit of balance: Randomization in practice in development field experiments&lt;/title&gt;&lt;secondary-title&gt;American Economic Journal: Applied Economics&lt;/secondary-title&gt;&lt;/titles&gt;&lt;periodical&gt;&lt;full-title&gt;American Economic Journal: Applied Economics&lt;/full-title&gt;&lt;/periodical&gt;&lt;volume&gt;1&lt;/volume&gt;&lt;number&gt;4&lt;/number&gt;&lt;dates&gt;&lt;year&gt;2009&lt;/year&gt;&lt;/dates&gt;&lt;urls&gt;&lt;/urls&gt;&lt;/record&gt;&lt;/Cite&gt;&lt;/EndNote&gt;</w:instrText>
      </w:r>
      <w:r w:rsidR="00D005B6" w:rsidRPr="003114B9">
        <w:fldChar w:fldCharType="separate"/>
      </w:r>
      <w:r w:rsidR="00B5552B">
        <w:rPr>
          <w:noProof/>
        </w:rPr>
        <w:t>(Bruhn and McKenzie 2009)</w:t>
      </w:r>
      <w:r w:rsidR="00D005B6" w:rsidRPr="003114B9">
        <w:fldChar w:fldCharType="end"/>
      </w:r>
      <w:r w:rsidR="00AB0C18" w:rsidRPr="00D763F6">
        <w:t>, a</w:t>
      </w:r>
      <w:r w:rsidR="00AB0C18" w:rsidRPr="004E215E">
        <w:t xml:space="preserve"> pre-program average school test score to capture academic quality, the total number of primary school pupils within 6 km of the school, and</w:t>
      </w:r>
      <w:r w:rsidR="00AB0C18">
        <w:t xml:space="preserve"> survey month and wave controls. </w:t>
      </w:r>
      <w:r w:rsidR="00014BAA">
        <w:t>E</w:t>
      </w:r>
      <w:r w:rsidR="00565C97" w:rsidRPr="004E215E">
        <w:t>stimates are weighted to make the results representative of the full PSDP sample</w:t>
      </w:r>
      <w:r w:rsidR="00C23C52">
        <w:t xml:space="preserve"> original</w:t>
      </w:r>
      <w:r w:rsidR="00C23C52" w:rsidRPr="00B44EB7">
        <w:t>ly in grades 2-7</w:t>
      </w:r>
      <w:r w:rsidR="00565C97" w:rsidRPr="00B44EB7">
        <w:t>, taking into account the sampling for KLPS and the tracking strategy.</w:t>
      </w:r>
    </w:p>
    <w:p w14:paraId="096607BF" w14:textId="27AB3D0E" w:rsidR="00B44EB7" w:rsidRPr="00523CDA" w:rsidRDefault="00D86F79" w:rsidP="00FC2CC6">
      <w:pPr>
        <w:pStyle w:val="NoSpacing"/>
        <w:spacing w:after="240" w:line="600" w:lineRule="exact"/>
      </w:pPr>
      <w:r w:rsidRPr="00B44EB7">
        <w:tab/>
      </w:r>
      <w:r w:rsidR="004E5A3E">
        <w:t xml:space="preserve">Another estimation issue is </w:t>
      </w:r>
      <w:r w:rsidR="00C049DF">
        <w:t>worth dis</w:t>
      </w:r>
      <w:r w:rsidR="004E5A3E">
        <w:t>cussing</w:t>
      </w:r>
      <w:r w:rsidR="00C049DF">
        <w:t xml:space="preserve">. </w:t>
      </w:r>
      <w:r w:rsidR="00B44EB7" w:rsidRPr="00523CDA">
        <w:t xml:space="preserve">One issue with employing local </w:t>
      </w:r>
      <w:r w:rsidR="00C049DF">
        <w:t xml:space="preserve">treatment </w:t>
      </w:r>
      <w:r w:rsidR="00B44EB7" w:rsidRPr="00523CDA">
        <w:t xml:space="preserve">saturation rates as an explanatory variable in practice is that they are a function of the local treatment decisions of households in the relevant local area, leading to possible </w:t>
      </w:r>
      <w:proofErr w:type="spellStart"/>
      <w:r w:rsidR="00B44EB7" w:rsidRPr="00523CDA">
        <w:t>endogeneity</w:t>
      </w:r>
      <w:proofErr w:type="spellEnd"/>
      <w:r w:rsidR="00B44EB7" w:rsidRPr="00523CDA">
        <w:t xml:space="preserve"> concerns, for instance, if take-up is higher in areas where people </w:t>
      </w:r>
      <w:r w:rsidR="00C049DF">
        <w:t>have (</w:t>
      </w:r>
      <w:proofErr w:type="spellStart"/>
      <w:r w:rsidR="00C049DF">
        <w:t>unobservably</w:t>
      </w:r>
      <w:proofErr w:type="spellEnd"/>
      <w:r w:rsidR="00C049DF">
        <w:t>) more positive attitudes towards child health</w:t>
      </w:r>
      <w:r w:rsidR="00B44EB7" w:rsidRPr="00523CDA">
        <w:t xml:space="preserve">. To address these concerns we construct the local saturation measure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B44EB7" w:rsidRPr="00523CDA">
        <w:t xml:space="preserve"> as a function of the local coverage rate of treatment school pupils within 6 km of school </w:t>
      </w:r>
      <m:oMath>
        <m:r>
          <w:rPr>
            <w:rFonts w:ascii="Cambria Math" w:hAnsi="Cambria Math"/>
          </w:rPr>
          <m:t>j</m:t>
        </m:r>
      </m:oMath>
      <w:r w:rsidR="00B44EB7" w:rsidRPr="00523CDA">
        <w:t xml:space="preserve">, which is exogenously determined by the experimental design, times the average </w:t>
      </w:r>
      <w:r w:rsidR="005A28E6">
        <w:t xml:space="preserve">drug </w:t>
      </w:r>
      <w:r w:rsidR="00B44EB7" w:rsidRPr="00523CDA">
        <w:t>take-up rate in the entire sample. This implies that variation in the local saturation variable is driven entirely by the experimental design, with the average take-up rate serving as a useful “rescaling” to allow for a more meaningful interpretation of the magnitude of estimated effects.</w:t>
      </w:r>
    </w:p>
    <w:p w14:paraId="4831C079" w14:textId="661D4B5A" w:rsidR="00743990" w:rsidRDefault="00743990" w:rsidP="00FC2CC6">
      <w:pPr>
        <w:pStyle w:val="NoSpacing"/>
        <w:spacing w:after="240" w:line="600" w:lineRule="exact"/>
        <w:rPr>
          <w:szCs w:val="22"/>
        </w:rPr>
      </w:pPr>
    </w:p>
    <w:p w14:paraId="37B1BA73" w14:textId="375A2888" w:rsidR="00743990" w:rsidRPr="00FC2CC6" w:rsidRDefault="00A3285C" w:rsidP="00FC2CC6">
      <w:pPr>
        <w:pStyle w:val="NoSpacing"/>
        <w:spacing w:after="240" w:line="600" w:lineRule="exact"/>
        <w:rPr>
          <w:b/>
          <w:szCs w:val="28"/>
        </w:rPr>
      </w:pPr>
      <w:r>
        <w:rPr>
          <w:b/>
          <w:szCs w:val="28"/>
        </w:rPr>
        <w:lastRenderedPageBreak/>
        <w:t>3</w:t>
      </w:r>
      <w:r w:rsidR="00AD73F8" w:rsidRPr="00FC2CC6">
        <w:rPr>
          <w:b/>
          <w:szCs w:val="28"/>
        </w:rPr>
        <w:t xml:space="preserve">. </w:t>
      </w:r>
      <w:r w:rsidR="00743990" w:rsidRPr="00FC2CC6">
        <w:rPr>
          <w:b/>
          <w:szCs w:val="28"/>
        </w:rPr>
        <w:t>Results</w:t>
      </w:r>
    </w:p>
    <w:p w14:paraId="2561A339" w14:textId="0F6B4EE8" w:rsidR="00A3285C" w:rsidRDefault="00673F4C" w:rsidP="00FC2CC6">
      <w:pPr>
        <w:pStyle w:val="NoSpacing"/>
        <w:spacing w:after="240" w:line="600" w:lineRule="exact"/>
      </w:pPr>
      <w:r>
        <w:t>This study focuses on estimating the impacts of deworming treatment on adult earnings, labor market outcomes, residential choice, and living standards</w:t>
      </w:r>
      <w:r w:rsidR="00194417">
        <w:t>, and we present those next</w:t>
      </w:r>
      <w:r>
        <w:t xml:space="preserve">. We also find </w:t>
      </w:r>
      <w:r w:rsidR="00194417">
        <w:t xml:space="preserve">some </w:t>
      </w:r>
      <w:r>
        <w:t xml:space="preserve">evidence of moderate positive impacts on adult health status and educational attainment (see appendix Tables A.3 and A.4), as Baird et al (2016) also documented, but they are not the focus of this study. </w:t>
      </w:r>
    </w:p>
    <w:p w14:paraId="6F2CE80C" w14:textId="77777777" w:rsidR="009A1161" w:rsidRDefault="009A1161" w:rsidP="00FC2CC6">
      <w:pPr>
        <w:pStyle w:val="NoSpacing"/>
        <w:spacing w:after="240" w:line="600" w:lineRule="exact"/>
      </w:pPr>
    </w:p>
    <w:p w14:paraId="47950E41" w14:textId="6B07CD73" w:rsidR="00A3285C" w:rsidRPr="00A3285C" w:rsidRDefault="00A3285C" w:rsidP="00FC2CC6">
      <w:pPr>
        <w:pStyle w:val="NoSpacing"/>
        <w:spacing w:after="240" w:line="600" w:lineRule="exact"/>
        <w:rPr>
          <w:b/>
        </w:rPr>
      </w:pPr>
      <w:r w:rsidRPr="00A3285C">
        <w:rPr>
          <w:b/>
        </w:rPr>
        <w:t xml:space="preserve">3.1 Impacts on Earnings </w:t>
      </w:r>
    </w:p>
    <w:p w14:paraId="0933277F" w14:textId="11EE74C5" w:rsidR="00673F4C" w:rsidRDefault="00673F4C" w:rsidP="00673F4C">
      <w:pPr>
        <w:pStyle w:val="NoSpacing"/>
        <w:spacing w:after="240" w:line="600" w:lineRule="exact"/>
      </w:pPr>
      <w:r>
        <w:t xml:space="preserve">We being with the measure of total individual earnings in the KLPS-3 round, which includes the sum of earnings in wage employment (across all jobs), non-agricultural self-employment profit across all businesses, and farming profits, including in subsistence agriculture. </w:t>
      </w:r>
      <w:r w:rsidR="003C3822">
        <w:t xml:space="preserve">This is our most comprehensive measure of individual labor productivity, </w:t>
      </w:r>
      <w:r w:rsidR="00194417">
        <w:t>including both formal and informal sector earnings. W</w:t>
      </w:r>
      <w:r w:rsidR="003C3822">
        <w:t xml:space="preserve">e </w:t>
      </w:r>
      <w:r w:rsidR="00194417">
        <w:t xml:space="preserve">first </w:t>
      </w:r>
      <w:r w:rsidR="003C3822">
        <w:t xml:space="preserve">focus on earnings </w:t>
      </w:r>
      <w:r w:rsidR="00F81E76">
        <w:t xml:space="preserve">in </w:t>
      </w:r>
      <w:r w:rsidR="003C3822">
        <w:t xml:space="preserve">the past </w:t>
      </w:r>
      <w:r w:rsidR="00F81E76">
        <w:t>month, analogous to the approach in Baird et al (2016)</w:t>
      </w:r>
      <w:r w:rsidR="00194417">
        <w:t>, before bringing in additional data</w:t>
      </w:r>
      <w:r w:rsidR="00F81E76">
        <w:t>.</w:t>
      </w:r>
      <w:r w:rsidR="00330C77">
        <w:t xml:space="preserve"> We focus on measures that trim the top 1% of earnings observations throughout in order to limit the influence of outliers in the analysis.</w:t>
      </w:r>
      <w:r w:rsidR="008D4C36">
        <w:t xml:space="preserve"> Those without any earnings in the last month are included in the analysis, with zero values.</w:t>
      </w:r>
    </w:p>
    <w:p w14:paraId="1DF88EE6" w14:textId="77777777" w:rsidR="00F65DF6" w:rsidRDefault="003C3822" w:rsidP="00FC2CC6">
      <w:pPr>
        <w:pStyle w:val="NoSpacing"/>
        <w:spacing w:after="240" w:line="600" w:lineRule="exact"/>
      </w:pPr>
      <w:r>
        <w:tab/>
      </w:r>
      <w:r w:rsidR="00DC7D7F">
        <w:t>Total earnings in the past year is significantly higher in the deworming treatment group than the control group, with a gain of 560.6 Kenya Shillings per month</w:t>
      </w:r>
      <w:r w:rsidR="00402F88">
        <w:t xml:space="preserve"> (</w:t>
      </w:r>
      <w:r w:rsidR="008972FB">
        <w:t xml:space="preserve">Table 1, </w:t>
      </w:r>
      <w:r w:rsidR="00090F54">
        <w:t xml:space="preserve">Panel A, </w:t>
      </w:r>
      <w:r w:rsidR="008972FB">
        <w:lastRenderedPageBreak/>
        <w:t xml:space="preserve">column 1 – </w:t>
      </w:r>
      <w:proofErr w:type="spellStart"/>
      <w:r w:rsidR="00402F88">
        <w:t>s.e.</w:t>
      </w:r>
      <w:proofErr w:type="spellEnd"/>
      <w:r w:rsidR="00402F88">
        <w:t xml:space="preserve"> 260.2, P-value&lt;0.05)</w:t>
      </w:r>
      <w:r w:rsidR="00DC7D7F">
        <w:t xml:space="preserve">, or roughly </w:t>
      </w:r>
      <w:commentRangeStart w:id="3"/>
      <w:r w:rsidR="00DC7D7F">
        <w:t>US$6</w:t>
      </w:r>
      <w:commentRangeEnd w:id="3"/>
      <w:r w:rsidR="00DC7D7F">
        <w:rPr>
          <w:rStyle w:val="CommentReference"/>
        </w:rPr>
        <w:commentReference w:id="3"/>
      </w:r>
      <w:r w:rsidR="00402F88">
        <w:t>.</w:t>
      </w:r>
      <w:r w:rsidR="00A4436C">
        <w:rPr>
          <w:rStyle w:val="FootnoteReference"/>
        </w:rPr>
        <w:footnoteReference w:id="7"/>
      </w:r>
      <w:r w:rsidR="00402F88">
        <w:t xml:space="preserve"> This is a sizeable increase, corresponding to 15.4% of average earnings in the control group.</w:t>
      </w:r>
      <w:r w:rsidR="00330C77">
        <w:t xml:space="preserve"> The effects are driven both by moderate increases in earnings among tho</w:t>
      </w:r>
      <w:r w:rsidR="00194417">
        <w:t>se who are working (column 2, a</w:t>
      </w:r>
      <w:r w:rsidR="00330C77">
        <w:t xml:space="preserve"> </w:t>
      </w:r>
      <w:r w:rsidR="00194417">
        <w:t>9 log point increase</w:t>
      </w:r>
      <w:r w:rsidR="00330C77">
        <w:t>) as well as smaller increases in the proportion of the sample working at a</w:t>
      </w:r>
      <w:r w:rsidR="00CF6ECC">
        <w:t xml:space="preserve">ll </w:t>
      </w:r>
      <w:r w:rsidR="00F65DF6">
        <w:t xml:space="preserve">(earnings greater than zero) </w:t>
      </w:r>
      <w:r w:rsidR="00CF6ECC">
        <w:t xml:space="preserve">in the last month (column 3), </w:t>
      </w:r>
      <w:r w:rsidR="00330C77">
        <w:t xml:space="preserve">in </w:t>
      </w:r>
      <w:r w:rsidR="00F65DF6">
        <w:t xml:space="preserve">total </w:t>
      </w:r>
      <w:r w:rsidR="00330C77">
        <w:t>hours worked in the last month (column 4)</w:t>
      </w:r>
      <w:r w:rsidR="00CF6ECC">
        <w:t>, and in earnings per hour worked (column 5)</w:t>
      </w:r>
      <w:r w:rsidR="00F65DF6">
        <w:t>; these latter effects are more pronounced when the KLPS-2 and KLPS-3 data is pooled below</w:t>
      </w:r>
      <w:r w:rsidR="00330C77">
        <w:t>.</w:t>
      </w:r>
      <w:r w:rsidR="00F65DF6">
        <w:t xml:space="preserve"> </w:t>
      </w:r>
      <w:r w:rsidR="00CF6ECC">
        <w:t xml:space="preserve">There are modest shifts in employment sector into both non-agricultural work (column 6) and manufacturing employment (column 7), although neither of these effects is statistically significant in the most recent month reported in KLPS-3. </w:t>
      </w:r>
    </w:p>
    <w:p w14:paraId="32F338EE" w14:textId="5CAAC29B" w:rsidR="00FB0748" w:rsidRDefault="00F65DF6" w:rsidP="00F65DF6">
      <w:pPr>
        <w:pStyle w:val="NoSpacing"/>
        <w:spacing w:after="240" w:line="600" w:lineRule="exact"/>
        <w:ind w:firstLine="720"/>
      </w:pPr>
      <w:r>
        <w:t>T</w:t>
      </w:r>
      <w:r w:rsidR="00CF6ECC">
        <w:t xml:space="preserve">here is a </w:t>
      </w:r>
      <w:r w:rsidR="00485BDA">
        <w:t>large shift into residence</w:t>
      </w:r>
      <w:r w:rsidR="00CF6ECC">
        <w:t xml:space="preserve"> </w:t>
      </w:r>
      <w:r w:rsidR="00485BDA">
        <w:t xml:space="preserve">in urban areas, with an increase of 7.0 percentage points on base urban residence of 40% (column 8 – </w:t>
      </w:r>
      <w:proofErr w:type="spellStart"/>
      <w:proofErr w:type="gramStart"/>
      <w:r w:rsidR="00485BDA">
        <w:t>s.e</w:t>
      </w:r>
      <w:proofErr w:type="gramEnd"/>
      <w:r w:rsidR="00485BDA">
        <w:t>.</w:t>
      </w:r>
      <w:proofErr w:type="spellEnd"/>
      <w:r w:rsidR="00090F54">
        <w:t xml:space="preserve"> 2.9</w:t>
      </w:r>
      <w:r w:rsidR="00485BDA">
        <w:t xml:space="preserve">, P-Value&lt;0.05). </w:t>
      </w:r>
      <w:r w:rsidR="00090F54">
        <w:t>The move into urban areas among treatment group individuals can likely explain at least part of the deworming earnings result: i</w:t>
      </w:r>
      <w:r w:rsidR="00A21D3C">
        <w:t>n related work, Hicks et al (2017) find a moderate positive wage premium for urban employment in Kenya, on the order of 15-20 log points</w:t>
      </w:r>
      <w:r w:rsidR="00090F54">
        <w:t>.</w:t>
      </w:r>
    </w:p>
    <w:p w14:paraId="136E480A" w14:textId="54107EDF" w:rsidR="00F6239C" w:rsidRDefault="00FB0748" w:rsidP="00F6239C">
      <w:pPr>
        <w:pStyle w:val="NoSpacing"/>
        <w:spacing w:after="240" w:line="600" w:lineRule="exact"/>
      </w:pPr>
      <w:r>
        <w:tab/>
      </w:r>
      <w:r w:rsidR="00090F54">
        <w:t xml:space="preserve">As in Baird et al (2016), there are pronounced gender differences in the long-run effects of deworming. On average, treatment group males (shown in Table 1, Panel C) gain somewhat more than females (Panel B) in terms of total earnings (column 1), the various intensive and extensive margins of labor market participation and wages (columns 2-5), as well as in the shifts </w:t>
      </w:r>
      <w:r w:rsidR="00090F54">
        <w:lastRenderedPageBreak/>
        <w:t xml:space="preserve">out of agricultural work (column 6-7), although few of these differences are statistically significant. In contrast, although the base rate of urban migration among females (36%) is lower than among males (45%) in the control group, there is a larger shift into urban residence among females: the treatment effects for females is 8.6 percentage points (Panel B, column 8 – </w:t>
      </w:r>
      <w:proofErr w:type="spellStart"/>
      <w:r w:rsidR="00090F54">
        <w:t>s.e.</w:t>
      </w:r>
      <w:proofErr w:type="spellEnd"/>
      <w:r w:rsidR="00090F54">
        <w:t xml:space="preserve"> 2.5, P-value&lt;0.01), and roughly half at 4.6 percentage points for males (Panel C, column </w:t>
      </w:r>
      <w:commentRangeStart w:id="4"/>
      <w:r w:rsidR="00090F54">
        <w:t>8</w:t>
      </w:r>
      <w:commentRangeEnd w:id="4"/>
      <w:r w:rsidR="005166FC">
        <w:rPr>
          <w:rStyle w:val="CommentReference"/>
        </w:rPr>
        <w:commentReference w:id="4"/>
      </w:r>
      <w:r w:rsidR="00090F54">
        <w:t>).</w:t>
      </w:r>
      <w:r w:rsidR="005166FC">
        <w:t xml:space="preserve"> </w:t>
      </w:r>
    </w:p>
    <w:p w14:paraId="113E4D73" w14:textId="17E7AB37" w:rsidR="00F81E76" w:rsidRDefault="00FB0748" w:rsidP="00F6239C">
      <w:pPr>
        <w:pStyle w:val="NoSpacing"/>
        <w:spacing w:after="240" w:line="600" w:lineRule="exact"/>
        <w:ind w:firstLine="720"/>
      </w:pPr>
      <w:r>
        <w:t xml:space="preserve">We next turn to our preferred estimates of deworming impacts on adult earnings, which pool data for both the KLPS-2 and KLPS-3 rounds, and can thus be interpreted as the average effect on total earnings </w:t>
      </w:r>
      <w:r w:rsidR="00BC5FCC">
        <w:t xml:space="preserve">between </w:t>
      </w:r>
      <w:r>
        <w:t xml:space="preserve">approximately 10 to 15 years after the start of treatment. </w:t>
      </w:r>
      <w:r w:rsidR="00BC5FCC">
        <w:t xml:space="preserve">For both rounds, we focus first on our most comprehensive measure of earnings across all sectors. Here in the pooled analysis we utilize </w:t>
      </w:r>
      <w:r w:rsidR="00F81E76">
        <w:t>monthly earnings over the past 12 months, since this is the timeframe over which detailed agricultural productivity data is captured in the survey</w:t>
      </w:r>
      <w:r w:rsidR="00BC5FCC">
        <w:t xml:space="preserve">; this </w:t>
      </w:r>
      <w:r w:rsidR="00F81E76">
        <w:t>timeframe also lines up with the annual consumption expe</w:t>
      </w:r>
      <w:r w:rsidR="00BC5FCC">
        <w:t>nditure measure discussed below</w:t>
      </w:r>
      <w:r w:rsidR="00F81E76">
        <w:t>.</w:t>
      </w:r>
      <w:r w:rsidR="00F6239C">
        <w:t xml:space="preserve"> The use of 12 months of data</w:t>
      </w:r>
      <w:r w:rsidR="00066049">
        <w:t xml:space="preserve"> </w:t>
      </w:r>
      <w:r w:rsidR="00A85D32">
        <w:t xml:space="preserve">(rather than just the most recent month, as in Table 1) </w:t>
      </w:r>
      <w:r w:rsidR="008858ED">
        <w:t>leads to more statistically precise estimates.</w:t>
      </w:r>
    </w:p>
    <w:p w14:paraId="4FF090E6" w14:textId="309C1066" w:rsidR="00A85D32" w:rsidRDefault="00D52634" w:rsidP="00F81E76">
      <w:pPr>
        <w:pStyle w:val="NoSpacing"/>
        <w:spacing w:after="240" w:line="600" w:lineRule="exact"/>
        <w:ind w:firstLine="720"/>
      </w:pPr>
      <w:r>
        <w:t xml:space="preserve">Total earnings are higher in the treatment group, with an average gain of 291.5 Kenya Shillings per month (Table 2, Panel A, column 1 – </w:t>
      </w:r>
      <w:proofErr w:type="spellStart"/>
      <w:proofErr w:type="gramStart"/>
      <w:r>
        <w:t>s.e</w:t>
      </w:r>
      <w:proofErr w:type="gramEnd"/>
      <w:r>
        <w:t>.</w:t>
      </w:r>
      <w:proofErr w:type="spellEnd"/>
      <w:r>
        <w:t xml:space="preserve"> 123.7, P-value&lt;0.05)</w:t>
      </w:r>
      <w:r w:rsidR="00A85D32">
        <w:t>, or roughly US$3</w:t>
      </w:r>
      <w:r w:rsidR="00F1380B">
        <w:t>.43</w:t>
      </w:r>
      <w:r>
        <w:t xml:space="preserve">. Mean earnings in the control group are somewhat lower in the pooled sample (since </w:t>
      </w:r>
      <w:r w:rsidR="00A85D32">
        <w:t xml:space="preserve">earnings are lower in KLPS-2, as </w:t>
      </w:r>
      <w:r>
        <w:t>average earnings are rising over time in this young adult population), but this is once ag</w:t>
      </w:r>
      <w:r w:rsidR="00A85D32">
        <w:t>ain equivalent to a roughly 15</w:t>
      </w:r>
      <w:r>
        <w:t xml:space="preserve">% increase in earnings. </w:t>
      </w:r>
    </w:p>
    <w:p w14:paraId="3D4EC556" w14:textId="45007D71" w:rsidR="00BC5FCC" w:rsidRDefault="00D52634" w:rsidP="00F81E76">
      <w:pPr>
        <w:pStyle w:val="NoSpacing"/>
        <w:spacing w:after="240" w:line="600" w:lineRule="exact"/>
        <w:ind w:firstLine="720"/>
      </w:pPr>
      <w:r>
        <w:lastRenderedPageBreak/>
        <w:t xml:space="preserve">The overall </w:t>
      </w:r>
      <w:r w:rsidR="00A85D32">
        <w:t xml:space="preserve">gain </w:t>
      </w:r>
      <w:r>
        <w:t xml:space="preserve">can be </w:t>
      </w:r>
      <w:r w:rsidR="00A85D32">
        <w:t xml:space="preserve">decomposed into </w:t>
      </w:r>
      <w:r>
        <w:t xml:space="preserve">an increase in earnings among those with positive earnings (by 12 log point, column 2 – </w:t>
      </w:r>
      <w:proofErr w:type="spellStart"/>
      <w:r>
        <w:t>s.e.</w:t>
      </w:r>
      <w:proofErr w:type="spellEnd"/>
      <w:r>
        <w:t>, 5 log points, P-value&lt;0.05), an increase in the proportion of individuals with any positive earnings (3 percentage points, column 3 – P-value&lt;0.05), and an increase of 4.3 hours worked per month (column 4). Earnings per hour worked also increase in the treatment group (column 5 – P-value&lt;0.05). There are once again suggestive shifts in the sector of employment, into non-agricultural employment (column 6) and manufacturing jobs (column 7), although neither is significant at traditional confidence levels.</w:t>
      </w:r>
    </w:p>
    <w:p w14:paraId="2320D99A" w14:textId="79876820" w:rsidR="00D52634" w:rsidRDefault="00FE6161" w:rsidP="00F81E76">
      <w:pPr>
        <w:pStyle w:val="NoSpacing"/>
        <w:spacing w:after="240" w:line="600" w:lineRule="exact"/>
        <w:ind w:firstLine="720"/>
      </w:pPr>
      <w:r>
        <w:t xml:space="preserve">Taking both the KLPS-2 and KLPS-3 rounds together, the proportion of urban residence is somewhat higher in the deworming treatment group, at 3.2 percentage points, although this effects is not statistically significant (Panel A, column 8). </w:t>
      </w:r>
      <w:r w:rsidR="00A85D32">
        <w:t>O</w:t>
      </w:r>
      <w:r>
        <w:t xml:space="preserve">nce again this effect is larger and statistically significant among females, at 4.8 percentage points (Panel B, column 8 – </w:t>
      </w:r>
      <w:proofErr w:type="spellStart"/>
      <w:proofErr w:type="gramStart"/>
      <w:r>
        <w:t>s.e</w:t>
      </w:r>
      <w:proofErr w:type="gramEnd"/>
      <w:r>
        <w:t>.</w:t>
      </w:r>
      <w:proofErr w:type="spellEnd"/>
      <w:r>
        <w:t xml:space="preserve"> 2.1, P-value&lt;0.05).</w:t>
      </w:r>
    </w:p>
    <w:p w14:paraId="0E000AE1" w14:textId="32EB2E30" w:rsidR="00FE6161" w:rsidRDefault="00FE6161" w:rsidP="00565D11">
      <w:pPr>
        <w:pStyle w:val="NoSpacing"/>
        <w:spacing w:after="240" w:line="600" w:lineRule="exact"/>
      </w:pPr>
      <w:r>
        <w:tab/>
      </w:r>
      <w:r w:rsidR="000622D8">
        <w:t xml:space="preserve">The total earnings results </w:t>
      </w:r>
      <w:r w:rsidR="00321C9C">
        <w:t xml:space="preserve">over the previous 12 months for KLPS-2 and KLPS-3 </w:t>
      </w:r>
      <w:r w:rsidR="000622D8">
        <w:t xml:space="preserve">are presented graphically in Figure 1, for the full sample (in the left panel), and then for females and males separately. </w:t>
      </w:r>
      <w:r w:rsidR="00321C9C">
        <w:t>The pooled effect for the full sample reproduces the estimate presented in Table 2, Panel A, column 1, and the female (male) results are from Panel B (Panel C).</w:t>
      </w:r>
      <w:r w:rsidR="00A70F14">
        <w:rPr>
          <w:rStyle w:val="FootnoteReference"/>
        </w:rPr>
        <w:footnoteReference w:id="8"/>
      </w:r>
      <w:r w:rsidR="00321C9C">
        <w:t xml:space="preserve"> </w:t>
      </w:r>
      <w:r w:rsidR="00A70F14">
        <w:t>It is evident</w:t>
      </w:r>
      <w:r w:rsidR="007E611E">
        <w:t xml:space="preserve"> that the average deworming treatment effect is rising over time between the 2007-2009 KLPS-2 round and the 2011-2014 KLPS-3 round, although the latter effects are somewhat less precisely estimated. It is noteworthy how the evolution of treatment effects differs by gender: in </w:t>
      </w:r>
      <w:r w:rsidR="007E611E">
        <w:lastRenderedPageBreak/>
        <w:t xml:space="preserve">absolute monetary terms, the deworming treatment effect is </w:t>
      </w:r>
      <w:r w:rsidR="00A85D32">
        <w:t xml:space="preserve">positive and </w:t>
      </w:r>
      <w:r w:rsidR="007E611E">
        <w:t xml:space="preserve">nearly identical for females across the two survey rounds, while estimated effects appear to grow </w:t>
      </w:r>
      <w:r w:rsidR="00A85D32">
        <w:t xml:space="preserve">larger </w:t>
      </w:r>
      <w:r w:rsidR="007E611E">
        <w:t xml:space="preserve">over time for males (although we cannot reject the hypothesis that </w:t>
      </w:r>
      <w:r w:rsidR="00A85D32">
        <w:t xml:space="preserve">impacts </w:t>
      </w:r>
      <w:r w:rsidR="007E611E">
        <w:t xml:space="preserve">are stable over time). </w:t>
      </w:r>
    </w:p>
    <w:p w14:paraId="3E5DCB12" w14:textId="1EAADB2A" w:rsidR="00321C9C" w:rsidRDefault="007E611E" w:rsidP="00565D11">
      <w:pPr>
        <w:pStyle w:val="NoSpacing"/>
        <w:spacing w:after="240" w:line="600" w:lineRule="exact"/>
      </w:pPr>
      <w:r>
        <w:tab/>
      </w:r>
      <w:r w:rsidR="004D14AC">
        <w:t xml:space="preserve">The gender differences in treatment effects extend into </w:t>
      </w:r>
      <w:r w:rsidR="00A85D32">
        <w:t xml:space="preserve">the </w:t>
      </w:r>
      <w:r w:rsidR="004D14AC">
        <w:t>sector</w:t>
      </w:r>
      <w:r w:rsidR="00A85D32">
        <w:t xml:space="preserve"> of employment</w:t>
      </w:r>
      <w:r w:rsidR="004D14AC">
        <w:t xml:space="preserve">. The most salient pattern is a </w:t>
      </w:r>
      <w:r w:rsidR="00A85D32">
        <w:t xml:space="preserve">larger </w:t>
      </w:r>
      <w:r w:rsidR="004D14AC">
        <w:t>shift into wage employment among males than among females, both in terms of earnings by sector (Appendix Table A.8) and hours worked by sector (Appendix Table A.9), while among females there is a more pronounced increase in self-employment. However, while suggestive, few of these cross-sectoral differences in treatment effects by gender are statistically significant at traditional confidence levels.</w:t>
      </w:r>
    </w:p>
    <w:p w14:paraId="001773D8" w14:textId="6EB691C8" w:rsidR="00DC39A1" w:rsidRDefault="00DC39A1" w:rsidP="00FC2CC6">
      <w:pPr>
        <w:pStyle w:val="NoSpacing"/>
        <w:spacing w:after="240" w:line="600" w:lineRule="exact"/>
      </w:pPr>
    </w:p>
    <w:p w14:paraId="1CD53D0E" w14:textId="40C6B38D" w:rsidR="00A3285C" w:rsidRPr="00A3285C" w:rsidRDefault="00A3285C" w:rsidP="00FC2CC6">
      <w:pPr>
        <w:pStyle w:val="NoSpacing"/>
        <w:spacing w:after="240" w:line="600" w:lineRule="exact"/>
        <w:rPr>
          <w:b/>
        </w:rPr>
      </w:pPr>
      <w:r w:rsidRPr="00A3285C">
        <w:rPr>
          <w:b/>
        </w:rPr>
        <w:t>3.2 Impacts on Living Standards</w:t>
      </w:r>
    </w:p>
    <w:p w14:paraId="49EC6823" w14:textId="6B594890" w:rsidR="00A85D32" w:rsidRDefault="0025695B" w:rsidP="00FC2CC6">
      <w:pPr>
        <w:pStyle w:val="NoSpacing"/>
        <w:spacing w:after="240" w:line="600" w:lineRule="exact"/>
      </w:pPr>
      <w:r>
        <w:t xml:space="preserve">A representative subset of roughly one sixth of the sample was administered an additional survey module in the KLPS-3 round, including a consumption expenditure module, as well as more detailed questions on subjective wellbeing. The consumption questions follow the standard LSMS format of detailed consumption recall questions (as shown in Appendix Figure A.2). In cases where a large share of household income comes from subsistence agriculture or informal sector employment, consumption may yield a more accurate measure of total household income. </w:t>
      </w:r>
    </w:p>
    <w:p w14:paraId="55305FF2" w14:textId="4201BE16" w:rsidR="004E0D9D" w:rsidRDefault="00EA0909" w:rsidP="00A85D32">
      <w:pPr>
        <w:pStyle w:val="NoSpacing"/>
        <w:spacing w:after="240" w:line="600" w:lineRule="exact"/>
        <w:ind w:firstLine="720"/>
      </w:pPr>
      <w:r>
        <w:t>Deworming treatment has a positive impact on total household consumption expenditures per capita</w:t>
      </w:r>
      <w:r w:rsidR="009D3638">
        <w:t xml:space="preserve">, with an average gain of 30 log points (Table 3, Panel A, column 1 – </w:t>
      </w:r>
      <w:proofErr w:type="spellStart"/>
      <w:r w:rsidR="009D3638">
        <w:t>s.e.</w:t>
      </w:r>
      <w:proofErr w:type="spellEnd"/>
      <w:r w:rsidR="009D3638">
        <w:t xml:space="preserve"> 11 log points, </w:t>
      </w:r>
      <w:r w:rsidR="009D3638">
        <w:lastRenderedPageBreak/>
        <w:t xml:space="preserve">P-value&lt;0.01). This </w:t>
      </w:r>
      <w:r w:rsidR="004C4283">
        <w:t xml:space="preserve">corresponds to </w:t>
      </w:r>
      <w:r w:rsidR="009D3638">
        <w:t xml:space="preserve">a gain of 26.1% </w:t>
      </w:r>
      <w:r w:rsidR="004C4283">
        <w:t xml:space="preserve">relative to </w:t>
      </w:r>
      <w:r w:rsidR="009D3638">
        <w:t>the control group mean</w:t>
      </w:r>
      <w:r w:rsidR="00DD484B">
        <w:t xml:space="preserve">. </w:t>
      </w:r>
      <w:r w:rsidR="005152E1">
        <w:t xml:space="preserve">While larger than the roughly 15% average gain in earnings in the treatment group, we cannot reject that </w:t>
      </w:r>
      <w:r w:rsidR="004C4283">
        <w:t xml:space="preserve">the magnitudes of </w:t>
      </w:r>
      <w:r w:rsidR="005152E1">
        <w:t>these two effects are equal.</w:t>
      </w:r>
      <w:r w:rsidR="00E370DE">
        <w:t xml:space="preserve"> </w:t>
      </w:r>
      <w:r w:rsidR="004E0D9D">
        <w:t>The distribution of per capita consumption in the treatment group is shifted clearly to the right relative to the control group, with particularly large shifts in the right tail of the distribution (Figure 2</w:t>
      </w:r>
      <w:r w:rsidR="00327DD4">
        <w:t>, Panel A</w:t>
      </w:r>
      <w:r w:rsidR="004E0D9D">
        <w:t>).</w:t>
      </w:r>
    </w:p>
    <w:p w14:paraId="49EC8702" w14:textId="3454AA69" w:rsidR="00AE5E6E" w:rsidRDefault="00E370DE" w:rsidP="004E0D9D">
      <w:pPr>
        <w:pStyle w:val="NoSpacing"/>
        <w:spacing w:after="240" w:line="600" w:lineRule="exact"/>
        <w:ind w:firstLine="720"/>
      </w:pPr>
      <w:r>
        <w:t xml:space="preserve">There is an approximately 15 log points increase in food consumption (column 2), and suggestive evidence of an increase in meals eaten (column 3). </w:t>
      </w:r>
      <w:r w:rsidR="00117963">
        <w:t xml:space="preserve">The total consumption effects are larger among males (Panel C) than females (Panel B), consistent with </w:t>
      </w:r>
      <w:r w:rsidR="00F107FD">
        <w:t>the larger earning gains among males presented above</w:t>
      </w:r>
      <w:r w:rsidR="00327DD4">
        <w:t>, and this is reflected graphically (Figure 2, Panels B and C)</w:t>
      </w:r>
      <w:r w:rsidR="00F107FD">
        <w:t>.</w:t>
      </w:r>
      <w:r w:rsidR="00C025B2" w:rsidRPr="00C025B2">
        <w:rPr>
          <w:rStyle w:val="FootnoteReference"/>
        </w:rPr>
        <w:t xml:space="preserve"> </w:t>
      </w:r>
      <w:r w:rsidR="00C025B2">
        <w:rPr>
          <w:rStyle w:val="FootnoteReference"/>
        </w:rPr>
        <w:footnoteReference w:id="9"/>
      </w:r>
    </w:p>
    <w:p w14:paraId="5DA8B15A" w14:textId="7D62707A" w:rsidR="00F107FD" w:rsidRDefault="00F107FD" w:rsidP="00FC2CC6">
      <w:pPr>
        <w:pStyle w:val="NoSpacing"/>
        <w:spacing w:after="240" w:line="600" w:lineRule="exact"/>
      </w:pPr>
      <w:r>
        <w:tab/>
      </w:r>
      <w:r w:rsidR="00960D55">
        <w:t xml:space="preserve">There are also positive </w:t>
      </w:r>
      <w:r w:rsidR="007158AE">
        <w:t xml:space="preserve">estimated effects of deworming on household assets </w:t>
      </w:r>
      <w:r w:rsidR="001B7CAE">
        <w:t xml:space="preserve">but </w:t>
      </w:r>
      <w:r w:rsidR="00960D55">
        <w:t xml:space="preserve">these are generally </w:t>
      </w:r>
      <w:r w:rsidR="001B7CAE">
        <w:t>small. We create</w:t>
      </w:r>
      <w:r w:rsidR="00FA4286">
        <w:t>d</w:t>
      </w:r>
      <w:r w:rsidR="001B7CAE">
        <w:t xml:space="preserve"> a mean effect index of </w:t>
      </w:r>
      <w:r w:rsidR="00EB7484">
        <w:t xml:space="preserve">six </w:t>
      </w:r>
      <w:r w:rsidR="001B7CAE">
        <w:t xml:space="preserve">improved home characteristics, </w:t>
      </w:r>
      <w:r w:rsidR="00EB7484">
        <w:t xml:space="preserve">including improved housing materials, electricity connection, water and sanitation connections, and the number of rooms. </w:t>
      </w:r>
      <w:r w:rsidR="00386B5A">
        <w:t>The average effect of deworming treatment on the home characteristics index is 0.10 standard deviation units (column 4).</w:t>
      </w:r>
      <w:r w:rsidR="00F95945">
        <w:rPr>
          <w:rStyle w:val="FootnoteReference"/>
        </w:rPr>
        <w:footnoteReference w:id="10"/>
      </w:r>
      <w:r w:rsidR="00386B5A">
        <w:t xml:space="preserve"> </w:t>
      </w:r>
      <w:r w:rsidR="0049330D">
        <w:t>In terms of other assets, we create an index of household ownership of up to 28 assets, and once again the estimated effects are</w:t>
      </w:r>
      <w:r w:rsidR="00960D55">
        <w:t xml:space="preserve"> positive but small (column 5).</w:t>
      </w:r>
    </w:p>
    <w:p w14:paraId="2F17C7F6" w14:textId="2B86E543" w:rsidR="00960D55" w:rsidRDefault="005152E1" w:rsidP="00FC2CC6">
      <w:pPr>
        <w:pStyle w:val="NoSpacing"/>
        <w:spacing w:after="240" w:line="600" w:lineRule="exact"/>
      </w:pPr>
      <w:r>
        <w:tab/>
      </w:r>
      <w:r w:rsidR="00E05058">
        <w:t xml:space="preserve">The same subset of respondents </w:t>
      </w:r>
      <w:r w:rsidR="00960D55">
        <w:t xml:space="preserve">surveyed regarding household consumption </w:t>
      </w:r>
      <w:r w:rsidR="00E05058">
        <w:t xml:space="preserve">were </w:t>
      </w:r>
      <w:r w:rsidR="00960D55">
        <w:t xml:space="preserve">also </w:t>
      </w:r>
      <w:r w:rsidR="00E05058">
        <w:t xml:space="preserve">asked to assess their own wellbeing. Approximately 41% of individuals in the control group </w:t>
      </w:r>
      <w:r w:rsidR="00E05058">
        <w:lastRenderedPageBreak/>
        <w:t>responded that they were “very happy”, with the rest distributed between “somewhat happy” and “not happy”</w:t>
      </w:r>
      <w:r w:rsidR="00960D55">
        <w:t xml:space="preserve">. Subjective wellbeing questions have long been controversial among economists and other social scientists, in part because comparisons of rates of happiness across societies and cultures may be complicated by </w:t>
      </w:r>
      <w:r w:rsidR="00A56B09">
        <w:t xml:space="preserve">local </w:t>
      </w:r>
      <w:r w:rsidR="00960D55">
        <w:t xml:space="preserve">social norms regarding the </w:t>
      </w:r>
      <w:r w:rsidR="00A56B09">
        <w:t xml:space="preserve">public </w:t>
      </w:r>
      <w:r w:rsidR="00960D55">
        <w:t>expression of happiness; those specific concerns are not relevant in our Kenyan sample.</w:t>
      </w:r>
    </w:p>
    <w:p w14:paraId="552E77E5" w14:textId="60BDF43C" w:rsidR="00EA0909" w:rsidRDefault="00960D55" w:rsidP="00960D55">
      <w:pPr>
        <w:pStyle w:val="NoSpacing"/>
        <w:spacing w:after="240" w:line="600" w:lineRule="exact"/>
        <w:ind w:firstLine="720"/>
      </w:pPr>
      <w:r>
        <w:t xml:space="preserve">The </w:t>
      </w:r>
      <w:r w:rsidR="002D6D4C">
        <w:t xml:space="preserve">proportion </w:t>
      </w:r>
      <w:r>
        <w:t xml:space="preserve">of respondents claiming to be “very happy” </w:t>
      </w:r>
      <w:r w:rsidR="002D6D4C">
        <w:t xml:space="preserve">rises by 11 percentage points, to 52%, in the deworming treatment group (Table 3, Panel A, column 6 – </w:t>
      </w:r>
      <w:proofErr w:type="spellStart"/>
      <w:r w:rsidR="002D6D4C">
        <w:t>s.e.</w:t>
      </w:r>
      <w:proofErr w:type="spellEnd"/>
      <w:r w:rsidR="002D6D4C">
        <w:t xml:space="preserve"> 4 percentage points, P-value&lt;0.05). Although base rates of happiness are higher among women respondents, </w:t>
      </w:r>
      <w:r>
        <w:t xml:space="preserve">the magnitude of </w:t>
      </w:r>
      <w:r w:rsidR="002D6D4C">
        <w:t>these effects are nearly the same among females</w:t>
      </w:r>
      <w:r>
        <w:t xml:space="preserve"> (Panel B) and males (Panel C).</w:t>
      </w:r>
    </w:p>
    <w:p w14:paraId="157C8112" w14:textId="24B69C9D" w:rsidR="006423EB" w:rsidRDefault="006423EB" w:rsidP="00FC2CC6">
      <w:pPr>
        <w:pStyle w:val="NoSpacing"/>
        <w:spacing w:after="240" w:line="600" w:lineRule="exact"/>
      </w:pPr>
    </w:p>
    <w:p w14:paraId="0CA2EBFC" w14:textId="15327A63" w:rsidR="000A1688" w:rsidRPr="000A1688" w:rsidRDefault="000A1688" w:rsidP="00FC2CC6">
      <w:pPr>
        <w:pStyle w:val="NoSpacing"/>
        <w:spacing w:after="240" w:line="600" w:lineRule="exact"/>
        <w:rPr>
          <w:b/>
        </w:rPr>
      </w:pPr>
      <w:r>
        <w:rPr>
          <w:b/>
        </w:rPr>
        <w:t xml:space="preserve">3.3 </w:t>
      </w:r>
      <w:r w:rsidR="00960D55">
        <w:rPr>
          <w:b/>
        </w:rPr>
        <w:t xml:space="preserve">Other </w:t>
      </w:r>
      <w:r w:rsidR="00716B00">
        <w:rPr>
          <w:b/>
        </w:rPr>
        <w:t xml:space="preserve">deworming </w:t>
      </w:r>
      <w:r w:rsidR="00960D55">
        <w:rPr>
          <w:b/>
        </w:rPr>
        <w:t>t</w:t>
      </w:r>
      <w:r w:rsidR="00716B00">
        <w:rPr>
          <w:b/>
        </w:rPr>
        <w:t>reatment effects: cost-sharing and local spillovers</w:t>
      </w:r>
    </w:p>
    <w:p w14:paraId="3A28CCB6" w14:textId="04E8C868" w:rsidR="000A1688" w:rsidRDefault="00716B00" w:rsidP="00FC2CC6">
      <w:pPr>
        <w:pStyle w:val="NoSpacing"/>
        <w:spacing w:after="240" w:line="600" w:lineRule="exact"/>
      </w:pPr>
      <w:r>
        <w:t>We next assess the effects of the other two forms of exogenous variation in deworming treatment exposure in our sample, namely, the 2001 cost-sharing experiment carried out in the Group 1 and Group 2 schools, as well as the variation in local treatment saturation. All coefficient estimates on these terms are presented in the Appendix tables.</w:t>
      </w:r>
    </w:p>
    <w:p w14:paraId="5D4BB1F3" w14:textId="03F19A7F" w:rsidR="00716B00" w:rsidRDefault="00716B00" w:rsidP="00FC2CC6">
      <w:pPr>
        <w:pStyle w:val="NoSpacing"/>
        <w:spacing w:after="240" w:line="600" w:lineRule="exact"/>
      </w:pPr>
      <w:r>
        <w:tab/>
      </w:r>
      <w:r w:rsidR="009516FE">
        <w:t xml:space="preserve">Because the temporary 2001 deworming treatment cost-sharing program substantially reduced take-up, it provides an additional, orthogonal source of variation in treatment, albeit with less statistical power. </w:t>
      </w:r>
      <w:r>
        <w:t xml:space="preserve">There is substantial evidence that the sharp reduction in deworming treatment due to the introduction of cost-sharing led to worse adult labor market and living </w:t>
      </w:r>
      <w:r>
        <w:lastRenderedPageBreak/>
        <w:t xml:space="preserve">standards outcomes. For instance, </w:t>
      </w:r>
      <w:r w:rsidR="00ED6BC3">
        <w:t>out of the 37 unique outcome variables considered in both the main tables and the appendix tables, the coefficient estimate on the cost-sharing term is negative (as predicted) in 34 cases, an outcome that would be very unlikely to occur by chance in the absence of a treatment effects. In many cases (although not all), the coefficient estimate on cost-sharing also as a smaller absolute magnitude than the direct treatment, which is also sensible since the timeframe of the reduction in treatment was shorter than the average duration of treatment. In a seemingly unrelated regressions (SUR) specification across all of these outcomes, we reject the hypothesis that the coefficient estimate on the cost-sharing indicator equals zero at high levels of confidence (P-value&lt;0.001).</w:t>
      </w:r>
    </w:p>
    <w:p w14:paraId="7401F26B" w14:textId="7692B221" w:rsidR="00ED6BC3" w:rsidRDefault="00ED6BC3" w:rsidP="00FC2CC6">
      <w:pPr>
        <w:pStyle w:val="NoSpacing"/>
        <w:spacing w:after="240" w:line="600" w:lineRule="exact"/>
      </w:pPr>
      <w:r>
        <w:tab/>
        <w:t xml:space="preserve">There is similar, albeit somewhat weaker, evidence that higher levels of local treatment saturation improved adult outcomes. </w:t>
      </w:r>
      <w:r w:rsidR="009516FE">
        <w:t>U</w:t>
      </w:r>
      <w:r w:rsidR="009516FE" w:rsidRPr="004E215E">
        <w:t xml:space="preserve">nder the null hypothesis </w:t>
      </w:r>
      <w:r w:rsidR="009516FE">
        <w:t xml:space="preserve">of </w:t>
      </w:r>
      <w:r w:rsidR="009516FE" w:rsidRPr="004E215E">
        <w:t xml:space="preserve">no epidemiological externalities, there should be no correlation with the direct treatment effect. </w:t>
      </w:r>
      <w:r w:rsidR="009516FE">
        <w:t>T</w:t>
      </w:r>
      <w:r>
        <w:t>he coefficient estimate on the saturation term is positive for 25 of the 37 outcome variables, an outcome that is somewhat unlikely to occur by chance. In a seemingly unrelated regressions (SUR) specification across all of these outcomes, we reject the hypothesis that the coefficient estimate on the local treatment saturation term equals zero at high levels of confidence (P-value&lt;0.001).</w:t>
      </w:r>
      <w:r w:rsidR="00AA1579">
        <w:t xml:space="preserve"> The existence of cross-school externalities, as well as impacts of being in a cost-sharing school, provides additional evidence on the robustness of the deworming impacts, and reassurance that estimated effects are not simply due to some form of reporting bias in the treatment schools.</w:t>
      </w:r>
    </w:p>
    <w:p w14:paraId="5C0BFB13" w14:textId="6608CF5E" w:rsidR="00ED6BC3" w:rsidRDefault="00ED6BC3" w:rsidP="00FC2CC6">
      <w:pPr>
        <w:pStyle w:val="NoSpacing"/>
        <w:spacing w:after="240" w:line="600" w:lineRule="exact"/>
      </w:pPr>
      <w:r>
        <w:lastRenderedPageBreak/>
        <w:tab/>
      </w:r>
      <w:r w:rsidR="00024526">
        <w:t>The same SUR approach also allows us to test the hypothesis that the main deworming treatment effect is equals zero across all outcomes, which we reject (P-value&lt;0.001). Similarly, we reject the hypothesis that the coefficient estimates on the main treatment term, the cost-sharing indicator, and the treatment saturation term are all jointly equal to zero at high levels of confidence (P-value&lt;0.001). We conclude that exposure to deworming has a significant impact on long-run adult labor market and livings standards outcomes.</w:t>
      </w:r>
    </w:p>
    <w:p w14:paraId="425A0608" w14:textId="77777777" w:rsidR="000A1688" w:rsidRDefault="000A1688" w:rsidP="00FC2CC6">
      <w:pPr>
        <w:pStyle w:val="NoSpacing"/>
        <w:spacing w:after="240" w:line="600" w:lineRule="exact"/>
      </w:pPr>
    </w:p>
    <w:p w14:paraId="00FCCD7D" w14:textId="388B9B03" w:rsidR="00D36D69" w:rsidRPr="00AA1579" w:rsidRDefault="000A1688" w:rsidP="00FC2CC6">
      <w:pPr>
        <w:pStyle w:val="NoSpacing"/>
        <w:spacing w:after="240" w:line="600" w:lineRule="exact"/>
        <w:rPr>
          <w:b/>
        </w:rPr>
      </w:pPr>
      <w:r>
        <w:rPr>
          <w:b/>
        </w:rPr>
        <w:t>3.4</w:t>
      </w:r>
      <w:r w:rsidR="002864D6" w:rsidRPr="005D1947">
        <w:rPr>
          <w:b/>
        </w:rPr>
        <w:t xml:space="preserve"> Cost-effectiveness</w:t>
      </w:r>
      <w:r w:rsidR="00AA1579">
        <w:rPr>
          <w:b/>
        </w:rPr>
        <w:t xml:space="preserve">, </w:t>
      </w:r>
      <w:r w:rsidR="005D1947" w:rsidRPr="005D1947">
        <w:rPr>
          <w:b/>
        </w:rPr>
        <w:t>rate of return</w:t>
      </w:r>
      <w:r w:rsidR="00AA1579">
        <w:rPr>
          <w:b/>
        </w:rPr>
        <w:t xml:space="preserve"> and fiscal impacts of deworming subsidies</w:t>
      </w:r>
    </w:p>
    <w:p w14:paraId="7FCC06AA" w14:textId="1C151592" w:rsidR="00743990" w:rsidRPr="00E16C31" w:rsidRDefault="00743990" w:rsidP="00FC2CC6">
      <w:pPr>
        <w:pStyle w:val="NoSpacing"/>
        <w:spacing w:after="240" w:line="600" w:lineRule="exact"/>
      </w:pPr>
      <w:r w:rsidRPr="00E16C31">
        <w:t xml:space="preserve">The estimated impacts of deworming on labor market outcomes, combined with other data, allow us to </w:t>
      </w:r>
      <w:r>
        <w:t>estimate the</w:t>
      </w:r>
      <w:r w:rsidRPr="00E16C31">
        <w:t xml:space="preserve"> </w:t>
      </w:r>
      <w:r w:rsidR="00877FF2">
        <w:t xml:space="preserve">internal </w:t>
      </w:r>
      <w:r w:rsidR="002A5AD9">
        <w:t xml:space="preserve">financial </w:t>
      </w:r>
      <w:r w:rsidR="00877FF2">
        <w:t xml:space="preserve">rate of return and </w:t>
      </w:r>
      <w:r w:rsidRPr="00E16C31">
        <w:t xml:space="preserve">fiscal impacts of deworming subsidies. </w:t>
      </w:r>
    </w:p>
    <w:p w14:paraId="5128A5DD" w14:textId="3ED4B8BB" w:rsidR="00743990" w:rsidRPr="00E16C31" w:rsidRDefault="00743990" w:rsidP="00FC2CC6">
      <w:pPr>
        <w:pStyle w:val="NoSpacing"/>
        <w:spacing w:after="240" w:line="600" w:lineRule="exact"/>
        <w:ind w:firstLine="720"/>
      </w:pPr>
      <w:r w:rsidRPr="00E16C31">
        <w:t xml:space="preserve">We </w:t>
      </w:r>
      <w:r w:rsidR="00713180">
        <w:t xml:space="preserve">base our calculations on the observed differences in total earnings between the treatment and control groups in both the KLPS-2 and KLPS-3 survey rounds, and focus on the average treatment effect when pooling this data; this is likely to be somewhat conservative since the magnitude of average treatment effects is rising over time (Figure 1). </w:t>
      </w:r>
    </w:p>
    <w:p w14:paraId="1F6FDDBD" w14:textId="1E29802B" w:rsidR="00743990" w:rsidRDefault="00743990" w:rsidP="00FC2CC6">
      <w:pPr>
        <w:spacing w:after="240" w:line="600" w:lineRule="exact"/>
      </w:pPr>
      <w:r w:rsidRPr="00E16C31">
        <w:tab/>
        <w:t xml:space="preserve">For projections about the future path of earnings and thus </w:t>
      </w:r>
      <w:r w:rsidR="00763F0E">
        <w:t xml:space="preserve">government </w:t>
      </w:r>
      <w:r w:rsidRPr="00E16C31">
        <w:t xml:space="preserve">revenues, we </w:t>
      </w:r>
      <w:r w:rsidR="00763F0E">
        <w:t xml:space="preserve">examine </w:t>
      </w:r>
      <w:r w:rsidR="00D56306">
        <w:t xml:space="preserve">the following </w:t>
      </w:r>
      <w:r w:rsidR="00763F0E">
        <w:t>expression</w:t>
      </w:r>
      <w:r w:rsidR="00D56306">
        <w:t>:</w:t>
      </w:r>
    </w:p>
    <w:p w14:paraId="3926BC8D" w14:textId="7FA28737" w:rsidR="00A643DE" w:rsidRDefault="00A643DE" w:rsidP="00A643DE">
      <w:pPr>
        <w:spacing w:after="240" w:line="600" w:lineRule="exact"/>
        <w:jc w:val="right"/>
      </w:pPr>
      <w:r>
        <w:t>(2)</w:t>
      </w:r>
    </w:p>
    <w:tbl>
      <w:tblPr>
        <w:tblW w:w="16224" w:type="dxa"/>
        <w:tblLayout w:type="fixed"/>
        <w:tblCellMar>
          <w:left w:w="0" w:type="dxa"/>
          <w:right w:w="0" w:type="dxa"/>
        </w:tblCellMar>
        <w:tblLook w:val="04A0" w:firstRow="1" w:lastRow="0" w:firstColumn="1" w:lastColumn="0" w:noHBand="0" w:noVBand="1"/>
      </w:tblPr>
      <w:tblGrid>
        <w:gridCol w:w="8112"/>
        <w:gridCol w:w="8112"/>
      </w:tblGrid>
      <w:tr w:rsidR="00713180" w:rsidRPr="00E16C31" w14:paraId="118E2A68" w14:textId="66F1E218" w:rsidTr="006676D2">
        <w:trPr>
          <w:trHeight w:val="2109"/>
        </w:trPr>
        <w:tc>
          <w:tcPr>
            <w:tcW w:w="8112" w:type="dxa"/>
            <w:vAlign w:val="center"/>
          </w:tcPr>
          <w:p w14:paraId="219A55F5" w14:textId="3352D425" w:rsidR="00713180" w:rsidRPr="00C450A2" w:rsidRDefault="00713180" w:rsidP="00A643DE">
            <w:pPr>
              <w:pStyle w:val="NoSpacing"/>
              <w:spacing w:after="240" w:line="600" w:lineRule="exact"/>
              <w:rPr>
                <w:iCs/>
              </w:rPr>
            </w:pPr>
            <m:oMathPara>
              <m:oMath>
                <m:r>
                  <w:rPr>
                    <w:rFonts w:ascii="Cambria Math" w:hAnsi="Cambria Math"/>
                  </w:rPr>
                  <w:lastRenderedPageBreak/>
                  <m:t>SQ</m:t>
                </m:r>
                <m:d>
                  <m:dPr>
                    <m:ctrlPr>
                      <w:rPr>
                        <w:rFonts w:ascii="Cambria Math" w:hAnsi="Cambria Math"/>
                        <w:i/>
                        <w:iCs/>
                      </w:rPr>
                    </m:ctrlPr>
                  </m:dPr>
                  <m:e>
                    <m:r>
                      <w:rPr>
                        <w:rFonts w:ascii="Cambria Math" w:hAnsi="Cambria Math"/>
                      </w:rPr>
                      <m:t>S</m:t>
                    </m:r>
                  </m:e>
                </m:d>
                <m:r>
                  <w:rPr>
                    <w:rFonts w:ascii="Cambria Math" w:hAnsi="Cambria Math"/>
                  </w:rPr>
                  <m:t>&lt;τ</m:t>
                </m:r>
                <m:nary>
                  <m:naryPr>
                    <m:chr m:val="∑"/>
                    <m:limLoc m:val="undOvr"/>
                    <m:ctrlPr>
                      <w:rPr>
                        <w:rFonts w:ascii="Cambria Math" w:hAnsi="Cambria Math"/>
                        <w:i/>
                        <w:iCs/>
                      </w:rPr>
                    </m:ctrlPr>
                  </m:naryPr>
                  <m:sub>
                    <m:r>
                      <w:rPr>
                        <w:rFonts w:ascii="Cambria Math" w:hAnsi="Cambria Math"/>
                      </w:rPr>
                      <m:t>t=10</m:t>
                    </m:r>
                  </m:sub>
                  <m:sup>
                    <m:r>
                      <w:rPr>
                        <w:rFonts w:ascii="Cambria Math" w:hAnsi="Cambria Math"/>
                      </w:rPr>
                      <m:t>t=50</m:t>
                    </m:r>
                  </m:sup>
                  <m:e>
                    <m:r>
                      <w:rPr>
                        <w:rFonts w:ascii="Cambria Math" w:hAnsi="Cambria Math"/>
                      </w:rPr>
                      <m:t>β</m:t>
                    </m:r>
                    <m:sSup>
                      <m:sSupPr>
                        <m:ctrlPr>
                          <w:rPr>
                            <w:rFonts w:ascii="Cambria Math" w:hAnsi="Cambria Math"/>
                            <w:i/>
                            <w:iCs/>
                          </w:rPr>
                        </m:ctrlPr>
                      </m:sSupPr>
                      <m:e>
                        <m:d>
                          <m:dPr>
                            <m:ctrlPr>
                              <w:rPr>
                                <w:rFonts w:ascii="Cambria Math" w:hAnsi="Cambria Math"/>
                                <w:i/>
                                <w:iCs/>
                              </w:rPr>
                            </m:ctrlPr>
                          </m:dPr>
                          <m:e>
                            <m:r>
                              <w:rPr>
                                <w:rFonts w:ascii="Cambria Math" w:hAnsi="Cambria Math"/>
                              </w:rPr>
                              <m:t>1+g</m:t>
                            </m:r>
                          </m:e>
                        </m:d>
                      </m:e>
                      <m:sup>
                        <m:r>
                          <w:rPr>
                            <w:rFonts w:ascii="Cambria Math" w:hAnsi="Cambria Math"/>
                          </w:rPr>
                          <m:t>t-9</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1+r</m:t>
                                </m:r>
                              </m:den>
                            </m:f>
                          </m:e>
                        </m:d>
                      </m:e>
                      <m:sup>
                        <m:r>
                          <w:rPr>
                            <w:rFonts w:ascii="Cambria Math" w:hAnsi="Cambria Math"/>
                          </w:rPr>
                          <m:t>t</m:t>
                        </m:r>
                      </m:sup>
                    </m:sSup>
                  </m:e>
                </m:nary>
                <m:r>
                  <w:rPr>
                    <w:rFonts w:ascii="Cambria Math" w:hAnsi="Cambria Math"/>
                  </w:rPr>
                  <m:t>-K</m:t>
                </m:r>
                <m:nary>
                  <m:naryPr>
                    <m:chr m:val="∑"/>
                    <m:limLoc m:val="undOvr"/>
                    <m:ctrlPr>
                      <w:rPr>
                        <w:rFonts w:ascii="Cambria Math" w:hAnsi="Cambria Math"/>
                        <w:i/>
                        <w:iCs/>
                      </w:rPr>
                    </m:ctrlPr>
                  </m:naryPr>
                  <m:sub>
                    <m:r>
                      <w:rPr>
                        <w:rFonts w:ascii="Cambria Math" w:hAnsi="Cambria Math"/>
                      </w:rPr>
                      <m:t>t=0</m:t>
                    </m:r>
                  </m:sub>
                  <m:sup>
                    <m:r>
                      <w:rPr>
                        <w:rFonts w:ascii="Cambria Math" w:hAnsi="Cambria Math"/>
                      </w:rPr>
                      <m:t>t=9</m:t>
                    </m:r>
                  </m:sup>
                  <m:e>
                    <m:r>
                      <m:rPr>
                        <m:sty m:val="p"/>
                      </m:rPr>
                      <w:rPr>
                        <w:rFonts w:ascii="Cambria Math" w:hAnsi="Cambria Math"/>
                      </w:rPr>
                      <m:t>Δ</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E</m:t>
                            </m:r>
                          </m:e>
                        </m:acc>
                      </m:e>
                      <m:sub>
                        <m:r>
                          <w:rPr>
                            <w:rFonts w:ascii="Cambria Math" w:hAnsi="Cambria Math"/>
                          </w:rPr>
                          <m:t>t</m:t>
                        </m:r>
                      </m:sub>
                    </m:sSub>
                    <m:d>
                      <m:dPr>
                        <m:ctrlPr>
                          <w:rPr>
                            <w:rFonts w:ascii="Cambria Math" w:hAnsi="Cambria Math"/>
                            <w:i/>
                            <w:iCs/>
                          </w:rPr>
                        </m:ctrlPr>
                      </m:dPr>
                      <m:e>
                        <m:r>
                          <w:rPr>
                            <w:rFonts w:ascii="Cambria Math" w:hAnsi="Cambria Math"/>
                          </w:rPr>
                          <m:t>S</m:t>
                        </m:r>
                      </m:e>
                    </m:d>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1+r</m:t>
                                </m:r>
                              </m:den>
                            </m:f>
                          </m:e>
                        </m:d>
                      </m:e>
                      <m:sup>
                        <m:r>
                          <w:rPr>
                            <w:rFonts w:ascii="Cambria Math" w:hAnsi="Cambria Math"/>
                          </w:rPr>
                          <m:t>t</m:t>
                        </m:r>
                      </m:sup>
                    </m:sSup>
                    <m:r>
                      <w:rPr>
                        <w:rFonts w:ascii="Cambria Math" w:hAnsi="Cambria Math"/>
                      </w:rPr>
                      <m:t> </m:t>
                    </m:r>
                  </m:e>
                </m:nary>
              </m:oMath>
            </m:oMathPara>
          </w:p>
        </w:tc>
        <w:tc>
          <w:tcPr>
            <w:tcW w:w="8112" w:type="dxa"/>
            <w:vAlign w:val="center"/>
          </w:tcPr>
          <w:p w14:paraId="687B96E5" w14:textId="1C59E551" w:rsidR="00713180" w:rsidRDefault="00713180" w:rsidP="00713180">
            <w:pPr>
              <w:pStyle w:val="NoSpacing"/>
              <w:spacing w:after="240" w:line="600" w:lineRule="exact"/>
              <w:rPr>
                <w:i/>
              </w:rPr>
            </w:pPr>
          </w:p>
        </w:tc>
      </w:tr>
    </w:tbl>
    <w:p w14:paraId="695C960F" w14:textId="3A6F7505" w:rsidR="002F5B86" w:rsidRPr="00E16C31" w:rsidRDefault="00877FF2" w:rsidP="00A643DE">
      <w:pPr>
        <w:spacing w:after="240" w:line="600" w:lineRule="exact"/>
        <w:ind w:firstLine="720"/>
      </w:pPr>
      <w:r>
        <w:t xml:space="preserve">The left hand side is the </w:t>
      </w:r>
      <w:r w:rsidR="006A3C4C">
        <w:t xml:space="preserve">fiscal </w:t>
      </w:r>
      <w:r>
        <w:t xml:space="preserve">cost to the </w:t>
      </w:r>
      <w:r w:rsidR="00763F0E">
        <w:t xml:space="preserve">government </w:t>
      </w:r>
      <w:r>
        <w:t xml:space="preserve">of </w:t>
      </w:r>
      <w:r w:rsidR="00713180">
        <w:t xml:space="preserve">implementing </w:t>
      </w:r>
      <w:r>
        <w:t xml:space="preserve">a deworming subsidy </w:t>
      </w:r>
      <w:r w:rsidR="00713180">
        <w:t xml:space="preserve">at level </w:t>
      </w:r>
      <w:r>
        <w:rPr>
          <w:i/>
        </w:rPr>
        <w:t>S</w:t>
      </w:r>
      <w:r w:rsidR="00713180">
        <w:rPr>
          <w:i/>
        </w:rPr>
        <w:t xml:space="preserve"> &gt; 0</w:t>
      </w:r>
      <w:r w:rsidR="00713180">
        <w:t xml:space="preserve"> (relative to the case of no subsidies),</w:t>
      </w:r>
      <w:r>
        <w:t xml:space="preserve"> which in turn may affect deworming take-up </w:t>
      </w:r>
      <w:r>
        <w:rPr>
          <w:i/>
        </w:rPr>
        <w:t>Q</w:t>
      </w:r>
      <w:r w:rsidR="0025095B">
        <w:t>;</w:t>
      </w:r>
      <w:r>
        <w:t xml:space="preserve"> </w:t>
      </w:r>
      <w:r w:rsidR="0025095B">
        <w:t xml:space="preserve">take-up </w:t>
      </w:r>
      <w:r>
        <w:t>is non-decreasing in the subsidy.</w:t>
      </w:r>
      <w:r w:rsidR="00766EA3">
        <w:t xml:space="preserve"> </w:t>
      </w:r>
      <w:r w:rsidR="00713180">
        <w:t>We focus on the free treatment case, and use PSDP project data t</w:t>
      </w:r>
      <w:r w:rsidR="002F5B86" w:rsidRPr="00E16C31">
        <w:t xml:space="preserve">o compute </w:t>
      </w:r>
      <w:r w:rsidR="00054932">
        <w:t>this</w:t>
      </w:r>
      <w:r w:rsidR="00713180">
        <w:t xml:space="preserve"> (Miguel and Kremer 2004, </w:t>
      </w:r>
      <w:r w:rsidR="00A02C29">
        <w:fldChar w:fldCharType="begin"/>
      </w:r>
      <w:r w:rsidR="00A02C29">
        <w:instrText xml:space="preserve"> ADDIN EN.CITE &lt;EndNote&gt;&lt;Cite AuthorYear="1"&gt;&lt;Author&gt;Kremer&lt;/Author&gt;&lt;Year&gt;2007&lt;/Year&gt;&lt;RecNum&gt;46&lt;/RecNum&gt;&lt;DisplayText&gt;Kremer and Miguel (2007)&lt;/DisplayText&gt;&lt;record&gt;&lt;rec-number&gt;46&lt;/rec-number&gt;&lt;foreign-keys&gt;&lt;key app="EN" db-id="f2200x509a5tazeww0dpewfvxdwwe2zt9vxt" timestamp="1423860971"&gt;46&lt;/key&gt;&lt;/foreign-keys&gt;&lt;ref-type name="Journal Article"&gt;17&lt;/ref-type&gt;&lt;contributors&gt;&lt;authors&gt;&lt;author&gt;Michael Kremer&lt;/author&gt;&lt;author&gt;Miguel, Edward&lt;/author&gt;&lt;/authors&gt;&lt;/contributors&gt;&lt;titles&gt;&lt;title&gt;The Illusion of Sustainability&lt;/title&gt;&lt;secondary-title&gt;Quarterly Journal of Economics&lt;/secondary-title&gt;&lt;/titles&gt;&lt;periodical&gt;&lt;full-title&gt;Quarterly Journal of Economics&lt;/full-title&gt;&lt;/periodical&gt;&lt;pages&gt;1007-1065&lt;/pages&gt;&lt;volume&gt;112&lt;/volume&gt;&lt;number&gt;3&lt;/number&gt;&lt;dates&gt;&lt;year&gt;2007&lt;/year&gt;&lt;/dates&gt;&lt;urls&gt;&lt;/urls&gt;&lt;/record&gt;&lt;/Cite&gt;&lt;/EndNote&gt;</w:instrText>
      </w:r>
      <w:r w:rsidR="00A02C29">
        <w:fldChar w:fldCharType="separate"/>
      </w:r>
      <w:r w:rsidR="00A02C29">
        <w:rPr>
          <w:noProof/>
        </w:rPr>
        <w:t>Kremer a</w:t>
      </w:r>
      <w:r w:rsidR="00713180">
        <w:rPr>
          <w:noProof/>
        </w:rPr>
        <w:t xml:space="preserve">nd Miguel </w:t>
      </w:r>
      <w:r w:rsidR="00A02C29">
        <w:rPr>
          <w:noProof/>
        </w:rPr>
        <w:t>2007)</w:t>
      </w:r>
      <w:r w:rsidR="00A02C29">
        <w:fldChar w:fldCharType="end"/>
      </w:r>
      <w:r w:rsidR="002F5B86" w:rsidRPr="00E16C31">
        <w:t xml:space="preserve">, </w:t>
      </w:r>
      <w:r w:rsidR="00713180">
        <w:t xml:space="preserve">together with </w:t>
      </w:r>
      <w:r w:rsidR="002F5B86" w:rsidRPr="00E16C31">
        <w:t xml:space="preserve">current estimates of per pupil mass deworming treatment costs (provided by the NGO Deworm The World) of $0.59 per year. The total direct deworming cost then is the 2.41 years of average deworming in the treatment group times this figure, or </w:t>
      </w:r>
      <m:oMath>
        <m:r>
          <w:rPr>
            <w:rFonts w:ascii="Cambria Math" w:hAnsi="Cambria Math"/>
          </w:rPr>
          <m:t>M</m:t>
        </m:r>
      </m:oMath>
      <w:r w:rsidR="002F5B86" w:rsidRPr="00E16C31">
        <w:t xml:space="preserve"> = $1.42 per person treated and $1.07 per pupil in a deworming treatment school</w:t>
      </w:r>
      <w:r w:rsidR="00713180">
        <w:t>, given average take-up of 75%.</w:t>
      </w:r>
    </w:p>
    <w:p w14:paraId="6F3D5D1A" w14:textId="7480BFA7" w:rsidR="00B56E54" w:rsidRPr="00C450A2" w:rsidRDefault="002F5B86" w:rsidP="00FC2CC6">
      <w:pPr>
        <w:spacing w:after="240" w:line="600" w:lineRule="exact"/>
      </w:pPr>
      <w:r>
        <w:tab/>
      </w:r>
      <w:r w:rsidR="0025095B">
        <w:t xml:space="preserve">The right hand side captures the implications for government revenue of </w:t>
      </w:r>
      <w:r w:rsidR="00713180">
        <w:t xml:space="preserve">introducing </w:t>
      </w:r>
      <w:r w:rsidR="0025095B">
        <w:t xml:space="preserve">the subsidy. The first term captures the increase in tax revenue generated by any increase </w:t>
      </w:r>
      <m:oMath>
        <m:r>
          <w:rPr>
            <w:rFonts w:ascii="Cambria Math" w:hAnsi="Cambria Math"/>
          </w:rPr>
          <m:t>β</m:t>
        </m:r>
      </m:oMath>
      <w:r w:rsidR="00713180">
        <w:t xml:space="preserve"> </w:t>
      </w:r>
      <w:r w:rsidR="0025095B">
        <w:t xml:space="preserve">in </w:t>
      </w:r>
      <w:r w:rsidR="00713180">
        <w:t>earnings in the treatment group</w:t>
      </w:r>
      <w:r w:rsidR="0025095B">
        <w:t xml:space="preserve">: </w:t>
      </w:r>
      <m:oMath>
        <m:r>
          <w:rPr>
            <w:rFonts w:ascii="Cambria Math" w:hAnsi="Cambria Math"/>
          </w:rPr>
          <m:t>τ</m:t>
        </m:r>
      </m:oMath>
      <w:r w:rsidR="00713180">
        <w:t xml:space="preserve"> </w:t>
      </w:r>
      <w:r w:rsidR="0025095B">
        <w:t xml:space="preserve">is the prevailing tax rate; </w:t>
      </w:r>
      <w:r w:rsidR="00C450A2">
        <w:t xml:space="preserve">and </w:t>
      </w:r>
      <w:r w:rsidR="0025095B">
        <w:rPr>
          <w:i/>
        </w:rPr>
        <w:t>r</w:t>
      </w:r>
      <w:r w:rsidR="0025095B">
        <w:t xml:space="preserve"> </w:t>
      </w:r>
      <w:r w:rsidR="00C450A2">
        <w:t xml:space="preserve">is </w:t>
      </w:r>
      <w:proofErr w:type="gramStart"/>
      <w:r w:rsidR="00C450A2">
        <w:t>the per</w:t>
      </w:r>
      <w:proofErr w:type="gramEnd"/>
      <w:r w:rsidR="00C450A2">
        <w:t xml:space="preserve"> period interest rate.</w:t>
      </w:r>
      <w:r w:rsidR="00524185">
        <w:t xml:space="preserve"> These gains are captured over </w:t>
      </w:r>
      <w:r w:rsidR="00B83265">
        <w:t xml:space="preserve">an individual’s </w:t>
      </w:r>
      <w:r w:rsidR="00524185">
        <w:t>working life</w:t>
      </w:r>
      <w:r w:rsidR="00B56E54">
        <w:t>, which we take to be 50 years</w:t>
      </w:r>
      <w:r w:rsidR="00524185">
        <w:t>.</w:t>
      </w:r>
      <w:r w:rsidR="00374322">
        <w:t xml:space="preserve"> </w:t>
      </w:r>
      <w:r w:rsidR="00C450A2">
        <w:t xml:space="preserve">We assume that recent Kenyan economic growth trends continue, increasing incomes proportionally at rate </w:t>
      </w:r>
      <w:r w:rsidR="00C450A2">
        <w:rPr>
          <w:i/>
        </w:rPr>
        <w:t>g</w:t>
      </w:r>
      <w:r w:rsidR="00C450A2">
        <w:t xml:space="preserve"> in both the treatment and control groups. To be conservative regarding benefits, we ignore any gains from cross-school deworming treatment externalities</w:t>
      </w:r>
      <w:r w:rsidR="00111D9A">
        <w:t xml:space="preserve">, or in other populations (as documented in </w:t>
      </w:r>
      <w:proofErr w:type="spellStart"/>
      <w:r w:rsidR="00111D9A">
        <w:t>Ozier</w:t>
      </w:r>
      <w:proofErr w:type="spellEnd"/>
      <w:r w:rsidR="00111D9A">
        <w:t xml:space="preserve"> 2017)</w:t>
      </w:r>
      <w:r w:rsidR="00C450A2">
        <w:t>.</w:t>
      </w:r>
    </w:p>
    <w:p w14:paraId="6B1E3D6B" w14:textId="77777777" w:rsidR="00C450A2" w:rsidRDefault="003E6CA1" w:rsidP="00FC2CC6">
      <w:pPr>
        <w:pStyle w:val="NoSpacing"/>
        <w:spacing w:after="240" w:line="600" w:lineRule="exact"/>
        <w:ind w:firstLine="720"/>
      </w:pPr>
      <w:r>
        <w:lastRenderedPageBreak/>
        <w:t>The second term in the square brackets accounts for the fact that improved child health may lead the government to accrue additional educational expenditures, for instance, if sec</w:t>
      </w:r>
      <w:r w:rsidR="00C450A2">
        <w:t xml:space="preserve">ondary schooling rates increase, </w:t>
      </w:r>
      <w:r>
        <w:t>which we find for females</w:t>
      </w:r>
      <w:r w:rsidR="00C450A2">
        <w:t xml:space="preserve"> in our sample</w:t>
      </w:r>
      <w:r>
        <w:t xml:space="preserve">. </w:t>
      </w:r>
      <w:r w:rsidR="00374322">
        <w:t xml:space="preserve">Let </w:t>
      </w:r>
      <w:r w:rsidR="00374322">
        <w:rPr>
          <w:i/>
        </w:rPr>
        <w:t>K</w:t>
      </w:r>
      <w:r w:rsidR="00374322">
        <w:t xml:space="preserve"> capture the cost of an additional unit of schooling, and </w:t>
      </w:r>
      <m:oMath>
        <m:r>
          <m:rPr>
            <m:sty m:val="p"/>
          </m:rP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t</m:t>
            </m:r>
          </m:sub>
        </m:sSub>
        <m:d>
          <m:dPr>
            <m:ctrlPr>
              <w:rPr>
                <w:rFonts w:ascii="Cambria Math" w:hAnsi="Cambria Math"/>
                <w:i/>
              </w:rPr>
            </m:ctrlPr>
          </m:dPr>
          <m:e>
            <m:r>
              <w:rPr>
                <w:rFonts w:ascii="Cambria Math" w:hAnsi="Cambria Math"/>
              </w:rPr>
              <m:t>S</m:t>
            </m:r>
          </m:e>
        </m:d>
      </m:oMath>
      <w:r w:rsidR="00374322">
        <w:t xml:space="preserve"> denote the average increase in schooling when the </w:t>
      </w:r>
      <w:r w:rsidR="002F5B86">
        <w:t xml:space="preserve">deworming </w:t>
      </w:r>
      <w:r w:rsidR="00374322">
        <w:t xml:space="preserve">subsidy </w:t>
      </w:r>
      <w:r w:rsidR="00C450A2">
        <w:t>is introduced</w:t>
      </w:r>
      <w:r w:rsidR="00374322">
        <w:t xml:space="preserve">. </w:t>
      </w:r>
    </w:p>
    <w:p w14:paraId="3478B4E5" w14:textId="5D38FE51" w:rsidR="00743990" w:rsidRPr="00E16C31" w:rsidRDefault="00743990" w:rsidP="00C450A2">
      <w:pPr>
        <w:pStyle w:val="NoSpacing"/>
        <w:spacing w:after="240" w:line="600" w:lineRule="exact"/>
        <w:ind w:firstLine="720"/>
      </w:pPr>
      <w:r w:rsidRPr="00E16C31">
        <w:t>To compute the right hand side</w:t>
      </w:r>
      <w:r>
        <w:t xml:space="preserve"> of eqn. </w:t>
      </w:r>
      <w:r w:rsidR="00C450A2">
        <w:t>2</w:t>
      </w:r>
      <w:r w:rsidRPr="00E16C31">
        <w:t xml:space="preserve">, we use a combination of estimates from this paper and other </w:t>
      </w:r>
      <w:r w:rsidR="00B83265">
        <w:t>Kenyan data</w:t>
      </w:r>
      <w:r w:rsidRPr="00E16C31">
        <w:t xml:space="preserve">. </w:t>
      </w:r>
      <w:r w:rsidR="00C450A2">
        <w:t>The increase in earnings due to deworming subsidies is our preferred pooled KLPS-2 and KLPS-3 estimate from Table 2 (Panel A, column 1)</w:t>
      </w:r>
      <w:r w:rsidR="00F1380B">
        <w:t>, namely, $3.43 per month</w:t>
      </w:r>
      <w:r w:rsidR="00C450A2">
        <w:t xml:space="preserve">. </w:t>
      </w:r>
      <w:commentRangeStart w:id="5"/>
      <w:r w:rsidRPr="00E16C31">
        <w:t xml:space="preserve">At the time </w:t>
      </w:r>
      <w:r w:rsidR="00C450A2">
        <w:t>KLPS-2 and KLPS-3 were being collected</w:t>
      </w:r>
      <w:r w:rsidRPr="00E16C31">
        <w:t xml:space="preserve">, the Government of Kenya </w:t>
      </w:r>
      <w:r w:rsidR="00C450A2">
        <w:t xml:space="preserve">paid </w:t>
      </w:r>
      <w:r w:rsidRPr="00E16C31">
        <w:t xml:space="preserve">11.85% interest on its sovereign debt and inflation </w:t>
      </w:r>
      <w:r w:rsidR="00C450A2">
        <w:t xml:space="preserve">was </w:t>
      </w:r>
      <w:r w:rsidRPr="00E16C31">
        <w:t xml:space="preserve">approximately 2%, so we set the real cost of capital </w:t>
      </w:r>
      <m:oMath>
        <m:r>
          <w:rPr>
            <w:rFonts w:ascii="Cambria Math" w:hAnsi="Cambria Math"/>
          </w:rPr>
          <m:t>r</m:t>
        </m:r>
      </m:oMath>
      <w:r w:rsidRPr="00E16C31">
        <w:t xml:space="preserve"> to 9.85%.</w:t>
      </w:r>
      <w:r w:rsidRPr="00E16C31">
        <w:rPr>
          <w:rStyle w:val="FootnoteReference"/>
          <w:sz w:val="24"/>
        </w:rPr>
        <w:footnoteReference w:id="11"/>
      </w:r>
      <w:commentRangeEnd w:id="5"/>
      <w:r w:rsidR="00C450A2">
        <w:rPr>
          <w:rStyle w:val="CommentReference"/>
        </w:rPr>
        <w:commentReference w:id="5"/>
      </w:r>
      <w:r w:rsidRPr="00E16C31">
        <w:t xml:space="preserve"> We assume that the sample population begins working ten years after they first began receiving deworming and retires after 40 years of work.</w:t>
      </w:r>
      <w:r w:rsidRPr="00E16C31">
        <w:rPr>
          <w:rStyle w:val="FootnoteReference"/>
          <w:sz w:val="24"/>
        </w:rPr>
        <w:footnoteReference w:id="12"/>
      </w:r>
      <w:r w:rsidRPr="00E16C31">
        <w:t xml:space="preserve">  </w:t>
      </w:r>
      <w:r w:rsidR="003A0F6F">
        <w:t>F</w:t>
      </w:r>
      <w:r w:rsidR="003A0F6F" w:rsidRPr="00E16C31">
        <w:t>rom year 10 post-treatment onwards</w:t>
      </w:r>
      <w:r w:rsidR="003A0F6F">
        <w:t xml:space="preserve">, </w:t>
      </w:r>
      <w:r w:rsidR="00F1380B">
        <w:t xml:space="preserve">they experience the average deworming earnings treatment effect (from Table 2), and we assume that per capita income growth continues at a rate of </w:t>
      </w:r>
      <w:commentRangeStart w:id="6"/>
      <w:r w:rsidR="00F1380B">
        <w:t>1.52% per year</w:t>
      </w:r>
      <w:commentRangeEnd w:id="6"/>
      <w:r w:rsidR="00F1380B">
        <w:rPr>
          <w:rStyle w:val="CommentReference"/>
        </w:rPr>
        <w:commentReference w:id="6"/>
      </w:r>
      <w:r w:rsidR="00F1380B">
        <w:t xml:space="preserve"> (the average over the period according to World Development Indicators data). </w:t>
      </w:r>
      <w:r w:rsidRPr="00E16C31">
        <w:t>Kenyan taxes (mainly on consumption) absorb roughly 16.</w:t>
      </w:r>
      <w:r w:rsidR="00332A48">
        <w:t>6</w:t>
      </w:r>
      <w:r w:rsidRPr="00E16C31">
        <w:t xml:space="preserve">% of GDP so we set the tax rate </w:t>
      </w:r>
      <m:oMath>
        <m:r>
          <w:rPr>
            <w:rFonts w:ascii="Cambria Math" w:hAnsi="Cambria Math"/>
          </w:rPr>
          <m:t>τ</m:t>
        </m:r>
      </m:oMath>
      <w:r w:rsidR="00F1380B" w:rsidRPr="00E16C31">
        <w:t xml:space="preserve"> </w:t>
      </w:r>
      <w:r w:rsidRPr="00E16C31">
        <w:t>to 16.</w:t>
      </w:r>
      <w:r w:rsidR="00700D9B">
        <w:t>6</w:t>
      </w:r>
      <w:r w:rsidRPr="00E16C31">
        <w:t>%.</w:t>
      </w:r>
      <w:r w:rsidRPr="00E16C31">
        <w:rPr>
          <w:rStyle w:val="FootnoteReference"/>
          <w:sz w:val="24"/>
        </w:rPr>
        <w:footnoteReference w:id="13"/>
      </w:r>
    </w:p>
    <w:p w14:paraId="15C080B9" w14:textId="1534F2C8" w:rsidR="00743990" w:rsidRPr="00E16C31" w:rsidRDefault="00F1380B" w:rsidP="00FC2CC6">
      <w:pPr>
        <w:pStyle w:val="NoSpacing"/>
        <w:spacing w:after="240" w:line="600" w:lineRule="exact"/>
        <w:ind w:firstLine="720"/>
      </w:pPr>
      <w:r>
        <w:lastRenderedPageBreak/>
        <w:t xml:space="preserve">Following Baird et al (2016), we estimate </w:t>
      </w:r>
      <w:r w:rsidR="00743990" w:rsidRPr="00E16C31">
        <w:t xml:space="preserve">deworming impacts on school enrollment by gender and year, and also gathered detailed information on current teacher salaries and class sizes from the Ministry of Education, allowing us to estimate per capita schooling costs </w:t>
      </w:r>
      <m:oMath>
        <m:r>
          <w:rPr>
            <w:rFonts w:ascii="Cambria Math" w:hAnsi="Cambria Math"/>
          </w:rPr>
          <m:t>K</m:t>
        </m:r>
      </m:oMath>
      <w:r w:rsidR="00743990" w:rsidRPr="00E16C31">
        <w:t xml:space="preserve"> for both primary and secondary schooling. Because the PSDP program did not increase the number of teachers or classrooms in primary schools, and there is no reason to believe the Kenyan government adjusted these factors in response to the program (based on </w:t>
      </w:r>
      <w:r w:rsidR="00BB755C">
        <w:t xml:space="preserve">our </w:t>
      </w:r>
      <w:r w:rsidR="00743990" w:rsidRPr="00E16C31">
        <w:t>observation</w:t>
      </w:r>
      <w:r w:rsidR="00BB755C">
        <w:t>s</w:t>
      </w:r>
      <w:r w:rsidR="00743990" w:rsidRPr="00E16C31">
        <w:t xml:space="preserve"> as well as on discussions with local officials), any costs of increased classroom congestion at the primary level due to deworming would have been incurred by students in these schools and thus is already captured in the labor market outcomes in our data.  We therefore focus on measuring the fiscal costs to the government of increased secondary school enrollment, since these costs would be incurred either by the government (by paying for additional teachers) or by secondary school students.  Teacher salaries constitute the bulk of recurrent government education spending, at over 90% of secondary school spending</w:t>
      </w:r>
      <w:r w:rsidR="00921B49">
        <w:t xml:space="preserve"> </w:t>
      </w:r>
      <w:r w:rsidR="00921B49" w:rsidRPr="00B03538">
        <w:fldChar w:fldCharType="begin"/>
      </w:r>
      <w:r w:rsidR="00781891">
        <w:instrText xml:space="preserve"> ADDIN EN.CITE &lt;EndNote&gt;&lt;Cite&gt;&lt;Author&gt;Otieno&lt;/Author&gt;&lt;Year&gt;2009&lt;/Year&gt;&lt;RecNum&gt;55&lt;/RecNum&gt;&lt;DisplayText&gt;(Otieno and Colclough 2009)&lt;/DisplayText&gt;&lt;record&gt;&lt;rec-number&gt;55&lt;/rec-number&gt;&lt;foreign-keys&gt;&lt;key app="EN" db-id="f2200x509a5tazeww0dpewfvxdwwe2zt9vxt" timestamp="1453662338"&gt;55&lt;/key&gt;&lt;/foreign-keys&gt;&lt;ref-type name="Journal Article"&gt;17&lt;/ref-type&gt;&lt;contributors&gt;&lt;authors&gt;&lt;author&gt;Otieno, W. &lt;/author&gt;&lt;author&gt;Colclough, C.&lt;/author&gt;&lt;/authors&gt;&lt;/contributors&gt;&lt;titles&gt;&lt;title&gt;Financing Education in Kenya: Expenditures, Outcomes and the Role of International Aid&lt;/title&gt;&lt;secondary-title&gt;RECOUP Working Paper 25&lt;/secondary-title&gt;&lt;/titles&gt;&lt;periodical&gt;&lt;full-title&gt;RECOUP Working Paper 25&lt;/full-title&gt;&lt;/periodical&gt;&lt;dates&gt;&lt;year&gt;2009&lt;/year&gt;&lt;/dates&gt;&lt;urls&gt;&lt;/urls&gt;&lt;/record&gt;&lt;/Cite&gt;&lt;/EndNote&gt;</w:instrText>
      </w:r>
      <w:r w:rsidR="00921B49" w:rsidRPr="00B03538">
        <w:fldChar w:fldCharType="separate"/>
      </w:r>
      <w:r w:rsidR="00B5552B">
        <w:rPr>
          <w:noProof/>
        </w:rPr>
        <w:t>(Otieno and Colclough 2009)</w:t>
      </w:r>
      <w:r w:rsidR="00921B49" w:rsidRPr="00B03538">
        <w:fldChar w:fldCharType="end"/>
      </w:r>
      <w:r w:rsidR="00743990" w:rsidRPr="00B03538">
        <w:t>, and</w:t>
      </w:r>
      <w:r w:rsidR="00743990" w:rsidRPr="00E16C31">
        <w:t xml:space="preserve"> most other expenses are traditionally covered by tuition and parent fees. We factor in the costs that the government would need to incur to maintain the </w:t>
      </w:r>
      <w:r w:rsidR="00AC4469" w:rsidRPr="00E16C31">
        <w:t xml:space="preserve">secondary school </w:t>
      </w:r>
      <w:r w:rsidR="00743990" w:rsidRPr="00E16C31">
        <w:t xml:space="preserve">pupil-teacher ratio, using our estimated per student secondary school teacher cost of $116.85 per year. </w:t>
      </w:r>
    </w:p>
    <w:p w14:paraId="1516F048" w14:textId="4F9375C7" w:rsidR="00743990" w:rsidRPr="00E16C31" w:rsidRDefault="00F1380B" w:rsidP="00FC2CC6">
      <w:pPr>
        <w:pStyle w:val="NoSpacing"/>
        <w:spacing w:after="240" w:line="600" w:lineRule="exact"/>
        <w:ind w:firstLine="720"/>
      </w:pPr>
      <w:r>
        <w:t xml:space="preserve">In this base case, </w:t>
      </w:r>
      <m:oMath>
        <m:nary>
          <m:naryPr>
            <m:chr m:val="∑"/>
            <m:limLoc m:val="undOvr"/>
            <m:ctrlPr>
              <w:rPr>
                <w:rFonts w:ascii="Cambria Math" w:hAnsi="Cambria Math"/>
                <w:i/>
                <w:iCs/>
              </w:rPr>
            </m:ctrlPr>
          </m:naryPr>
          <m:sub>
            <m:r>
              <w:rPr>
                <w:rFonts w:ascii="Cambria Math" w:hAnsi="Cambria Math"/>
              </w:rPr>
              <m:t>t=10</m:t>
            </m:r>
          </m:sub>
          <m:sup>
            <m:r>
              <w:rPr>
                <w:rFonts w:ascii="Cambria Math" w:hAnsi="Cambria Math"/>
              </w:rPr>
              <m:t>t=50</m:t>
            </m:r>
          </m:sup>
          <m:e>
            <m:r>
              <w:rPr>
                <w:rFonts w:ascii="Cambria Math" w:hAnsi="Cambria Math"/>
              </w:rPr>
              <m:t>β</m:t>
            </m:r>
            <m:sSup>
              <m:sSupPr>
                <m:ctrlPr>
                  <w:rPr>
                    <w:rFonts w:ascii="Cambria Math" w:hAnsi="Cambria Math"/>
                    <w:i/>
                    <w:iCs/>
                  </w:rPr>
                </m:ctrlPr>
              </m:sSupPr>
              <m:e>
                <m:d>
                  <m:dPr>
                    <m:ctrlPr>
                      <w:rPr>
                        <w:rFonts w:ascii="Cambria Math" w:hAnsi="Cambria Math"/>
                        <w:i/>
                        <w:iCs/>
                      </w:rPr>
                    </m:ctrlPr>
                  </m:dPr>
                  <m:e>
                    <m:r>
                      <w:rPr>
                        <w:rFonts w:ascii="Cambria Math" w:hAnsi="Cambria Math"/>
                      </w:rPr>
                      <m:t>1+g</m:t>
                    </m:r>
                  </m:e>
                </m:d>
              </m:e>
              <m:sup>
                <m:r>
                  <w:rPr>
                    <w:rFonts w:ascii="Cambria Math" w:hAnsi="Cambria Math"/>
                  </w:rPr>
                  <m:t>t-9</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1+r</m:t>
                        </m:r>
                      </m:den>
                    </m:f>
                  </m:e>
                </m:d>
              </m:e>
              <m:sup>
                <m:r>
                  <w:rPr>
                    <w:rFonts w:ascii="Cambria Math" w:hAnsi="Cambria Math"/>
                  </w:rPr>
                  <m:t>t</m:t>
                </m:r>
              </m:sup>
            </m:sSup>
          </m:e>
        </m:nary>
      </m:oMath>
      <w:r>
        <w:t>= $203.72</w:t>
      </w:r>
      <w:r w:rsidR="00743990" w:rsidRPr="00E16C31">
        <w:t>, implying that ind</w:t>
      </w:r>
      <w:r w:rsidR="00FA36B7">
        <w:t>ividuals gain an average of $203.72</w:t>
      </w:r>
      <w:r w:rsidR="00743990" w:rsidRPr="00E16C31">
        <w:t xml:space="preserve"> in take-home pay and the NPV of gov</w:t>
      </w:r>
      <w:r w:rsidR="00E16E8F">
        <w:t>ernment revenue increases by $33.77</w:t>
      </w:r>
      <w:r w:rsidR="00743990" w:rsidRPr="00E16C31">
        <w:t xml:space="preserve"> per person. The additional public educational costs incurred are estimated to be approximately $10.71, so the net increase</w:t>
      </w:r>
      <w:r w:rsidR="00E16E8F">
        <w:t xml:space="preserve"> in government revenue is $23.06</w:t>
      </w:r>
      <w:r w:rsidR="00743990" w:rsidRPr="00E16C31">
        <w:t xml:space="preserve">, far greater than the $1.07 subsidy.  </w:t>
      </w:r>
    </w:p>
    <w:p w14:paraId="24CE5449" w14:textId="34E325EF" w:rsidR="00743990" w:rsidRPr="00E16C31" w:rsidRDefault="00453B9B" w:rsidP="00FC2CC6">
      <w:pPr>
        <w:pStyle w:val="NoSpacing"/>
        <w:spacing w:after="240" w:line="600" w:lineRule="exact"/>
        <w:ind w:firstLine="720"/>
      </w:pPr>
      <w:r>
        <w:lastRenderedPageBreak/>
        <w:t xml:space="preserve">A standard approach to assessing the desirability of a program is to </w:t>
      </w:r>
      <w:r w:rsidR="00743990" w:rsidRPr="00E16C31">
        <w:t xml:space="preserve">calculate the social internal rate of return </w:t>
      </w:r>
      <w:r w:rsidR="00C236FE">
        <w:t>(IRR)</w:t>
      </w:r>
      <w:r>
        <w:t xml:space="preserve">, which solves </w:t>
      </w:r>
      <w:r w:rsidR="00743990" w:rsidRPr="00E16C31">
        <w:t xml:space="preserve">for the interest rate that equates the NPV of the full social cost and all earning gains, whether taxed or untaxed: </w:t>
      </w:r>
      <m:oMath>
        <m:r>
          <w:rPr>
            <w:rFonts w:ascii="Cambria Math" w:hAnsi="Cambria Math"/>
          </w:rPr>
          <m:t>MQ</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iCs/>
              </w:rPr>
            </m:ctrlPr>
          </m:naryPr>
          <m:sub>
            <m:r>
              <w:rPr>
                <w:rFonts w:ascii="Cambria Math" w:hAnsi="Cambria Math"/>
              </w:rPr>
              <m:t>t=10</m:t>
            </m:r>
          </m:sub>
          <m:sup>
            <m:r>
              <w:rPr>
                <w:rFonts w:ascii="Cambria Math" w:hAnsi="Cambria Math"/>
              </w:rPr>
              <m:t>t=50</m:t>
            </m:r>
          </m:sup>
          <m:e>
            <m:r>
              <w:rPr>
                <w:rFonts w:ascii="Cambria Math" w:hAnsi="Cambria Math"/>
              </w:rPr>
              <m:t>β</m:t>
            </m:r>
            <m:sSup>
              <m:sSupPr>
                <m:ctrlPr>
                  <w:rPr>
                    <w:rFonts w:ascii="Cambria Math" w:hAnsi="Cambria Math"/>
                    <w:i/>
                    <w:iCs/>
                  </w:rPr>
                </m:ctrlPr>
              </m:sSupPr>
              <m:e>
                <m:d>
                  <m:dPr>
                    <m:ctrlPr>
                      <w:rPr>
                        <w:rFonts w:ascii="Cambria Math" w:hAnsi="Cambria Math"/>
                        <w:i/>
                        <w:iCs/>
                      </w:rPr>
                    </m:ctrlPr>
                  </m:dPr>
                  <m:e>
                    <m:r>
                      <w:rPr>
                        <w:rFonts w:ascii="Cambria Math" w:hAnsi="Cambria Math"/>
                      </w:rPr>
                      <m:t>1+g</m:t>
                    </m:r>
                  </m:e>
                </m:d>
              </m:e>
              <m:sup>
                <m:r>
                  <w:rPr>
                    <w:rFonts w:ascii="Cambria Math" w:hAnsi="Cambria Math"/>
                  </w:rPr>
                  <m:t>t-9</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1+r</m:t>
                        </m:r>
                      </m:den>
                    </m:f>
                  </m:e>
                </m:d>
              </m:e>
              <m:sup>
                <m:r>
                  <w:rPr>
                    <w:rFonts w:ascii="Cambria Math" w:hAnsi="Cambria Math"/>
                  </w:rPr>
                  <m:t>t</m:t>
                </m:r>
              </m:sup>
            </m:sSup>
          </m:e>
        </m:nary>
        <m:r>
          <w:rPr>
            <w:rFonts w:ascii="Cambria Math" w:hAnsi="Cambria Math"/>
          </w:rPr>
          <m:t>-K</m:t>
        </m:r>
        <m:nary>
          <m:naryPr>
            <m:chr m:val="∑"/>
            <m:limLoc m:val="undOvr"/>
            <m:ctrlPr>
              <w:rPr>
                <w:rFonts w:ascii="Cambria Math" w:hAnsi="Cambria Math"/>
                <w:i/>
                <w:iCs/>
              </w:rPr>
            </m:ctrlPr>
          </m:naryPr>
          <m:sub>
            <m:r>
              <w:rPr>
                <w:rFonts w:ascii="Cambria Math" w:hAnsi="Cambria Math"/>
              </w:rPr>
              <m:t>t=0</m:t>
            </m:r>
          </m:sub>
          <m:sup>
            <m:r>
              <w:rPr>
                <w:rFonts w:ascii="Cambria Math" w:hAnsi="Cambria Math"/>
              </w:rPr>
              <m:t>t=9</m:t>
            </m:r>
          </m:sup>
          <m:e>
            <m:r>
              <m:rPr>
                <m:sty m:val="p"/>
              </m:rPr>
              <w:rPr>
                <w:rFonts w:ascii="Cambria Math" w:hAnsi="Cambria Math"/>
              </w:rPr>
              <m:t>Δ</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E</m:t>
                    </m:r>
                  </m:e>
                </m:acc>
              </m:e>
              <m:sub>
                <m:r>
                  <w:rPr>
                    <w:rFonts w:ascii="Cambria Math" w:hAnsi="Cambria Math"/>
                  </w:rPr>
                  <m:t>t</m:t>
                </m:r>
              </m:sub>
            </m:sSub>
            <m:d>
              <m:dPr>
                <m:ctrlPr>
                  <w:rPr>
                    <w:rFonts w:ascii="Cambria Math" w:hAnsi="Cambria Math"/>
                    <w:i/>
                    <w:iCs/>
                  </w:rPr>
                </m:ctrlPr>
              </m:dPr>
              <m:e>
                <m:r>
                  <w:rPr>
                    <w:rFonts w:ascii="Cambria Math" w:hAnsi="Cambria Math"/>
                  </w:rPr>
                  <m:t>S</m:t>
                </m:r>
              </m:e>
            </m:d>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1+r</m:t>
                        </m:r>
                      </m:den>
                    </m:f>
                  </m:e>
                </m:d>
              </m:e>
              <m:sup>
                <m:r>
                  <w:rPr>
                    <w:rFonts w:ascii="Cambria Math" w:hAnsi="Cambria Math"/>
                  </w:rPr>
                  <m:t>t</m:t>
                </m:r>
              </m:sup>
            </m:sSup>
          </m:e>
        </m:nary>
      </m:oMath>
      <w:r w:rsidR="00743990" w:rsidRPr="00E16C31">
        <w:t xml:space="preserve">. The annualized social IRR is </w:t>
      </w:r>
      <w:r>
        <w:t xml:space="preserve">very </w:t>
      </w:r>
      <w:r w:rsidR="0087548B">
        <w:t>high at 42.2</w:t>
      </w:r>
      <w:r w:rsidR="00743990" w:rsidRPr="00E16C31">
        <w:t>%.</w:t>
      </w:r>
    </w:p>
    <w:p w14:paraId="58A2EAB3" w14:textId="1F11066C" w:rsidR="00B13228" w:rsidRDefault="0087548B" w:rsidP="00C82E5E">
      <w:pPr>
        <w:pStyle w:val="NoSpacing"/>
        <w:spacing w:after="240" w:line="600" w:lineRule="exact"/>
        <w:ind w:firstLine="720"/>
      </w:pPr>
      <w:r>
        <w:t xml:space="preserve">The main result that deworming is a very cost-effective investment holds across a range of alternative assumptions. First, we consider the case in which we assume that the average deworming treatment effect on earnings will remain constant for the remainder of these individuals’ work lives, and will not grow at the same rate as the Kenyan economy (i.e., in the notation above, </w:t>
      </w:r>
      <w:r>
        <w:rPr>
          <w:i/>
        </w:rPr>
        <w:t>g=0</w:t>
      </w:r>
      <w:r>
        <w:t xml:space="preserve">). In this case, the NPV of future earnings is still large, at $176, the gain in government net revenue is $18, and the social IRR is nearly 42.0%. </w:t>
      </w:r>
    </w:p>
    <w:p w14:paraId="2FA89471" w14:textId="2D48B05F" w:rsidR="0087548B" w:rsidRDefault="0087548B" w:rsidP="00FC2CC6">
      <w:pPr>
        <w:pStyle w:val="NoSpacing"/>
        <w:spacing w:after="240" w:line="600" w:lineRule="exact"/>
        <w:ind w:firstLine="720"/>
      </w:pPr>
      <w:r>
        <w:t>A second even more conservative assumption is that deworming treatment effects on earnings do not persist after the KLPS-3 round, and instead fall down to zero for the reminder of individuals’ working lives. Here we find that the earnings gains already experienced are sufficient to deliver a high rate of return on deworming: the NPV of gains in individual earnings is $99, the NPV of gains in net government revenue is $6 (again, even after subtracting off increased schooling costs), which is still far higher than the cost of subsidy (roughly $1), and social IRR falls to 41%.</w:t>
      </w:r>
    </w:p>
    <w:p w14:paraId="2242CFDB" w14:textId="3BA67FE2" w:rsidR="00D77EF5" w:rsidRDefault="00D77EF5" w:rsidP="00FC2CC6">
      <w:pPr>
        <w:pStyle w:val="NoSpacing"/>
        <w:spacing w:after="240" w:line="600" w:lineRule="exact"/>
        <w:ind w:firstLine="720"/>
      </w:pPr>
      <w:r>
        <w:t xml:space="preserve">Regarding the issue of whether deworming generates at least as much net government revenue than it costs, this holds (in </w:t>
      </w:r>
      <w:r w:rsidR="00C82E5E">
        <w:t xml:space="preserve">the </w:t>
      </w:r>
      <w:r>
        <w:t xml:space="preserve">base case) as long as the government collects at least 5.7% of income in taxes, which </w:t>
      </w:r>
      <w:r w:rsidR="00C82E5E">
        <w:t xml:space="preserve">seems likely to </w:t>
      </w:r>
      <w:r>
        <w:t>ho</w:t>
      </w:r>
      <w:r w:rsidR="00C82E5E">
        <w:t>ld</w:t>
      </w:r>
      <w:r>
        <w:t xml:space="preserve"> in </w:t>
      </w:r>
      <w:r w:rsidR="00C82E5E">
        <w:t xml:space="preserve">most </w:t>
      </w:r>
      <w:r>
        <w:t>low income countries.</w:t>
      </w:r>
    </w:p>
    <w:p w14:paraId="09C8118C" w14:textId="76267469" w:rsidR="00D42D78" w:rsidRDefault="00D42D78" w:rsidP="00D42D78">
      <w:pPr>
        <w:pStyle w:val="NoSpacing"/>
        <w:spacing w:after="240" w:line="600" w:lineRule="exact"/>
        <w:ind w:firstLine="720"/>
      </w:pPr>
      <w:commentRangeStart w:id="7"/>
      <w:r>
        <w:lastRenderedPageBreak/>
        <w:t>In fact</w:t>
      </w:r>
      <w:commentRangeEnd w:id="7"/>
      <w:r w:rsidR="0004720D">
        <w:rPr>
          <w:rStyle w:val="CommentReference"/>
        </w:rPr>
        <w:commentReference w:id="7"/>
      </w:r>
      <w:r>
        <w:t xml:space="preserve">, the upfront costs of deworming subsidies are so low that an average earnings gain of just 1% would deliver a social IRR of 10% (per annum), which roughly corresponds to real interest rates in Kenya. In other words, even miniscule earnings gains (or other welfare benefits) </w:t>
      </w:r>
      <w:r w:rsidR="00B13228">
        <w:t>could</w:t>
      </w:r>
      <w:r>
        <w:t xml:space="preserve"> justify deworming subsidies given their small cost.</w:t>
      </w:r>
    </w:p>
    <w:p w14:paraId="5E34854A" w14:textId="653EA357" w:rsidR="00713180" w:rsidRDefault="0087548B" w:rsidP="00D77EF5">
      <w:pPr>
        <w:pStyle w:val="NoSpacing"/>
        <w:spacing w:after="240" w:line="600" w:lineRule="exact"/>
        <w:ind w:firstLine="720"/>
      </w:pPr>
      <w:r>
        <w:t xml:space="preserve"> </w:t>
      </w:r>
    </w:p>
    <w:p w14:paraId="46B35DFE" w14:textId="538455B5" w:rsidR="00304E89" w:rsidRPr="00FC2CC6" w:rsidRDefault="005C51DA" w:rsidP="00FC2CC6">
      <w:pPr>
        <w:pStyle w:val="NoSpacing"/>
        <w:spacing w:after="240" w:line="600" w:lineRule="exact"/>
        <w:rPr>
          <w:szCs w:val="28"/>
        </w:rPr>
      </w:pPr>
      <w:r>
        <w:rPr>
          <w:b/>
          <w:szCs w:val="28"/>
        </w:rPr>
        <w:t>4</w:t>
      </w:r>
      <w:r w:rsidR="00AD73F8" w:rsidRPr="00FC2CC6">
        <w:rPr>
          <w:b/>
          <w:szCs w:val="28"/>
        </w:rPr>
        <w:t xml:space="preserve">. </w:t>
      </w:r>
      <w:r w:rsidR="00694A32" w:rsidRPr="00FC2CC6">
        <w:rPr>
          <w:b/>
          <w:szCs w:val="28"/>
        </w:rPr>
        <w:t>Conclusion</w:t>
      </w:r>
    </w:p>
    <w:p w14:paraId="24E909EA" w14:textId="607834C0" w:rsidR="00D179E3" w:rsidRDefault="00A77DF7" w:rsidP="00FC2CC6">
      <w:pPr>
        <w:pStyle w:val="NoSpacing"/>
        <w:spacing w:after="240" w:line="600" w:lineRule="exact"/>
      </w:pPr>
      <w:r>
        <w:t xml:space="preserve">This study estimates the long-run impacts of </w:t>
      </w:r>
      <w:r w:rsidR="00F0129C">
        <w:t xml:space="preserve">mass school-based </w:t>
      </w:r>
      <w:r>
        <w:t xml:space="preserve">deworming treatment on adult labor market outcomes, earnings, and living standards fifteen years later. </w:t>
      </w:r>
      <w:r w:rsidR="00715728">
        <w:t>Relative to the control group, d</w:t>
      </w:r>
      <w:r>
        <w:t xml:space="preserve">eworming beneficiaries </w:t>
      </w:r>
      <w:r w:rsidR="00F0129C">
        <w:t xml:space="preserve">in Kenya </w:t>
      </w:r>
      <w:r>
        <w:t xml:space="preserve">experience </w:t>
      </w:r>
      <w:r w:rsidR="00F0129C">
        <w:t>substantial gains in later earnings</w:t>
      </w:r>
      <w:r w:rsidR="00715728">
        <w:t xml:space="preserve"> (</w:t>
      </w:r>
      <w:r w:rsidR="00F0129C">
        <w:t>with an average increase of 15%</w:t>
      </w:r>
      <w:r w:rsidR="00715728">
        <w:t>)</w:t>
      </w:r>
      <w:r w:rsidR="00F0129C">
        <w:t xml:space="preserve">, higher consumption expenditures, </w:t>
      </w:r>
      <w:r w:rsidR="00563EB7">
        <w:t xml:space="preserve">higher rates of urban residence, and </w:t>
      </w:r>
      <w:r w:rsidR="00715728">
        <w:t xml:space="preserve">improved </w:t>
      </w:r>
      <w:r w:rsidR="00C948F5">
        <w:t>levels of subjective wellbeing</w:t>
      </w:r>
      <w:r w:rsidR="00715728">
        <w:t xml:space="preserve">. The findings add to a growing body of evidence that the Primary School Deworming Project had </w:t>
      </w:r>
      <w:r w:rsidR="00CC5E77">
        <w:t xml:space="preserve">meaningful </w:t>
      </w:r>
      <w:r w:rsidR="00715728">
        <w:t>positive effects on child education (Miguel and Kremer 2004), labor market outcomes over a ten year time horizon (Baird et al 2016), and generated positive treatment externalities both among primary school age children as well as among infants living in the study area at the time (</w:t>
      </w:r>
      <w:proofErr w:type="spellStart"/>
      <w:r w:rsidR="00715728">
        <w:t>Ozier</w:t>
      </w:r>
      <w:proofErr w:type="spellEnd"/>
      <w:r w:rsidR="00715728">
        <w:t xml:space="preserve"> 2017).</w:t>
      </w:r>
      <w:r w:rsidR="002A7208">
        <w:t xml:space="preserve"> Taken together, the social rate of return for this intervention appears to be large.</w:t>
      </w:r>
    </w:p>
    <w:p w14:paraId="7A68A338" w14:textId="4C4F807E" w:rsidR="00C266DF" w:rsidRDefault="00715728" w:rsidP="00FC2CC6">
      <w:pPr>
        <w:pStyle w:val="NoSpacing"/>
        <w:spacing w:after="240" w:line="600" w:lineRule="exact"/>
      </w:pPr>
      <w:r>
        <w:tab/>
      </w:r>
      <w:r w:rsidR="00DF5699">
        <w:t>From a policy perspective, it is important to consider the external validity of the findings. Intestinal worm infections are widespread globally, with high infection rates in many parts of Africa, South</w:t>
      </w:r>
      <w:r w:rsidR="00662F7E">
        <w:t xml:space="preserve"> Asia, and Latin America, and a</w:t>
      </w:r>
      <w:r w:rsidR="00DF5699">
        <w:t xml:space="preserve"> </w:t>
      </w:r>
      <w:r w:rsidR="00662F7E">
        <w:t xml:space="preserve">possible </w:t>
      </w:r>
      <w:r w:rsidR="00631388">
        <w:t xml:space="preserve">(and unfortunate) </w:t>
      </w:r>
      <w:r w:rsidR="00DF5699">
        <w:t xml:space="preserve">recent resurgence in </w:t>
      </w:r>
      <w:r w:rsidR="00DF5699">
        <w:lastRenderedPageBreak/>
        <w:t xml:space="preserve">poor rural </w:t>
      </w:r>
      <w:r w:rsidR="00DB4103">
        <w:t xml:space="preserve">pockets </w:t>
      </w:r>
      <w:r w:rsidR="00DF5699">
        <w:t>of the U.S. South (</w:t>
      </w:r>
      <w:r w:rsidR="00662F7E">
        <w:t>McKenna et al 2017</w:t>
      </w:r>
      <w:r w:rsidR="00DF5699">
        <w:t xml:space="preserve">). </w:t>
      </w:r>
      <w:r w:rsidR="00C266DF">
        <w:t>The ubiquity of the infections suggests that this study’s findings have rel</w:t>
      </w:r>
      <w:r w:rsidR="002A7208">
        <w:t>evance for many other settings.</w:t>
      </w:r>
    </w:p>
    <w:p w14:paraId="0187A025" w14:textId="23BC1B72" w:rsidR="00715728" w:rsidRDefault="00C266DF" w:rsidP="00C266DF">
      <w:pPr>
        <w:pStyle w:val="NoSpacing"/>
        <w:spacing w:after="240" w:line="600" w:lineRule="exact"/>
        <w:ind w:firstLine="720"/>
      </w:pPr>
      <w:r>
        <w:t xml:space="preserve">At the same time, the degree to which deworming treatment generates positive long-run labor market effects is plausibly linked to the extent of infections. The study setting was one with quite high baseline infection prevalence, at over 90%, and a </w:t>
      </w:r>
      <w:r w:rsidR="00662F7E">
        <w:t xml:space="preserve">fairly </w:t>
      </w:r>
      <w:r>
        <w:t>large share of children with moderate to heavy infections</w:t>
      </w:r>
      <w:r w:rsidR="00662F7E">
        <w:t xml:space="preserve"> (roughly one third)</w:t>
      </w:r>
      <w:r>
        <w:t>. The PSDP intervention also began in the midst of the 1997-1998 El Niñ</w:t>
      </w:r>
      <w:r w:rsidR="002A7208">
        <w:t>o</w:t>
      </w:r>
      <w:r>
        <w:t xml:space="preserve">–Southern Oscillation (ENSO) event, one of the most powerful in recorded history. The 1997-1998 ENSO brought torrential rains to many parts of Kenya, including the study area, and led to a substantial deterioration of the disease environment, with outbreaks of cholera, malaria, and rift valley fever. The deterioration in hygiene and access to sanitation almost certainly contributed to elevated </w:t>
      </w:r>
      <w:r w:rsidR="002A7208">
        <w:t>infection prevalence for both the soil-transmitted helminths and schistosomiasis</w:t>
      </w:r>
      <w:r>
        <w:t xml:space="preserve">. </w:t>
      </w:r>
      <w:r w:rsidR="00DF2A34">
        <w:t xml:space="preserve">Deworming treatment </w:t>
      </w:r>
      <w:r w:rsidR="002A7208">
        <w:t xml:space="preserve">impacts would plausibly </w:t>
      </w:r>
      <w:r w:rsidR="00DF2A34">
        <w:t xml:space="preserve">have </w:t>
      </w:r>
      <w:r w:rsidR="002A7208">
        <w:t xml:space="preserve">been somewhat smaller if </w:t>
      </w:r>
      <w:r w:rsidR="00DF2A34">
        <w:t xml:space="preserve">worm infection levels </w:t>
      </w:r>
      <w:r w:rsidR="002A7208">
        <w:t xml:space="preserve">had </w:t>
      </w:r>
      <w:r w:rsidR="00DF2A34">
        <w:t>not been at these unusually high levels</w:t>
      </w:r>
      <w:r w:rsidR="00662F7E">
        <w:t>, although this is admittedly speculative</w:t>
      </w:r>
      <w:r w:rsidR="00DF2A34">
        <w:t>.</w:t>
      </w:r>
    </w:p>
    <w:p w14:paraId="746CF3B6" w14:textId="2D8E3F37" w:rsidR="00DF2A34" w:rsidRDefault="00C67512" w:rsidP="00C266DF">
      <w:pPr>
        <w:pStyle w:val="NoSpacing"/>
        <w:spacing w:after="240" w:line="600" w:lineRule="exact"/>
        <w:ind w:firstLine="720"/>
      </w:pPr>
      <w:r>
        <w:t xml:space="preserve">There are several important questions for future research in this areas. First, it is unknown if the gains that we document will continue to persist in the future. To assess the durability of these gains, we plan to continue tracking these individuals over time and will periodically collect information on their economic and other life outcomes. Most individuals in the study sample have </w:t>
      </w:r>
      <w:r w:rsidR="00BE413B">
        <w:t xml:space="preserve">also </w:t>
      </w:r>
      <w:r>
        <w:t xml:space="preserve">already become parents themselves. Another direction for future research will be to assess the extent of any inter-generational impacts of deworming treatment on the children of </w:t>
      </w:r>
      <w:r>
        <w:lastRenderedPageBreak/>
        <w:t>sample respondents. The sizeable labor market and living standards gains we document suggest that these are at least plausible. The existence of any gains for the next generation would further bolster the cost-effectiveness of the deworming child health intervention.</w:t>
      </w:r>
      <w:r w:rsidR="00E40DAB">
        <w:t xml:space="preserve"> Finally, and echoing Almond et al.’s (2017) review, further research is needed to understand how institutional and contextual factors interact with child health investments to change adult outcomes, in order to better understand the cause of heterogeneous treatment impacts across settings, as well as the mechanisms driving these effects.</w:t>
      </w:r>
    </w:p>
    <w:p w14:paraId="3D9DD6A9" w14:textId="4DBA8809" w:rsidR="00E87B65" w:rsidRDefault="00E87B65">
      <w:pPr>
        <w:spacing w:after="160" w:line="259" w:lineRule="auto"/>
        <w:rPr>
          <w:b/>
        </w:rPr>
      </w:pPr>
    </w:p>
    <w:p w14:paraId="21890E00" w14:textId="33E39A29" w:rsidR="0035268A" w:rsidRPr="00713C43" w:rsidRDefault="0035268A" w:rsidP="0035268A">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commentRangeStart w:id="8"/>
      <w:r w:rsidRPr="00767967">
        <w:rPr>
          <w:b/>
        </w:rPr>
        <w:t>R</w:t>
      </w:r>
      <w:r w:rsidRPr="00713C43">
        <w:rPr>
          <w:b/>
        </w:rPr>
        <w:t>eferences</w:t>
      </w:r>
      <w:commentRangeEnd w:id="8"/>
      <w:r w:rsidR="00E87B65">
        <w:rPr>
          <w:rStyle w:val="CommentReference"/>
        </w:rPr>
        <w:commentReference w:id="8"/>
      </w:r>
    </w:p>
    <w:p w14:paraId="21EAEC65" w14:textId="77777777" w:rsidR="0035268A" w:rsidRPr="00713C43" w:rsidRDefault="0035268A" w:rsidP="0035268A">
      <w:pPr>
        <w:pStyle w:val="EndNoteBibliography"/>
      </w:pPr>
    </w:p>
    <w:p w14:paraId="2B5FA7D1" w14:textId="77777777" w:rsidR="005D1C08" w:rsidRPr="005D1C08" w:rsidRDefault="0035268A" w:rsidP="005D1C08">
      <w:pPr>
        <w:pStyle w:val="EndNoteBibliography"/>
        <w:ind w:left="720" w:hanging="720"/>
        <w:rPr>
          <w:noProof/>
        </w:rPr>
      </w:pPr>
      <w:r w:rsidRPr="00A72F7D">
        <w:fldChar w:fldCharType="begin"/>
      </w:r>
      <w:r w:rsidRPr="00713C43">
        <w:instrText xml:space="preserve"> ADDIN EN.REFLIST </w:instrText>
      </w:r>
      <w:r w:rsidRPr="00A72F7D">
        <w:fldChar w:fldCharType="separate"/>
      </w:r>
      <w:r w:rsidR="005D1C08" w:rsidRPr="005D1C08">
        <w:rPr>
          <w:noProof/>
        </w:rPr>
        <w:t>Ahuja, Amrita, Sarah Baird, Joan Hamory Hicks, Michael Kremer, Edward Miguel, and Shawn Powers, "When should governments subsidize health? The case of mass deworming," World Bank Economic Review, 29 (supplement) (2015), S9-S24.</w:t>
      </w:r>
    </w:p>
    <w:p w14:paraId="69CA67C3" w14:textId="77777777" w:rsidR="005D1C08" w:rsidRPr="005D1C08" w:rsidRDefault="005D1C08" w:rsidP="005D1C08">
      <w:pPr>
        <w:pStyle w:val="EndNoteBibliography"/>
        <w:ind w:left="720" w:hanging="720"/>
        <w:rPr>
          <w:noProof/>
        </w:rPr>
      </w:pPr>
      <w:r w:rsidRPr="005D1C08">
        <w:rPr>
          <w:noProof/>
        </w:rPr>
        <w:t>Aiken, Alexander, M., Davey Calum, James R. Hargreaves, and Richard J. Hayes, "Re-analysis of health and educational impacts of a school-based deworming programme in western Kenya: a pure replication.," International Journal of Epidemilogy, 44 (2015), 1572-1580.</w:t>
      </w:r>
    </w:p>
    <w:p w14:paraId="1612FE73" w14:textId="77777777" w:rsidR="005D1C08" w:rsidRPr="005D1C08" w:rsidRDefault="005D1C08" w:rsidP="005D1C08">
      <w:pPr>
        <w:pStyle w:val="EndNoteBibliography"/>
        <w:ind w:left="720" w:hanging="720"/>
        <w:rPr>
          <w:noProof/>
        </w:rPr>
      </w:pPr>
      <w:r w:rsidRPr="005D1C08">
        <w:rPr>
          <w:noProof/>
        </w:rPr>
        <w:t>Albonico, Marco, Dirk Engels, and Lorenzo Savioli, "Monitoring drug efficacy and early detection of drug resistance in human soil-transmitted nematodes: a pressing public health agenda for helminth control," International Journal for Parasitology, 34 (2004), 1205-1210.</w:t>
      </w:r>
    </w:p>
    <w:p w14:paraId="793C388B" w14:textId="53711736" w:rsidR="00240A4D" w:rsidRPr="00240A4D" w:rsidRDefault="00240A4D" w:rsidP="005D1C08">
      <w:pPr>
        <w:pStyle w:val="EndNoteBibliography"/>
        <w:ind w:left="720" w:hanging="720"/>
        <w:rPr>
          <w:i/>
          <w:noProof/>
        </w:rPr>
      </w:pPr>
      <w:r>
        <w:rPr>
          <w:noProof/>
        </w:rPr>
        <w:t xml:space="preserve">Almond, Douglas, Janet Currie, and Valentina Duque, "Child Circumstances and Adult Outcomes: Act II", </w:t>
      </w:r>
      <w:r w:rsidRPr="00240A4D">
        <w:rPr>
          <w:noProof/>
        </w:rPr>
        <w:t>NBER</w:t>
      </w:r>
      <w:r>
        <w:rPr>
          <w:noProof/>
        </w:rPr>
        <w:t xml:space="preserve"> Working Paper #23017, (2017).</w:t>
      </w:r>
    </w:p>
    <w:p w14:paraId="1B2AD560" w14:textId="77777777" w:rsidR="005D1C08" w:rsidRPr="005D1C08" w:rsidRDefault="005D1C08" w:rsidP="005D1C08">
      <w:pPr>
        <w:pStyle w:val="EndNoteBibliography"/>
        <w:ind w:left="720" w:hanging="720"/>
        <w:rPr>
          <w:noProof/>
        </w:rPr>
      </w:pPr>
      <w:r w:rsidRPr="005D1C08">
        <w:rPr>
          <w:noProof/>
        </w:rPr>
        <w:t xml:space="preserve">Altonji, Joseph G., and Rebecca M. Blank, "Race and gender in the labor market," in </w:t>
      </w:r>
      <w:r w:rsidRPr="005D1C08">
        <w:rPr>
          <w:i/>
          <w:noProof/>
        </w:rPr>
        <w:t>Handbook of Labor Economics</w:t>
      </w:r>
      <w:r w:rsidRPr="005D1C08">
        <w:rPr>
          <w:noProof/>
        </w:rPr>
        <w:t>, O. Ashenfelter &amp; D. Card, ed. (1999).</w:t>
      </w:r>
    </w:p>
    <w:p w14:paraId="7A4D515F" w14:textId="591569C1" w:rsidR="00E87B65" w:rsidRPr="00E87B65" w:rsidRDefault="00E87B65" w:rsidP="005D1C08">
      <w:pPr>
        <w:pStyle w:val="EndNoteBibliography"/>
        <w:ind w:left="720" w:hanging="720"/>
        <w:rPr>
          <w:noProof/>
        </w:rPr>
      </w:pPr>
      <w:r>
        <w:rPr>
          <w:noProof/>
        </w:rPr>
        <w:t xml:space="preserve">Baird, Sarah, Joan Hamory Hicks, Michael Kremer, and Edward Miguel. (2016). "Worms at Work: Long-run Impacts of a Child Health Investment", </w:t>
      </w:r>
      <w:r>
        <w:rPr>
          <w:i/>
          <w:noProof/>
        </w:rPr>
        <w:t>Quarterly Journal of Economics</w:t>
      </w:r>
      <w:r>
        <w:rPr>
          <w:noProof/>
        </w:rPr>
        <w:t>.</w:t>
      </w:r>
    </w:p>
    <w:p w14:paraId="13516A27" w14:textId="478D5BDC" w:rsidR="005D1C08" w:rsidRPr="005D1C08" w:rsidRDefault="005D1C08" w:rsidP="005D1C08">
      <w:pPr>
        <w:pStyle w:val="EndNoteBibliography"/>
        <w:ind w:left="720" w:hanging="720"/>
        <w:rPr>
          <w:noProof/>
        </w:rPr>
      </w:pPr>
      <w:r w:rsidRPr="005D1C08">
        <w:rPr>
          <w:noProof/>
        </w:rPr>
        <w:t>Bertrand, Marianne, "New Perspectives on Gende</w:t>
      </w:r>
      <w:r w:rsidR="00A71D3F">
        <w:rPr>
          <w:noProof/>
        </w:rPr>
        <w:t>r</w:t>
      </w:r>
      <w:r w:rsidRPr="005D1C08">
        <w:rPr>
          <w:noProof/>
        </w:rPr>
        <w:t xml:space="preserve">," in </w:t>
      </w:r>
      <w:r w:rsidRPr="005D1C08">
        <w:rPr>
          <w:i/>
          <w:noProof/>
        </w:rPr>
        <w:t>Handbook of Labor Economics</w:t>
      </w:r>
      <w:r w:rsidRPr="005D1C08">
        <w:rPr>
          <w:noProof/>
        </w:rPr>
        <w:t>, O. Ashenfelter &amp; D. Card, ed. (Elsevier, 2011).</w:t>
      </w:r>
    </w:p>
    <w:p w14:paraId="0F6A10D4" w14:textId="77777777" w:rsidR="005D1C08" w:rsidRPr="005D1C08" w:rsidRDefault="005D1C08" w:rsidP="005D1C08">
      <w:pPr>
        <w:pStyle w:val="EndNoteBibliography"/>
        <w:ind w:left="720" w:hanging="720"/>
        <w:rPr>
          <w:noProof/>
        </w:rPr>
      </w:pPr>
      <w:r w:rsidRPr="005D1C08">
        <w:rPr>
          <w:noProof/>
        </w:rPr>
        <w:t>Bleakley, Hoyt, "Disease and Development: Evidence from Hookworm Eradication in the American South," Quarterly Journal of Economics, 122 (2007), 73-117.</w:t>
      </w:r>
    </w:p>
    <w:p w14:paraId="0AA24A46" w14:textId="77777777" w:rsidR="005D1C08" w:rsidRPr="005D1C08" w:rsidRDefault="005D1C08" w:rsidP="005D1C08">
      <w:pPr>
        <w:pStyle w:val="EndNoteBibliography"/>
        <w:ind w:left="720" w:hanging="720"/>
        <w:rPr>
          <w:noProof/>
        </w:rPr>
      </w:pPr>
      <w:r w:rsidRPr="005D1C08">
        <w:rPr>
          <w:noProof/>
        </w:rPr>
        <w:t>Brooker, Simon, M. Rowlands, L. Haller, L. Savioli, and D.A. Bundy, "Towards an Atlas of Helminth Infection in Sub-Saharan Africa: The Use of Geographical Information Systems (GIS)," Parasitology Today, 16 (2000), 303-307.</w:t>
      </w:r>
    </w:p>
    <w:p w14:paraId="43544541" w14:textId="77777777" w:rsidR="005D1C08" w:rsidRPr="005D1C08" w:rsidRDefault="005D1C08" w:rsidP="005D1C08">
      <w:pPr>
        <w:pStyle w:val="EndNoteBibliography"/>
        <w:ind w:left="720" w:hanging="720"/>
        <w:rPr>
          <w:noProof/>
        </w:rPr>
      </w:pPr>
      <w:r w:rsidRPr="005D1C08">
        <w:rPr>
          <w:noProof/>
        </w:rPr>
        <w:t>Bruhn, Miriam, and David McKenzie, "In pursuit of balance: Randomization in practice in development field experiments," American Economic Journal: Applied Economics, 1 (2009).</w:t>
      </w:r>
    </w:p>
    <w:p w14:paraId="26C497FA" w14:textId="77777777" w:rsidR="005D1C08" w:rsidRPr="005D1C08" w:rsidRDefault="005D1C08" w:rsidP="005D1C08">
      <w:pPr>
        <w:pStyle w:val="EndNoteBibliography"/>
        <w:ind w:left="720" w:hanging="720"/>
        <w:rPr>
          <w:noProof/>
        </w:rPr>
      </w:pPr>
      <w:r w:rsidRPr="005D1C08">
        <w:rPr>
          <w:noProof/>
        </w:rPr>
        <w:lastRenderedPageBreak/>
        <w:t>Bundy, DAP., M.  Kremer, H.  Bleakley, MCH. Jukes, and E. Miguel, "Deworming and Development: Asking the Right Questions, Asking the Questions Right," PLoS Negl Trop Dis, 3 (2009), e362. doi:310.1371/journal.pntd.0000362.</w:t>
      </w:r>
    </w:p>
    <w:p w14:paraId="7B6C02D0" w14:textId="77777777" w:rsidR="005D1C08" w:rsidRPr="005D1C08" w:rsidRDefault="005D1C08" w:rsidP="005D1C08">
      <w:pPr>
        <w:pStyle w:val="EndNoteBibliography"/>
        <w:ind w:left="720" w:hanging="720"/>
        <w:rPr>
          <w:noProof/>
        </w:rPr>
      </w:pPr>
      <w:r w:rsidRPr="005D1C08">
        <w:rPr>
          <w:noProof/>
        </w:rPr>
        <w:t>Clemens, Michael, and Justin Sandefur, "Mapping the Worm Wars: What the Public Should Take Away from the Scientific Debate about Mass Deworming.,"  (Center for Global  Development Blog, 2015).</w:t>
      </w:r>
    </w:p>
    <w:p w14:paraId="7223CBE1" w14:textId="77777777" w:rsidR="005D1C08" w:rsidRPr="005D1C08" w:rsidRDefault="005D1C08" w:rsidP="005D1C08">
      <w:pPr>
        <w:pStyle w:val="EndNoteBibliography"/>
        <w:ind w:left="720" w:hanging="720"/>
        <w:rPr>
          <w:noProof/>
        </w:rPr>
      </w:pPr>
      <w:r w:rsidRPr="005D1C08">
        <w:rPr>
          <w:noProof/>
        </w:rPr>
        <w:t>Croke, K. T., "The Long Run Effects of Early Childhood Deworming on Literacy and Numeracy: Evidence from Uganda," Unpublished Manuscript, (2014).</w:t>
      </w:r>
    </w:p>
    <w:p w14:paraId="36DCBEA8" w14:textId="06890011" w:rsidR="00A71D3F" w:rsidRDefault="00A71D3F" w:rsidP="005D1C08">
      <w:pPr>
        <w:pStyle w:val="EndNoteBibliography"/>
        <w:ind w:left="720" w:hanging="720"/>
        <w:rPr>
          <w:noProof/>
        </w:rPr>
      </w:pPr>
      <w:r>
        <w:rPr>
          <w:noProof/>
        </w:rPr>
        <w:t>Croke, K.T., Joan Hamory Hicks, Eric Hsu, Michael Kremer, and Edward Miguel, "Does mass deworming affect child nutrition? Meta-analysis, cost-effectiveness, and statistical power", NBER Working Paper #22382, (2016).</w:t>
      </w:r>
    </w:p>
    <w:p w14:paraId="11FA838C" w14:textId="61633B09" w:rsidR="005D1C08" w:rsidRPr="005D1C08" w:rsidRDefault="005D1C08" w:rsidP="005D1C08">
      <w:pPr>
        <w:pStyle w:val="EndNoteBibliography"/>
        <w:ind w:left="720" w:hanging="720"/>
        <w:rPr>
          <w:noProof/>
        </w:rPr>
      </w:pPr>
      <w:r w:rsidRPr="005D1C08">
        <w:rPr>
          <w:noProof/>
        </w:rPr>
        <w:t>Davey, Calum, Alexander Aiken, M., Richard J. Hayes, and James R. Hargreaves, "Re-analysis of health and educational impacts of a school-based deworming programme in western Kenya: a statistical replication of a cluster quasi-randomized stepped-wedge trial," International Journal of Epidemilogy, 44 (2015), 1581-1592.</w:t>
      </w:r>
    </w:p>
    <w:p w14:paraId="42D40E73" w14:textId="77777777" w:rsidR="005D1C08" w:rsidRPr="005D1C08" w:rsidRDefault="005D1C08" w:rsidP="005D1C08">
      <w:pPr>
        <w:pStyle w:val="EndNoteBibliography"/>
        <w:ind w:left="720" w:hanging="720"/>
        <w:rPr>
          <w:noProof/>
        </w:rPr>
      </w:pPr>
      <w:r w:rsidRPr="005D1C08">
        <w:rPr>
          <w:noProof/>
        </w:rPr>
        <w:t>Disease Control Priorities Project, "Deworming Children Brings Huge Health and Development Gains in Low-Income Countries ",  (2008).</w:t>
      </w:r>
    </w:p>
    <w:p w14:paraId="4B5FFD8E" w14:textId="77777777" w:rsidR="005D1C08" w:rsidRPr="005D1C08" w:rsidRDefault="005D1C08" w:rsidP="005D1C08">
      <w:pPr>
        <w:pStyle w:val="EndNoteBibliography"/>
        <w:ind w:left="720" w:hanging="720"/>
        <w:rPr>
          <w:noProof/>
        </w:rPr>
      </w:pPr>
      <w:r w:rsidRPr="005D1C08">
        <w:rPr>
          <w:noProof/>
        </w:rPr>
        <w:t>Ditsuwan, V., J.L. Veerman, M. Bertram, and T.  Vos, "Cost-Effectiveness of Interventions for Reducing Road Traffic Injuries Related to Driving under the Influence of Alcohol," Value in Health, 16 (2013), 23-30.</w:t>
      </w:r>
    </w:p>
    <w:p w14:paraId="008B4E3B" w14:textId="77777777" w:rsidR="005D1C08" w:rsidRPr="005D1C08" w:rsidRDefault="005D1C08" w:rsidP="005D1C08">
      <w:pPr>
        <w:pStyle w:val="EndNoteBibliography"/>
        <w:ind w:left="720" w:hanging="720"/>
        <w:rPr>
          <w:noProof/>
        </w:rPr>
      </w:pPr>
      <w:r w:rsidRPr="005D1C08">
        <w:rPr>
          <w:noProof/>
        </w:rPr>
        <w:t>Givewell, "Combination deworming (mass drug administration targeting both schistosomiasis and soil-transmitted helminths),"  (2013).</w:t>
      </w:r>
    </w:p>
    <w:p w14:paraId="37895E89" w14:textId="6565EDCA" w:rsidR="0085536A" w:rsidRDefault="0085536A" w:rsidP="005D1C08">
      <w:pPr>
        <w:pStyle w:val="EndNoteBibliography"/>
        <w:ind w:left="720" w:hanging="720"/>
        <w:rPr>
          <w:noProof/>
        </w:rPr>
      </w:pPr>
      <w:r>
        <w:rPr>
          <w:noProof/>
        </w:rPr>
        <w:t>Glewwe, Paul, and Margaret Grosh (eds.), "Designing Households Survey Questionnaires in Developing Countries", World Bank: Washington, DC (2000).</w:t>
      </w:r>
    </w:p>
    <w:p w14:paraId="469206B9" w14:textId="3BCA10FF" w:rsidR="00D84E57" w:rsidRDefault="00D84E57" w:rsidP="00D84E57">
      <w:pPr>
        <w:pStyle w:val="EndNoteBibliography"/>
        <w:ind w:left="720" w:hanging="720"/>
        <w:rPr>
          <w:noProof/>
        </w:rPr>
      </w:pPr>
      <w:r>
        <w:rPr>
          <w:noProof/>
        </w:rPr>
        <w:t>Guernier, V., Bradley Brennan, Laith Yakob, Gabriel Milinovich, Archie C. A. Clements, and Ricardo J. Soares Magalhaes, "</w:t>
      </w:r>
      <w:r w:rsidRPr="00D84E57">
        <w:rPr>
          <w:noProof/>
        </w:rPr>
        <w:t xml:space="preserve"> </w:t>
      </w:r>
      <w:r>
        <w:rPr>
          <w:noProof/>
        </w:rPr>
        <w:t>Gut microbiota disturbance during helminth infection: can it affect cognition and behaviour of children?", BMC Infect Dis. 2017; 17: 58 (2017).</w:t>
      </w:r>
    </w:p>
    <w:p w14:paraId="7F9039F2" w14:textId="77777777" w:rsidR="005D1C08" w:rsidRPr="005D1C08" w:rsidRDefault="005D1C08" w:rsidP="005D1C08">
      <w:pPr>
        <w:pStyle w:val="EndNoteBibliography"/>
        <w:ind w:left="720" w:hanging="720"/>
        <w:rPr>
          <w:noProof/>
        </w:rPr>
      </w:pPr>
      <w:r w:rsidRPr="005D1C08">
        <w:rPr>
          <w:noProof/>
        </w:rPr>
        <w:t>Guyatt, H.L., S. Brooker, C.M. Kihamia, A. Hall, and D.A.  Bundy, "Evaluation of efficacy of school-based anthelmintic treatments against anaemia in children in the United Republic of Tanzania," Bulletin of the World Health Organization, 79 (2001), 695-703.</w:t>
      </w:r>
    </w:p>
    <w:p w14:paraId="53EC2E44" w14:textId="77777777" w:rsidR="005D1C08" w:rsidRPr="005D1C08" w:rsidRDefault="005D1C08" w:rsidP="005D1C08">
      <w:pPr>
        <w:pStyle w:val="EndNoteBibliography"/>
        <w:ind w:left="720" w:hanging="720"/>
        <w:rPr>
          <w:noProof/>
        </w:rPr>
      </w:pPr>
      <w:r w:rsidRPr="005D1C08">
        <w:rPr>
          <w:noProof/>
        </w:rPr>
        <w:t>Hall, Andrew, and Sue Horton, "Best Practice Paper: New Advice from CCo8: Deworming,"  (Copenhagen: Copenhagen Consensus Center, 2008).</w:t>
      </w:r>
    </w:p>
    <w:p w14:paraId="4E2FAFD2" w14:textId="77777777" w:rsidR="005D1C08" w:rsidRPr="005D1C08" w:rsidRDefault="005D1C08" w:rsidP="005D1C08">
      <w:pPr>
        <w:pStyle w:val="EndNoteBibliography"/>
        <w:ind w:left="720" w:hanging="720"/>
        <w:rPr>
          <w:noProof/>
        </w:rPr>
      </w:pPr>
      <w:r w:rsidRPr="005D1C08">
        <w:rPr>
          <w:noProof/>
        </w:rPr>
        <w:t>Hicks, JH., M.  Kremer, and E. Miguel, "Commentary: Deworming externalities and schooling impacts in Kenya: a comment on Aiken et al. (2015) and Davey et al. (2015)," International Journal of Epidemiology, (2015).</w:t>
      </w:r>
    </w:p>
    <w:p w14:paraId="4439AA50" w14:textId="77777777" w:rsidR="005D1C08" w:rsidRPr="005D1C08" w:rsidRDefault="005D1C08" w:rsidP="005D1C08">
      <w:pPr>
        <w:pStyle w:val="EndNoteBibliography"/>
        <w:ind w:left="720" w:hanging="720"/>
        <w:rPr>
          <w:noProof/>
        </w:rPr>
      </w:pPr>
      <w:r w:rsidRPr="005D1C08">
        <w:rPr>
          <w:noProof/>
        </w:rPr>
        <w:t>Hotez, P.J., "Empowering Women and Improving Female Reproductive Health through Control of Neglected Tropical Diseases," PLoS Neglected Tropical Diseases, 3 (2009), e559.</w:t>
      </w:r>
    </w:p>
    <w:p w14:paraId="39042658" w14:textId="77777777" w:rsidR="005D1C08" w:rsidRPr="005D1C08" w:rsidRDefault="005D1C08" w:rsidP="005D1C08">
      <w:pPr>
        <w:pStyle w:val="EndNoteBibliography"/>
        <w:ind w:left="720" w:hanging="720"/>
        <w:rPr>
          <w:noProof/>
        </w:rPr>
      </w:pPr>
      <w:r w:rsidRPr="005D1C08">
        <w:rPr>
          <w:noProof/>
        </w:rPr>
        <w:t xml:space="preserve">Hotez, Peter J., Donald A. P. Bundy, Kathleen Beegle, Simon Brooker, Lesley Drake, Nilanthi de Silva, Antonio   Montresor, Dirk   Engels, Matthew  Jukes, Lester Chitsulo, Jeffrey Chow, Ramanan  Laxminarayan, Catherine  Michaud, Jeff Bethony, Rodrigo   Correa-Oliveira, Xiao Shuhua, Alan Fenwick, and Lorenzo  Savioli, </w:t>
      </w:r>
      <w:r w:rsidRPr="005D1C08">
        <w:rPr>
          <w:i/>
          <w:noProof/>
        </w:rPr>
        <w:t>Helminth Infections: Soil-transmitted Helminth Infections and Schistosomiasis</w:t>
      </w:r>
      <w:r w:rsidRPr="005D1C08">
        <w:rPr>
          <w:noProof/>
        </w:rPr>
        <w:t xml:space="preserve"> 2nd Edition ed. (Washington, DC: World Bank, 2006).</w:t>
      </w:r>
    </w:p>
    <w:p w14:paraId="031F5D89" w14:textId="77777777" w:rsidR="005D1C08" w:rsidRPr="005D1C08" w:rsidRDefault="005D1C08" w:rsidP="005D1C08">
      <w:pPr>
        <w:pStyle w:val="EndNoteBibliography"/>
        <w:ind w:left="720" w:hanging="720"/>
        <w:rPr>
          <w:noProof/>
        </w:rPr>
      </w:pPr>
      <w:r w:rsidRPr="005D1C08">
        <w:rPr>
          <w:noProof/>
        </w:rPr>
        <w:t xml:space="preserve">Kirwan, P., Andrew L. Jackson, Samuel O. Asaolu, Sile F. Molloy, Titlayo C. Abiona, Marian C. Bruce, Lisa Ranford-Cartwright, Sandra M. O'Neill, and Celia V. Holland, "Impact of repeated four-monthly anthelmintic treatment on Plasmodium infection in preschool </w:t>
      </w:r>
      <w:r w:rsidRPr="005D1C08">
        <w:rPr>
          <w:noProof/>
        </w:rPr>
        <w:lastRenderedPageBreak/>
        <w:t>children: a double-blind placebo-controlled randomized trial," BMC Infectious Diseases, 10 (2010).</w:t>
      </w:r>
    </w:p>
    <w:p w14:paraId="28C7A3EF" w14:textId="77777777" w:rsidR="005D1C08" w:rsidRPr="005D1C08" w:rsidRDefault="005D1C08" w:rsidP="005D1C08">
      <w:pPr>
        <w:pStyle w:val="EndNoteBibliography"/>
        <w:ind w:left="720" w:hanging="720"/>
        <w:rPr>
          <w:noProof/>
        </w:rPr>
      </w:pPr>
      <w:r w:rsidRPr="005D1C08">
        <w:rPr>
          <w:noProof/>
        </w:rPr>
        <w:t>Kjetland, E.F., P.D. Ndhlovu, Gomo E., T. Mduluza, N. Midzi, L. Gwanzura, P.R. Mason, L. Sandvik, H. Friis, and S.G. Gundersen, "Association between genital schistosomiasis and HIV in rural Zimbabwean women," AIDS, 20 (2006), 593-600.</w:t>
      </w:r>
    </w:p>
    <w:p w14:paraId="3B40A17F" w14:textId="77777777" w:rsidR="005D1C08" w:rsidRPr="005D1C08" w:rsidRDefault="005D1C08" w:rsidP="005D1C08">
      <w:pPr>
        <w:pStyle w:val="EndNoteBibliography"/>
        <w:ind w:left="720" w:hanging="720"/>
        <w:rPr>
          <w:noProof/>
        </w:rPr>
      </w:pPr>
      <w:r w:rsidRPr="005D1C08">
        <w:rPr>
          <w:noProof/>
        </w:rPr>
        <w:t>Kling, Jeffrey R., Jeffrey B. Liebman, and Lawrence F. Katz, "Experimental Analysis of Neighborhood Effects," Econometrica, 75 (2007), 83-119.</w:t>
      </w:r>
    </w:p>
    <w:p w14:paraId="36AD8EF6" w14:textId="77777777" w:rsidR="005D1C08" w:rsidRPr="005D1C08" w:rsidRDefault="005D1C08" w:rsidP="005D1C08">
      <w:pPr>
        <w:pStyle w:val="EndNoteBibliography"/>
        <w:ind w:left="720" w:hanging="720"/>
        <w:rPr>
          <w:noProof/>
        </w:rPr>
      </w:pPr>
      <w:r w:rsidRPr="005D1C08">
        <w:rPr>
          <w:noProof/>
        </w:rPr>
        <w:t>Kremer, Michael, and Edward Miguel, "The Illusion of Sustainability," Quarterly Journal of Economics, 112 (2007), 1007-1065.</w:t>
      </w:r>
    </w:p>
    <w:p w14:paraId="1D53FFC3" w14:textId="77777777" w:rsidR="005D1C08" w:rsidRPr="005D1C08" w:rsidRDefault="005D1C08" w:rsidP="005D1C08">
      <w:pPr>
        <w:pStyle w:val="EndNoteBibliography"/>
        <w:ind w:left="720" w:hanging="720"/>
        <w:rPr>
          <w:noProof/>
        </w:rPr>
      </w:pPr>
      <w:r w:rsidRPr="005D1C08">
        <w:rPr>
          <w:noProof/>
        </w:rPr>
        <w:t>Larocque, R., M. Casapia, E. Gotuzzo, J.D. MacLean, J.C. Soto, Rahme E., and T.W. Gyorkos, "A double-blind randomized controlled trial of antenatal mebendazole to reduce low birthweight in a hookworm-endemic area of Peru," Tropical Medical International Health 11 (2006), 1485-1495.</w:t>
      </w:r>
    </w:p>
    <w:p w14:paraId="281CE323" w14:textId="0544DF68" w:rsidR="00EE1D87" w:rsidRDefault="00EE1D87" w:rsidP="005D1C08">
      <w:pPr>
        <w:pStyle w:val="EndNoteBibliography"/>
        <w:ind w:left="720" w:hanging="720"/>
        <w:rPr>
          <w:noProof/>
        </w:rPr>
      </w:pPr>
      <w:r>
        <w:rPr>
          <w:noProof/>
        </w:rPr>
        <w:t>Martorell, R., Melgar P., Maluccio J.A., Stein A.D., and Rivera J.A., "The nutrition intervention improved adult human capital and economic productivity", Journal of Nutrition, 140(2): 411-4 (2010).</w:t>
      </w:r>
    </w:p>
    <w:p w14:paraId="19BDB6A9" w14:textId="1509264A" w:rsidR="00662F7E" w:rsidRPr="00662F7E" w:rsidRDefault="00662F7E" w:rsidP="005D1C08">
      <w:pPr>
        <w:pStyle w:val="EndNoteBibliography"/>
        <w:ind w:left="720" w:hanging="720"/>
        <w:rPr>
          <w:noProof/>
        </w:rPr>
      </w:pPr>
      <w:r>
        <w:rPr>
          <w:noProof/>
        </w:rPr>
        <w:t>McKenna, M.L., S. McAtee, P.E. Bryan, R. Jeun, T. Ward, J. Kraus, M.E. Bottazzi, P.J. Hotez, C.C. Flowers, R. Mejia, "Human intestinal parasite burden and poor sanitation in rural Alabama", American Journal of Tropical Medicine and Hygiene, 97:5 (2017).</w:t>
      </w:r>
    </w:p>
    <w:p w14:paraId="38965094" w14:textId="31F4DC8C" w:rsidR="005D1C08" w:rsidRPr="005D1C08" w:rsidRDefault="005D1C08" w:rsidP="005D1C08">
      <w:pPr>
        <w:pStyle w:val="EndNoteBibliography"/>
        <w:ind w:left="720" w:hanging="720"/>
        <w:rPr>
          <w:noProof/>
        </w:rPr>
      </w:pPr>
      <w:r w:rsidRPr="005D1C08">
        <w:rPr>
          <w:noProof/>
        </w:rPr>
        <w:t>Miguel, Edward, and M. Kremer, "Worms: Identifying Impacts on Education and Health in the Presence of Treatment Externalities," Econometrica, 72 (2004), 159-217.</w:t>
      </w:r>
    </w:p>
    <w:p w14:paraId="3FC8D4D2" w14:textId="77777777" w:rsidR="005D1C08" w:rsidRPr="005D1C08" w:rsidRDefault="005D1C08" w:rsidP="005D1C08">
      <w:pPr>
        <w:pStyle w:val="EndNoteBibliography"/>
        <w:ind w:left="720" w:hanging="720"/>
        <w:rPr>
          <w:noProof/>
        </w:rPr>
      </w:pPr>
      <w:r w:rsidRPr="005D1C08">
        <w:rPr>
          <w:noProof/>
        </w:rPr>
        <w:t>---, "Worms: Identifying Impacts on Education and Health in the Presence of Treatment Externalities, Guide to Replication of Miguel and Kremer (2004)," Center for Effective Global Action Working Paper Series #39, (2014).</w:t>
      </w:r>
    </w:p>
    <w:p w14:paraId="77D156A5" w14:textId="77777777" w:rsidR="005D1C08" w:rsidRPr="005D1C08" w:rsidRDefault="005D1C08" w:rsidP="005D1C08">
      <w:pPr>
        <w:pStyle w:val="EndNoteBibliography"/>
        <w:ind w:left="720" w:hanging="720"/>
        <w:rPr>
          <w:noProof/>
        </w:rPr>
      </w:pPr>
      <w:r w:rsidRPr="005D1C08">
        <w:rPr>
          <w:noProof/>
        </w:rPr>
        <w:t>Miguel, Edward, Michael Kremer, and Joan Hamory Hicks, "Comment on Macartan Humphreys’ and Other Recent Discussions of the Miguel and Kremer (2004) Study," CEGA Working Paper #54, (2015).</w:t>
      </w:r>
    </w:p>
    <w:p w14:paraId="2689EE42" w14:textId="77777777" w:rsidR="005D1C08" w:rsidRPr="005D1C08" w:rsidRDefault="005D1C08" w:rsidP="005D1C08">
      <w:pPr>
        <w:pStyle w:val="EndNoteBibliography"/>
        <w:ind w:left="720" w:hanging="720"/>
        <w:rPr>
          <w:noProof/>
        </w:rPr>
      </w:pPr>
      <w:r w:rsidRPr="005D1C08">
        <w:rPr>
          <w:noProof/>
        </w:rPr>
        <w:t>Miguel, Edward, Michael Kremer, Joan Hamory Hicks, and Carolyne Nekesa, "Worms: Identifying Impacts on Education and Health in the Presence of Treatment Externalities, Data User's Guide," Center for Effective Global Action Working Paper Series #40, (2014).</w:t>
      </w:r>
    </w:p>
    <w:p w14:paraId="55D1CC8D" w14:textId="77777777" w:rsidR="005D1C08" w:rsidRPr="005D1C08" w:rsidRDefault="005D1C08" w:rsidP="005D1C08">
      <w:pPr>
        <w:pStyle w:val="EndNoteBibliography"/>
        <w:ind w:left="720" w:hanging="720"/>
        <w:rPr>
          <w:noProof/>
        </w:rPr>
      </w:pPr>
      <w:r w:rsidRPr="005D1C08">
        <w:rPr>
          <w:noProof/>
        </w:rPr>
        <w:t>Orr, L., J. Feins, R. Jacob, E. Beecroft, L. Sanbonmatsu, LF. Katz, JB. Liebman, and JR.  Kling, "Moving to Opportunity: Interim Impacts Evaluation,"  (Washington, D.C.: U.S. Dept. of HUD, 2003).</w:t>
      </w:r>
    </w:p>
    <w:p w14:paraId="7BF0079E" w14:textId="77777777" w:rsidR="005D1C08" w:rsidRPr="005D1C08" w:rsidRDefault="005D1C08" w:rsidP="005D1C08">
      <w:pPr>
        <w:pStyle w:val="EndNoteBibliography"/>
        <w:ind w:left="720" w:hanging="720"/>
        <w:rPr>
          <w:noProof/>
        </w:rPr>
      </w:pPr>
      <w:r w:rsidRPr="005D1C08">
        <w:rPr>
          <w:noProof/>
        </w:rPr>
        <w:t>Otieno, W. , and C. Colclough, "Financing Education in Kenya: Expenditures, Outcomes and the Role of International Aid," RECOUP Working Paper 25, (2009).</w:t>
      </w:r>
    </w:p>
    <w:p w14:paraId="1375F169" w14:textId="0674DF86" w:rsidR="005D1C08" w:rsidRPr="005D1C08" w:rsidRDefault="005D1C08" w:rsidP="005D1C08">
      <w:pPr>
        <w:pStyle w:val="EndNoteBibliography"/>
        <w:ind w:left="720" w:hanging="720"/>
        <w:rPr>
          <w:noProof/>
        </w:rPr>
      </w:pPr>
      <w:r w:rsidRPr="005D1C08">
        <w:rPr>
          <w:noProof/>
        </w:rPr>
        <w:t xml:space="preserve">Ozier, Owen, "Exploiting Externalities to Estimate the Long-term </w:t>
      </w:r>
      <w:r w:rsidR="005B150C">
        <w:rPr>
          <w:noProof/>
        </w:rPr>
        <w:t xml:space="preserve">Effects </w:t>
      </w:r>
      <w:r w:rsidRPr="005D1C08">
        <w:rPr>
          <w:noProof/>
        </w:rPr>
        <w:t xml:space="preserve">of Early Childhood Deworming " </w:t>
      </w:r>
      <w:r w:rsidR="005B150C">
        <w:rPr>
          <w:noProof/>
        </w:rPr>
        <w:t>American Economic Journal: Applied Economics, (2017</w:t>
      </w:r>
      <w:r w:rsidRPr="005D1C08">
        <w:rPr>
          <w:noProof/>
        </w:rPr>
        <w:t>).</w:t>
      </w:r>
    </w:p>
    <w:p w14:paraId="49D71C71" w14:textId="24485752" w:rsidR="005D1C08" w:rsidRPr="005D1C08" w:rsidRDefault="005D1C08" w:rsidP="005D1C08">
      <w:pPr>
        <w:pStyle w:val="EndNoteBibliography"/>
        <w:ind w:left="720" w:hanging="720"/>
        <w:rPr>
          <w:noProof/>
        </w:rPr>
      </w:pPr>
      <w:r w:rsidRPr="005D1C08">
        <w:rPr>
          <w:noProof/>
        </w:rPr>
        <w:t>Pitt, Mark M., M.R. Rosenzweig, and N. Hassan, "Human Capital Investment and the Gender Division of Labor in a Brawn-Based Economy," American Economic Review, 102 (2012), 3531–3560.</w:t>
      </w:r>
    </w:p>
    <w:p w14:paraId="4153EC61" w14:textId="77777777" w:rsidR="005D1C08" w:rsidRPr="005D1C08" w:rsidRDefault="005D1C08" w:rsidP="005D1C08">
      <w:pPr>
        <w:pStyle w:val="EndNoteBibliography"/>
        <w:ind w:left="720" w:hanging="720"/>
        <w:rPr>
          <w:noProof/>
        </w:rPr>
      </w:pPr>
      <w:r w:rsidRPr="005D1C08">
        <w:rPr>
          <w:noProof/>
        </w:rPr>
        <w:t>Pullan, R.L., P.W. Gething, J.L. Smith, C.S. Mwandawiro, Sturrock H.J., Gitonga C.W., Hay S.I., and Brooker S., "Spatial modelling of soil-transmitted helminth infections in Kenya: a disease control planning tool," PLoS Neglected Tropical Diseases, 5 (2011), e958.</w:t>
      </w:r>
    </w:p>
    <w:p w14:paraId="7439BC6F" w14:textId="7F51A339" w:rsidR="00CF23BC" w:rsidRPr="00CF23BC" w:rsidRDefault="00CF23BC" w:rsidP="005D1C08">
      <w:pPr>
        <w:pStyle w:val="EndNoteBibliography"/>
        <w:ind w:left="720" w:hanging="720"/>
        <w:rPr>
          <w:noProof/>
        </w:rPr>
      </w:pPr>
      <w:r>
        <w:rPr>
          <w:noProof/>
        </w:rPr>
        <w:lastRenderedPageBreak/>
        <w:t>Pullan, R.L., J.L. Smith, R. Jasrasaria, and S.J. Booker, "Global numbers of infection and disease burden of soil transmitted helminth infections in 2010", Parasites and Vectors, 7:37 (2014).</w:t>
      </w:r>
    </w:p>
    <w:p w14:paraId="2B0F046B" w14:textId="6219009F" w:rsidR="005D1C08" w:rsidRPr="005D1C08" w:rsidRDefault="005D1C08" w:rsidP="005D1C08">
      <w:pPr>
        <w:pStyle w:val="EndNoteBibliography"/>
        <w:ind w:left="720" w:hanging="720"/>
        <w:rPr>
          <w:noProof/>
        </w:rPr>
      </w:pPr>
      <w:r w:rsidRPr="005D1C08">
        <w:rPr>
          <w:noProof/>
        </w:rPr>
        <w:t>Schapiro, Louis, "The Physical and Economic Benefits of Treatment for Hookworm Disease," Journal of the American Medical Association, 73 (1919), 1507-1509.</w:t>
      </w:r>
    </w:p>
    <w:p w14:paraId="1D7F2B01" w14:textId="77777777" w:rsidR="005D1C08" w:rsidRPr="005D1C08" w:rsidRDefault="005D1C08" w:rsidP="005D1C08">
      <w:pPr>
        <w:pStyle w:val="EndNoteBibliography"/>
        <w:ind w:left="720" w:hanging="720"/>
        <w:rPr>
          <w:noProof/>
        </w:rPr>
      </w:pPr>
      <w:r w:rsidRPr="005D1C08">
        <w:rPr>
          <w:noProof/>
        </w:rPr>
        <w:t>Silva, N.R. de, S Brooker, P.J. Hotez, A. Montresor, D. Engels, and L. Savioli, "Soil-transmitted helminth infections: updating the global picture," Trends in Parasitology, (2003), 547-551.</w:t>
      </w:r>
    </w:p>
    <w:p w14:paraId="2D554357" w14:textId="77777777" w:rsidR="005D1C08" w:rsidRPr="005D1C08" w:rsidRDefault="005D1C08" w:rsidP="005D1C08">
      <w:pPr>
        <w:pStyle w:val="EndNoteBibliography"/>
        <w:ind w:left="720" w:hanging="720"/>
        <w:rPr>
          <w:noProof/>
        </w:rPr>
      </w:pPr>
      <w:r w:rsidRPr="005D1C08">
        <w:rPr>
          <w:noProof/>
        </w:rPr>
        <w:t>Stephenson, L.S., M.C. Latham, E.J. Adams, S.N. Kinoti, and A. Pertet, "Physical fitness, growth and appetite of Kenyan school boys with hookworm, Trichuris trichiura and Ascaris lumbricoides infections are improved four months after a single dose of albendazole," The Journal of nutrition, 123 (1993), 1036-1046.</w:t>
      </w:r>
    </w:p>
    <w:p w14:paraId="5C3CB651" w14:textId="77777777" w:rsidR="005D1C08" w:rsidRPr="005D1C08" w:rsidRDefault="005D1C08" w:rsidP="005D1C08">
      <w:pPr>
        <w:pStyle w:val="EndNoteBibliography"/>
        <w:ind w:left="720" w:hanging="720"/>
        <w:rPr>
          <w:noProof/>
        </w:rPr>
      </w:pPr>
      <w:r w:rsidRPr="005D1C08">
        <w:rPr>
          <w:noProof/>
        </w:rPr>
        <w:t>Stoltzfus, R.J., H.M. Chwaya, Tielsch J.M., Schulze K.J., Albonico M., and Savioli L., "Epidemiology of iron deficiency anemia in Zanzibari schoolchildren: the importance of hookworms," American Journal of Clinical Nutrition, 65 (1997), 153-159.</w:t>
      </w:r>
    </w:p>
    <w:p w14:paraId="3B32D587" w14:textId="77777777" w:rsidR="005D1C08" w:rsidRPr="005D1C08" w:rsidRDefault="005D1C08" w:rsidP="005D1C08">
      <w:pPr>
        <w:pStyle w:val="EndNoteBibliography"/>
        <w:ind w:left="720" w:hanging="720"/>
        <w:rPr>
          <w:noProof/>
        </w:rPr>
      </w:pPr>
      <w:r w:rsidRPr="005D1C08">
        <w:rPr>
          <w:noProof/>
        </w:rPr>
        <w:t>Taylor-Robinson, DC., N. Maayan, K. Soares-Weiser, S. Donegan, and P.  Garner, "Deworming drugs for soil-transmitted intestinal worms in children: effects on nutritional indicators, haemoglobin, and school performance," The Cochrane Database of Systematic Reviews, 7 (2015), 1-157.</w:t>
      </w:r>
    </w:p>
    <w:p w14:paraId="49077E6A" w14:textId="262A78BC" w:rsidR="00F77898" w:rsidRDefault="00F77898" w:rsidP="005D1C08">
      <w:pPr>
        <w:pStyle w:val="EndNoteBibliography"/>
        <w:ind w:left="720" w:hanging="720"/>
        <w:rPr>
          <w:noProof/>
        </w:rPr>
      </w:pPr>
      <w:r>
        <w:rPr>
          <w:noProof/>
        </w:rPr>
        <w:t>Udry, C. "Gender, agricultural production, and the theory of the household", Journal of Political Economy, 104:5 (1996).</w:t>
      </w:r>
    </w:p>
    <w:p w14:paraId="36B9F560" w14:textId="54BF46AF" w:rsidR="005D1C08" w:rsidRPr="005D1C08" w:rsidRDefault="005D1C08" w:rsidP="005D1C08">
      <w:pPr>
        <w:pStyle w:val="EndNoteBibliography"/>
        <w:ind w:left="720" w:hanging="720"/>
        <w:rPr>
          <w:noProof/>
        </w:rPr>
      </w:pPr>
      <w:r w:rsidRPr="005D1C08">
        <w:rPr>
          <w:noProof/>
        </w:rPr>
        <w:t xml:space="preserve">Weisbrod, B.A., R. L.  Andreano, R. E.  Balwin, and A. C. Kelley, </w:t>
      </w:r>
      <w:r w:rsidRPr="005D1C08">
        <w:rPr>
          <w:i/>
          <w:noProof/>
        </w:rPr>
        <w:t>Disease and economic development: The impact of parasitic diseases in St. Lucia</w:t>
      </w:r>
      <w:r w:rsidRPr="005D1C08">
        <w:rPr>
          <w:noProof/>
        </w:rPr>
        <w:t xml:space="preserve"> (Madison: Univ. of Wisconsin Press, 1973).</w:t>
      </w:r>
    </w:p>
    <w:p w14:paraId="60138FD0" w14:textId="77777777" w:rsidR="005D1C08" w:rsidRPr="005D1C08" w:rsidRDefault="005D1C08" w:rsidP="005D1C08">
      <w:pPr>
        <w:pStyle w:val="EndNoteBibliography"/>
        <w:ind w:left="720" w:hanging="720"/>
        <w:rPr>
          <w:noProof/>
        </w:rPr>
      </w:pPr>
      <w:r w:rsidRPr="005D1C08">
        <w:rPr>
          <w:noProof/>
        </w:rPr>
        <w:t>World Health Organization, "Model Describing Information. Drugs used in Parasitic Diseases,"  (Geneva: WHO, 1992).</w:t>
      </w:r>
    </w:p>
    <w:p w14:paraId="164FFBDD" w14:textId="3B9F469C" w:rsidR="005D1C08" w:rsidRDefault="005D1C08" w:rsidP="005D1C08">
      <w:pPr>
        <w:pStyle w:val="EndNoteBibliography"/>
        <w:ind w:left="720" w:hanging="720"/>
        <w:rPr>
          <w:noProof/>
        </w:rPr>
      </w:pPr>
      <w:r w:rsidRPr="005D1C08">
        <w:rPr>
          <w:noProof/>
        </w:rPr>
        <w:t xml:space="preserve">---, "Soil-transmitted helminth infections," in </w:t>
      </w:r>
      <w:r w:rsidRPr="005D1C08">
        <w:rPr>
          <w:i/>
          <w:noProof/>
        </w:rPr>
        <w:t>WHO Fact sheet N°366</w:t>
      </w:r>
      <w:r w:rsidRPr="005D1C08">
        <w:rPr>
          <w:noProof/>
        </w:rPr>
        <w:t>,  (2014).</w:t>
      </w:r>
    </w:p>
    <w:p w14:paraId="6864AEE1" w14:textId="008DD800" w:rsidR="00D84E57" w:rsidRPr="005D1C08" w:rsidRDefault="00D84E57" w:rsidP="005D1C08">
      <w:pPr>
        <w:pStyle w:val="EndNoteBibliography"/>
        <w:ind w:left="720" w:hanging="720"/>
        <w:rPr>
          <w:noProof/>
        </w:rPr>
      </w:pPr>
      <w:r w:rsidRPr="002B3BF5">
        <w:t>Zaiss, M. M. and Harris, N. L., Interactions between the intestinal microbiome and helminth parasites. Parasite Immunol, 38: 5–11</w:t>
      </w:r>
      <w:r>
        <w:t xml:space="preserve"> </w:t>
      </w:r>
      <w:r w:rsidRPr="002B3BF5">
        <w:t xml:space="preserve"> (2016).</w:t>
      </w:r>
      <w:r>
        <w:rPr>
          <w:noProof/>
        </w:rPr>
        <w:t xml:space="preserve"> </w:t>
      </w:r>
    </w:p>
    <w:p w14:paraId="7634CF74" w14:textId="49240F0C" w:rsidR="008077CF" w:rsidRPr="00713C43" w:rsidRDefault="0035268A">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72F7D">
        <w:fldChar w:fldCharType="end"/>
      </w:r>
      <w:r w:rsidR="003C35D1" w:rsidRPr="00B378D1" w:rsidDel="002C3D27">
        <w:rPr>
          <w:noProof/>
        </w:rPr>
        <w:t xml:space="preserve"> </w:t>
      </w:r>
    </w:p>
    <w:sectPr w:rsidR="008077CF" w:rsidRPr="00713C43" w:rsidSect="00432FA8">
      <w:footerReference w:type="default" r:id="rId10"/>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dward Andrew MIGUEL" w:date="2018-03-26T21:12:00Z" w:initials="EAM">
    <w:p w14:paraId="252637EE" w14:textId="77777777" w:rsidR="00B57373" w:rsidRDefault="00B57373">
      <w:pPr>
        <w:pStyle w:val="CommentText"/>
      </w:pPr>
      <w:r>
        <w:rPr>
          <w:rStyle w:val="CommentReference"/>
        </w:rPr>
        <w:annotationRef/>
      </w:r>
      <w:r>
        <w:t>AER Insights format details:</w:t>
      </w:r>
    </w:p>
    <w:p w14:paraId="47308984" w14:textId="77777777" w:rsidR="00B57373" w:rsidRDefault="00B57373" w:rsidP="007A6AA5">
      <w:pPr>
        <w:pStyle w:val="CommentText"/>
      </w:pPr>
      <w:r>
        <w:rPr>
          <w:b/>
        </w:rPr>
        <w:t xml:space="preserve">** </w:t>
      </w:r>
      <w:r w:rsidRPr="007A6AA5">
        <w:rPr>
          <w:b/>
        </w:rPr>
        <w:t>Manuscripts should NOT exceed 6,000 words</w:t>
      </w:r>
      <w:r>
        <w:t xml:space="preserve">. </w:t>
      </w:r>
    </w:p>
    <w:p w14:paraId="1158A593" w14:textId="02746AC4" w:rsidR="00B57373" w:rsidRDefault="00B57373" w:rsidP="007A6AA5">
      <w:pPr>
        <w:pStyle w:val="CommentText"/>
      </w:pPr>
      <w:r>
        <w:t>Authors are required to obtain a word count by uploading a modified PDF of their submission to http://countwordsfree.com/#. This PDF should INCLUDE only the main body of the text and footnotes and endnotes. This PDF should EXCLUDE the title, author names, abstract, acknowledgement footnote, reference list, and exhibits. During the submission process, the author will be required to provide the word count number calculated by http://countwordsfree.com/#. The author will also be required to upload both the PDF used for the word count (Word Count PDF) as well as the regular manuscript PDF (Manuscript), designating them as such. Word count will be verified by an editorial staff member using the same word count software upon submission. Manuscripts that do not follow these guidelines or exceed the 6,000 limit may be summarily rejected.</w:t>
      </w:r>
    </w:p>
    <w:p w14:paraId="085B16F5" w14:textId="77777777" w:rsidR="00B57373" w:rsidRDefault="00B57373" w:rsidP="007A6AA5">
      <w:pPr>
        <w:pStyle w:val="CommentText"/>
      </w:pPr>
    </w:p>
    <w:p w14:paraId="10D4A643" w14:textId="4F26EC79" w:rsidR="00B57373" w:rsidRDefault="00B57373" w:rsidP="007A6AA5">
      <w:pPr>
        <w:pStyle w:val="CommentText"/>
      </w:pPr>
      <w:r>
        <w:t xml:space="preserve">** </w:t>
      </w:r>
      <w:r w:rsidRPr="004F3D6A">
        <w:rPr>
          <w:b/>
        </w:rPr>
        <w:t>Manuscripts should contain no more than a total of 5 exhibits (tables and figures).</w:t>
      </w:r>
      <w:r>
        <w:t xml:space="preserve"> Individual tables and figures are limited to one page each.  Manuscripts that don't meet these requirements will not be reviewed.</w:t>
      </w:r>
    </w:p>
    <w:p w14:paraId="48FB1D9C" w14:textId="77777777" w:rsidR="00B57373" w:rsidRDefault="00B57373" w:rsidP="007A6AA5">
      <w:pPr>
        <w:pStyle w:val="CommentText"/>
      </w:pPr>
    </w:p>
    <w:p w14:paraId="64ABD3E1" w14:textId="7A1FD48B" w:rsidR="00B57373" w:rsidRDefault="00B57373" w:rsidP="007A6AA5">
      <w:pPr>
        <w:pStyle w:val="CommentText"/>
      </w:pPr>
      <w:r>
        <w:t>** Appendices will be published online ONLY. Please include the appendix with the manuscript submission. Note that referees are also expected to read the appendix, and the appendix must stay within a reasonable length. Manuscripts with unreasonably long appendices may be rejected without review.</w:t>
      </w:r>
    </w:p>
    <w:p w14:paraId="2EEC5DF8" w14:textId="77777777" w:rsidR="00B57373" w:rsidRDefault="00B57373" w:rsidP="007A6AA5">
      <w:pPr>
        <w:pStyle w:val="CommentText"/>
      </w:pPr>
    </w:p>
    <w:p w14:paraId="3CDDB6E8" w14:textId="26B7D60C" w:rsidR="00B57373" w:rsidRDefault="00B57373" w:rsidP="007A6AA5">
      <w:pPr>
        <w:pStyle w:val="CommentText"/>
      </w:pPr>
      <w:r>
        <w:t xml:space="preserve">** Your manuscript should include a title page with each author's name and contact information. </w:t>
      </w:r>
    </w:p>
    <w:p w14:paraId="20BEA485" w14:textId="77777777" w:rsidR="00B57373" w:rsidRDefault="00B57373" w:rsidP="007A6AA5">
      <w:pPr>
        <w:pStyle w:val="CommentText"/>
      </w:pPr>
    </w:p>
    <w:p w14:paraId="4CBA4BAC" w14:textId="05B3AA46" w:rsidR="00B57373" w:rsidRDefault="00B57373" w:rsidP="007A6AA5">
      <w:pPr>
        <w:pStyle w:val="CommentText"/>
      </w:pPr>
      <w:r>
        <w:t xml:space="preserve">** </w:t>
      </w:r>
      <w:r w:rsidRPr="004F3D6A">
        <w:rPr>
          <w:b/>
        </w:rPr>
        <w:t>All submissions, including revisions, must be accompanied by a Disclosure Statement.</w:t>
      </w:r>
      <w:r>
        <w:t xml:space="preserve"> This is applicable even when the authors have no relevant interests to disclose. Authors will need to provide a separate Disclosure Statement for each coauthor at the time of submission. The statements will also need to disclose whether IRB approval was obtained for the project, and if not, state the reason(s). Submissions that do not include the statements will be considered incomplete and will not be reviewed. </w:t>
      </w:r>
    </w:p>
    <w:p w14:paraId="21F5D8A8" w14:textId="77777777" w:rsidR="00B57373" w:rsidRDefault="00B57373" w:rsidP="007A6AA5">
      <w:pPr>
        <w:pStyle w:val="CommentText"/>
      </w:pPr>
    </w:p>
    <w:p w14:paraId="6F857055" w14:textId="2B433A1D" w:rsidR="00B57373" w:rsidRDefault="00B57373" w:rsidP="007A6AA5">
      <w:pPr>
        <w:pStyle w:val="CommentText"/>
      </w:pPr>
      <w:r>
        <w:t xml:space="preserve">** </w:t>
      </w:r>
      <w:r w:rsidRPr="004F3D6A">
        <w:rPr>
          <w:b/>
        </w:rPr>
        <w:t>Include an abstract of 100 or fewer words.</w:t>
      </w:r>
      <w:r>
        <w:t xml:space="preserve"> </w:t>
      </w:r>
    </w:p>
    <w:p w14:paraId="6D335BC5" w14:textId="77777777" w:rsidR="00B57373" w:rsidRDefault="00B57373" w:rsidP="007A6AA5">
      <w:pPr>
        <w:pStyle w:val="CommentText"/>
      </w:pPr>
    </w:p>
    <w:p w14:paraId="66548E2C" w14:textId="01FD6585" w:rsidR="00B57373" w:rsidRDefault="00B57373" w:rsidP="007A6AA5">
      <w:pPr>
        <w:pStyle w:val="CommentText"/>
      </w:pPr>
      <w:r>
        <w:t>** Any requests for an exemption from our Data Availability Policy should be made in your cover letter when your paper is first submitted.</w:t>
      </w:r>
    </w:p>
    <w:p w14:paraId="54DF26B1" w14:textId="77777777" w:rsidR="00B57373" w:rsidRDefault="00B57373" w:rsidP="007A6AA5">
      <w:pPr>
        <w:pStyle w:val="CommentText"/>
      </w:pPr>
    </w:p>
    <w:p w14:paraId="0FDC460C" w14:textId="408F971B" w:rsidR="00B57373" w:rsidRDefault="00B57373" w:rsidP="007A6AA5">
      <w:pPr>
        <w:pStyle w:val="CommentText"/>
      </w:pPr>
      <w:r>
        <w:t xml:space="preserve">** The American Economic Association operates a Registry for Randomized Controlled Trials (RCTs).  In January of 2018, the AEA Executive Committee passed motion requiring the registration of RCTs for all applicable submissions. </w:t>
      </w:r>
      <w:r w:rsidRPr="004F3D6A">
        <w:rPr>
          <w:b/>
        </w:rPr>
        <w:t>If the research in your paper involves a RCT, please register (registration is free), prior to submitting.</w:t>
      </w:r>
      <w:r>
        <w:t xml:space="preserve"> In the online submission form, you will be required to provide the registration number issued by the Registry. </w:t>
      </w:r>
      <w:r w:rsidRPr="004F3D6A">
        <w:rPr>
          <w:b/>
        </w:rPr>
        <w:t>We also kindly ask you to acknowledge compliance by including your number in the introductory footnote of your manuscript.</w:t>
      </w:r>
    </w:p>
    <w:p w14:paraId="1077E380" w14:textId="77777777" w:rsidR="00B57373" w:rsidRDefault="00B57373" w:rsidP="007A6AA5">
      <w:pPr>
        <w:pStyle w:val="CommentText"/>
      </w:pPr>
    </w:p>
    <w:p w14:paraId="625F4E42" w14:textId="28711BA7" w:rsidR="00B57373" w:rsidRDefault="00B57373" w:rsidP="007A6AA5">
      <w:pPr>
        <w:pStyle w:val="CommentText"/>
      </w:pPr>
      <w:r>
        <w:t>** Fully reference all prior work on the same subject and compare your paper to that work. In addition to referencing the work of other scholars, you should be certain to cite your own work when applicable.</w:t>
      </w:r>
    </w:p>
    <w:p w14:paraId="3CAF0655" w14:textId="77777777" w:rsidR="00B57373" w:rsidRDefault="00B57373" w:rsidP="007A6AA5">
      <w:pPr>
        <w:pStyle w:val="CommentText"/>
      </w:pPr>
    </w:p>
    <w:p w14:paraId="7D4A32FB" w14:textId="4B6A00D7" w:rsidR="00B57373" w:rsidRDefault="00B57373" w:rsidP="007A6AA5">
      <w:pPr>
        <w:pStyle w:val="CommentText"/>
      </w:pPr>
      <w:r>
        <w:t>Please note:</w:t>
      </w:r>
    </w:p>
    <w:p w14:paraId="2292D4CD" w14:textId="77777777" w:rsidR="00B57373" w:rsidRDefault="00B57373" w:rsidP="007A6AA5">
      <w:pPr>
        <w:pStyle w:val="CommentText"/>
      </w:pPr>
    </w:p>
    <w:p w14:paraId="75FA7BA2" w14:textId="0909813B" w:rsidR="00B57373" w:rsidRDefault="00B57373" w:rsidP="007A6AA5">
      <w:pPr>
        <w:pStyle w:val="CommentText"/>
      </w:pPr>
      <w:r>
        <w:t>** Cover letter: Submissions should be accompanied by a cover letter only in exceptional (or even extraordinary) circumstances. Please use the cover letter for substantive information only: for clarification on the data availability policy; or to signal that a particular Coeditor may present a conflict of interest if assigned to your paper. If you do not have anything of substance to write, do not include a cover letter. If you include a cover letter, typing it directly into the manuscript central submission form will be the most convenient.</w:t>
      </w:r>
    </w:p>
    <w:p w14:paraId="2565FAC7" w14:textId="77777777" w:rsidR="00B57373" w:rsidRDefault="00B57373" w:rsidP="007A6AA5">
      <w:pPr>
        <w:pStyle w:val="CommentText"/>
      </w:pPr>
    </w:p>
    <w:p w14:paraId="545260C2" w14:textId="361FEA66" w:rsidR="00B57373" w:rsidRDefault="00B57373" w:rsidP="007A6AA5">
      <w:pPr>
        <w:pStyle w:val="CommentText"/>
      </w:pPr>
      <w:r>
        <w:t>** If your paper is selected for publication, appendices will appear ONLY on our website and not in the printed journal. Appendices will be posted without being typeset or edited by the journal.</w:t>
      </w:r>
    </w:p>
    <w:p w14:paraId="7756E2B7" w14:textId="77777777" w:rsidR="00B57373" w:rsidRDefault="00B57373" w:rsidP="007A6AA5">
      <w:pPr>
        <w:pStyle w:val="CommentText"/>
      </w:pPr>
    </w:p>
    <w:p w14:paraId="5B448A6E" w14:textId="7B64081B" w:rsidR="00B57373" w:rsidRDefault="00B57373" w:rsidP="007A6AA5">
      <w:pPr>
        <w:pStyle w:val="CommentText"/>
      </w:pPr>
      <w:r>
        <w:t>** If your paper is accepted for publication, all data used in your analysis should be clearly and precisely documented and should be made available on the journal's website for purposes of replication. See Data Availability Policy.</w:t>
      </w:r>
    </w:p>
    <w:p w14:paraId="6F7F72DA" w14:textId="77777777" w:rsidR="00B57373" w:rsidRDefault="00B57373" w:rsidP="007A6AA5">
      <w:pPr>
        <w:pStyle w:val="CommentText"/>
      </w:pPr>
    </w:p>
    <w:p w14:paraId="0F6E1FC0" w14:textId="77777777" w:rsidR="00B57373" w:rsidRDefault="00B57373" w:rsidP="007A6AA5">
      <w:pPr>
        <w:pStyle w:val="CommentText"/>
      </w:pPr>
      <w:r>
        <w:t xml:space="preserve">** </w:t>
      </w:r>
      <w:r w:rsidRPr="004F3D6A">
        <w:rPr>
          <w:b/>
        </w:rPr>
        <w:t>In tables, please report standard errors in parentheses but do not use *s to report significance levels.</w:t>
      </w:r>
    </w:p>
    <w:p w14:paraId="58FBAF71" w14:textId="7F159A60" w:rsidR="00B57373" w:rsidRPr="004F3D6A" w:rsidRDefault="00B57373" w:rsidP="007A6AA5">
      <w:pPr>
        <w:pStyle w:val="CommentText"/>
      </w:pPr>
    </w:p>
  </w:comment>
  <w:comment w:id="2" w:author="Edward Andrew MIGUEL" w:date="2018-03-29T13:26:00Z" w:initials="EAM">
    <w:p w14:paraId="34DD4E28" w14:textId="77777777" w:rsidR="00B57373" w:rsidRDefault="00B57373">
      <w:pPr>
        <w:pStyle w:val="CommentText"/>
      </w:pPr>
      <w:r>
        <w:rPr>
          <w:rStyle w:val="CommentReference"/>
        </w:rPr>
        <w:annotationRef/>
      </w:r>
      <w:r>
        <w:t xml:space="preserve">Hi team, I would like us to switch up the author ordering to undo bias towards those with last names whose first letter comes earlier in the alphabet. One possibility (given that there may be a series of papers) would be to rotate names, i.e., keep the ordering, but move Joan up for this paper and Sarah to the end. We can then just add a comment in the opening acknowledgements that all author contributed equally to the manuscript. This will prevent all of the papers from simply being Baird et al (sorry Sarah! ;) but I think this is fairer. So this paper would be Hicks et al, and the 20 year follow up paper could be Kremer et al, and a subsequent paper could be Miguel et al, etc. </w:t>
      </w:r>
    </w:p>
    <w:p w14:paraId="16AD48A3" w14:textId="21F1081E" w:rsidR="00B57373" w:rsidRDefault="00B57373">
      <w:pPr>
        <w:pStyle w:val="CommentText"/>
      </w:pPr>
      <w:r>
        <w:t xml:space="preserve">Thoughts on this tentative plan? </w:t>
      </w:r>
    </w:p>
  </w:comment>
  <w:comment w:id="3" w:author="Edward Andrew MIGUEL" w:date="2018-03-28T10:52:00Z" w:initials="EAM">
    <w:p w14:paraId="7F800929" w14:textId="0B1565E5" w:rsidR="00B57373" w:rsidRDefault="00B57373">
      <w:pPr>
        <w:pStyle w:val="CommentText"/>
      </w:pPr>
      <w:r>
        <w:rPr>
          <w:rStyle w:val="CommentReference"/>
        </w:rPr>
        <w:annotationRef/>
      </w:r>
      <w:r>
        <w:t>Confirm currency conversion and do it consistently throughout the paper. Check IRR spreadsheet for assumptions we make there.</w:t>
      </w:r>
    </w:p>
  </w:comment>
  <w:comment w:id="4" w:author="Edward Andrew MIGUEL" w:date="2018-03-28T22:04:00Z" w:initials="EAM">
    <w:p w14:paraId="34D5E619" w14:textId="1EBA5679" w:rsidR="00B57373" w:rsidRDefault="00B57373">
      <w:pPr>
        <w:pStyle w:val="CommentText"/>
      </w:pPr>
      <w:r>
        <w:rPr>
          <w:rStyle w:val="CommentReference"/>
        </w:rPr>
        <w:annotationRef/>
      </w:r>
      <w:r>
        <w:t>We may need to say something here, even if speculative, about why females gain more in terms of urban residence.</w:t>
      </w:r>
    </w:p>
  </w:comment>
  <w:comment w:id="5" w:author="Edward Andrew MIGUEL" w:date="2018-03-29T16:24:00Z" w:initials="EAM">
    <w:p w14:paraId="7CAE3CA2" w14:textId="5B41C073" w:rsidR="00C450A2" w:rsidRDefault="00C450A2">
      <w:pPr>
        <w:pStyle w:val="CommentText"/>
      </w:pPr>
      <w:r>
        <w:rPr>
          <w:rStyle w:val="CommentReference"/>
        </w:rPr>
        <w:annotationRef/>
      </w:r>
      <w:r>
        <w:t xml:space="preserve">We could update these if we like, or could maintain them for consistency with Baird et al (2016). </w:t>
      </w:r>
    </w:p>
  </w:comment>
  <w:comment w:id="6" w:author="Edward Andrew MIGUEL" w:date="2018-03-29T16:31:00Z" w:initials="EAM">
    <w:p w14:paraId="4732F558" w14:textId="71DF4183" w:rsidR="00F1380B" w:rsidRDefault="00F1380B">
      <w:pPr>
        <w:pStyle w:val="CommentText"/>
      </w:pPr>
      <w:r>
        <w:rPr>
          <w:rStyle w:val="CommentReference"/>
        </w:rPr>
        <w:annotationRef/>
      </w:r>
      <w:r>
        <w:t>This needs to be updated.</w:t>
      </w:r>
    </w:p>
  </w:comment>
  <w:comment w:id="7" w:author="Edward Andrew MIGUEL" w:date="2018-03-29T16:49:00Z" w:initials="EAM">
    <w:p w14:paraId="4188C7FA" w14:textId="5973F9F2" w:rsidR="0004720D" w:rsidRDefault="0004720D">
      <w:pPr>
        <w:pStyle w:val="CommentText"/>
      </w:pPr>
      <w:r>
        <w:rPr>
          <w:rStyle w:val="CommentReference"/>
        </w:rPr>
        <w:annotationRef/>
      </w:r>
      <w:r>
        <w:t>I need to put all of these results in an appendix table, but have not done so yet. I will for the next version.</w:t>
      </w:r>
    </w:p>
  </w:comment>
  <w:comment w:id="8" w:author="Edward Andrew MIGUEL" w:date="2018-03-26T21:32:00Z" w:initials="EAM">
    <w:p w14:paraId="2F36F570" w14:textId="7347EEEE" w:rsidR="00B57373" w:rsidRDefault="00B57373">
      <w:pPr>
        <w:pStyle w:val="CommentText"/>
      </w:pPr>
      <w:r>
        <w:rPr>
          <w:rStyle w:val="CommentReference"/>
        </w:rPr>
        <w:annotationRef/>
      </w:r>
      <w:r>
        <w:t xml:space="preserve">Undo the </w:t>
      </w:r>
      <w:proofErr w:type="spellStart"/>
      <w:r>
        <w:t>bibtex</w:t>
      </w:r>
      <w:proofErr w:type="spellEnd"/>
      <w:r>
        <w:t xml:space="preserve"> functionality here for now? Or finally learn how to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FBAF71" w15:done="0"/>
  <w15:commentEx w15:paraId="16AD48A3" w15:done="0"/>
  <w15:commentEx w15:paraId="7F800929" w15:done="0"/>
  <w15:commentEx w15:paraId="34D5E619" w15:done="0"/>
  <w15:commentEx w15:paraId="7CAE3CA2" w15:done="0"/>
  <w15:commentEx w15:paraId="4732F558" w15:done="0"/>
  <w15:commentEx w15:paraId="4188C7FA" w15:done="0"/>
  <w15:commentEx w15:paraId="2F36F57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0F435D" w14:textId="77777777" w:rsidR="00F80C60" w:rsidRDefault="00F80C60" w:rsidP="00AC2F64">
      <w:r>
        <w:separator/>
      </w:r>
    </w:p>
  </w:endnote>
  <w:endnote w:type="continuationSeparator" w:id="0">
    <w:p w14:paraId="32B850D7" w14:textId="77777777" w:rsidR="00F80C60" w:rsidRDefault="00F80C60" w:rsidP="00AC2F64">
      <w:r>
        <w:continuationSeparator/>
      </w:r>
    </w:p>
  </w:endnote>
  <w:endnote w:type="continuationNotice" w:id="1">
    <w:p w14:paraId="41E2A6D1" w14:textId="77777777" w:rsidR="00F80C60" w:rsidRDefault="00F80C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103602"/>
      <w:docPartObj>
        <w:docPartGallery w:val="Page Numbers (Bottom of Page)"/>
        <w:docPartUnique/>
      </w:docPartObj>
    </w:sdtPr>
    <w:sdtEndPr>
      <w:rPr>
        <w:noProof/>
      </w:rPr>
    </w:sdtEndPr>
    <w:sdtContent>
      <w:p w14:paraId="588E3CBC" w14:textId="110BBD84" w:rsidR="00B57373" w:rsidRDefault="00B57373">
        <w:pPr>
          <w:pStyle w:val="Footer"/>
          <w:jc w:val="center"/>
        </w:pPr>
        <w:r>
          <w:fldChar w:fldCharType="begin"/>
        </w:r>
        <w:r>
          <w:instrText xml:space="preserve"> PAGE   \* MERGEFORMAT </w:instrText>
        </w:r>
        <w:r>
          <w:fldChar w:fldCharType="separate"/>
        </w:r>
        <w:r w:rsidR="00616D98">
          <w:rPr>
            <w:noProof/>
          </w:rPr>
          <w:t>20</w:t>
        </w:r>
        <w:r>
          <w:rPr>
            <w:noProof/>
          </w:rPr>
          <w:fldChar w:fldCharType="end"/>
        </w:r>
      </w:p>
    </w:sdtContent>
  </w:sdt>
  <w:p w14:paraId="63BCED55" w14:textId="77777777" w:rsidR="00B57373" w:rsidRDefault="00B57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82890" w14:textId="77777777" w:rsidR="00F80C60" w:rsidRDefault="00F80C60" w:rsidP="00AC2F64">
      <w:r>
        <w:separator/>
      </w:r>
    </w:p>
  </w:footnote>
  <w:footnote w:type="continuationSeparator" w:id="0">
    <w:p w14:paraId="1B7A90B1" w14:textId="77777777" w:rsidR="00F80C60" w:rsidRDefault="00F80C60" w:rsidP="00AC2F64">
      <w:r>
        <w:continuationSeparator/>
      </w:r>
    </w:p>
  </w:footnote>
  <w:footnote w:type="continuationNotice" w:id="1">
    <w:p w14:paraId="4EC996A8" w14:textId="77777777" w:rsidR="00F80C60" w:rsidRDefault="00F80C60"/>
  </w:footnote>
  <w:footnote w:id="2">
    <w:p w14:paraId="64B9294D" w14:textId="73886677" w:rsidR="00B57373" w:rsidRDefault="00B57373" w:rsidP="007122AE">
      <w:pPr>
        <w:pStyle w:val="FootnoteText"/>
        <w:rPr>
          <w:rFonts w:ascii="Times New Roman" w:hAnsi="Times New Roman"/>
          <w:sz w:val="20"/>
        </w:rPr>
      </w:pPr>
      <w:r w:rsidRPr="008B3431">
        <w:rPr>
          <w:rStyle w:val="FootnoteReference"/>
        </w:rPr>
        <w:t>*</w:t>
      </w:r>
      <w:r w:rsidRPr="00FC2CC6">
        <w:rPr>
          <w:rFonts w:ascii="Times New Roman" w:hAnsi="Times New Roman"/>
          <w:sz w:val="20"/>
        </w:rPr>
        <w:t xml:space="preserve"> We thank Kevin Audi, </w:t>
      </w:r>
      <w:r>
        <w:rPr>
          <w:rFonts w:ascii="Times New Roman" w:hAnsi="Times New Roman"/>
          <w:sz w:val="20"/>
        </w:rPr>
        <w:t xml:space="preserve">Stephanie Bonds, </w:t>
      </w:r>
      <w:r w:rsidRPr="00FC2CC6">
        <w:rPr>
          <w:rFonts w:ascii="Times New Roman" w:hAnsi="Times New Roman"/>
          <w:sz w:val="20"/>
        </w:rPr>
        <w:t xml:space="preserve">Lisa Chen, Evan </w:t>
      </w:r>
      <w:proofErr w:type="spellStart"/>
      <w:r w:rsidRPr="00FC2CC6">
        <w:rPr>
          <w:rFonts w:ascii="Times New Roman" w:hAnsi="Times New Roman"/>
          <w:sz w:val="20"/>
        </w:rPr>
        <w:t>DeFilippis</w:t>
      </w:r>
      <w:proofErr w:type="spellEnd"/>
      <w:r w:rsidRPr="00FC2CC6">
        <w:rPr>
          <w:rFonts w:ascii="Times New Roman" w:hAnsi="Times New Roman"/>
          <w:sz w:val="20"/>
        </w:rPr>
        <w:t>, Lauren Falcao</w:t>
      </w:r>
      <w:r>
        <w:rPr>
          <w:rFonts w:ascii="Times New Roman" w:hAnsi="Times New Roman"/>
          <w:sz w:val="20"/>
        </w:rPr>
        <w:t xml:space="preserve"> </w:t>
      </w:r>
      <w:proofErr w:type="spellStart"/>
      <w:r>
        <w:rPr>
          <w:rFonts w:ascii="Times New Roman" w:hAnsi="Times New Roman"/>
          <w:sz w:val="20"/>
        </w:rPr>
        <w:t>Bergquist</w:t>
      </w:r>
      <w:proofErr w:type="spellEnd"/>
      <w:r w:rsidRPr="00FC2CC6">
        <w:rPr>
          <w:rFonts w:ascii="Times New Roman" w:hAnsi="Times New Roman"/>
          <w:sz w:val="20"/>
        </w:rPr>
        <w:t xml:space="preserve">, Jonas </w:t>
      </w:r>
      <w:proofErr w:type="spellStart"/>
      <w:r w:rsidRPr="00FC2CC6">
        <w:rPr>
          <w:rFonts w:ascii="Times New Roman" w:hAnsi="Times New Roman"/>
          <w:sz w:val="20"/>
        </w:rPr>
        <w:t>Hjort</w:t>
      </w:r>
      <w:proofErr w:type="spellEnd"/>
      <w:r w:rsidRPr="00FC2CC6">
        <w:rPr>
          <w:rFonts w:ascii="Times New Roman" w:hAnsi="Times New Roman"/>
          <w:sz w:val="20"/>
        </w:rPr>
        <w:t xml:space="preserve">, </w:t>
      </w:r>
      <w:r>
        <w:rPr>
          <w:rFonts w:ascii="Times New Roman" w:hAnsi="Times New Roman"/>
          <w:sz w:val="20"/>
        </w:rPr>
        <w:t xml:space="preserve">Luna Huang, </w:t>
      </w:r>
      <w:r w:rsidRPr="00FC2CC6">
        <w:rPr>
          <w:rFonts w:ascii="Times New Roman" w:hAnsi="Times New Roman"/>
          <w:sz w:val="20"/>
        </w:rPr>
        <w:t xml:space="preserve">Maryam Janani, </w:t>
      </w:r>
      <w:r>
        <w:rPr>
          <w:rFonts w:ascii="Times New Roman" w:hAnsi="Times New Roman"/>
          <w:sz w:val="20"/>
        </w:rPr>
        <w:t xml:space="preserve">Daniel </w:t>
      </w:r>
      <w:proofErr w:type="spellStart"/>
      <w:r>
        <w:rPr>
          <w:rFonts w:ascii="Times New Roman" w:hAnsi="Times New Roman"/>
          <w:sz w:val="20"/>
        </w:rPr>
        <w:t>Kannell</w:t>
      </w:r>
      <w:proofErr w:type="spellEnd"/>
      <w:r>
        <w:rPr>
          <w:rFonts w:ascii="Times New Roman" w:hAnsi="Times New Roman"/>
          <w:sz w:val="20"/>
        </w:rPr>
        <w:t xml:space="preserve">, </w:t>
      </w:r>
      <w:r w:rsidRPr="00FC2CC6">
        <w:rPr>
          <w:rFonts w:ascii="Times New Roman" w:hAnsi="Times New Roman"/>
          <w:sz w:val="20"/>
        </w:rPr>
        <w:t xml:space="preserve">Anne </w:t>
      </w:r>
      <w:proofErr w:type="spellStart"/>
      <w:r w:rsidRPr="00FC2CC6">
        <w:rPr>
          <w:rFonts w:ascii="Times New Roman" w:hAnsi="Times New Roman"/>
          <w:sz w:val="20"/>
        </w:rPr>
        <w:t>Karing</w:t>
      </w:r>
      <w:proofErr w:type="spellEnd"/>
      <w:r w:rsidRPr="00FC2CC6">
        <w:rPr>
          <w:rFonts w:ascii="Times New Roman" w:hAnsi="Times New Roman"/>
          <w:sz w:val="20"/>
        </w:rPr>
        <w:t xml:space="preserve">, Andrew Fischer Lees, Leah </w:t>
      </w:r>
      <w:proofErr w:type="spellStart"/>
      <w:r w:rsidRPr="00FC2CC6">
        <w:rPr>
          <w:rFonts w:ascii="Times New Roman" w:hAnsi="Times New Roman"/>
          <w:sz w:val="20"/>
        </w:rPr>
        <w:t>Luben</w:t>
      </w:r>
      <w:proofErr w:type="spellEnd"/>
      <w:r w:rsidRPr="00FC2CC6">
        <w:rPr>
          <w:rFonts w:ascii="Times New Roman" w:hAnsi="Times New Roman"/>
          <w:sz w:val="20"/>
        </w:rPr>
        <w:t xml:space="preserve">, </w:t>
      </w:r>
      <w:r>
        <w:rPr>
          <w:rFonts w:ascii="Times New Roman" w:hAnsi="Times New Roman"/>
          <w:sz w:val="20"/>
        </w:rPr>
        <w:t xml:space="preserve">Matt </w:t>
      </w:r>
      <w:proofErr w:type="spellStart"/>
      <w:r>
        <w:rPr>
          <w:rFonts w:ascii="Times New Roman" w:hAnsi="Times New Roman"/>
          <w:sz w:val="20"/>
        </w:rPr>
        <w:t>Pecenco</w:t>
      </w:r>
      <w:proofErr w:type="spellEnd"/>
      <w:r>
        <w:rPr>
          <w:rFonts w:ascii="Times New Roman" w:hAnsi="Times New Roman"/>
          <w:sz w:val="20"/>
        </w:rPr>
        <w:t xml:space="preserve">, </w:t>
      </w:r>
      <w:proofErr w:type="spellStart"/>
      <w:r w:rsidRPr="00FC2CC6">
        <w:rPr>
          <w:rFonts w:ascii="Times New Roman" w:hAnsi="Times New Roman"/>
          <w:sz w:val="20"/>
        </w:rPr>
        <w:t>Kristianna</w:t>
      </w:r>
      <w:proofErr w:type="spellEnd"/>
      <w:r w:rsidRPr="00FC2CC6">
        <w:rPr>
          <w:rFonts w:ascii="Times New Roman" w:hAnsi="Times New Roman"/>
          <w:sz w:val="20"/>
        </w:rPr>
        <w:t xml:space="preserve"> Post, Adina Rom, Jon </w:t>
      </w:r>
      <w:proofErr w:type="spellStart"/>
      <w:r w:rsidRPr="00FC2CC6">
        <w:rPr>
          <w:rFonts w:ascii="Times New Roman" w:hAnsi="Times New Roman"/>
          <w:sz w:val="20"/>
        </w:rPr>
        <w:t>Schellenberg</w:t>
      </w:r>
      <w:proofErr w:type="spellEnd"/>
      <w:r w:rsidRPr="00FC2CC6">
        <w:rPr>
          <w:rFonts w:ascii="Times New Roman" w:hAnsi="Times New Roman"/>
          <w:sz w:val="20"/>
        </w:rPr>
        <w:t xml:space="preserve">, </w:t>
      </w:r>
      <w:proofErr w:type="spellStart"/>
      <w:r w:rsidRPr="00FC2CC6">
        <w:rPr>
          <w:rFonts w:ascii="Times New Roman" w:hAnsi="Times New Roman"/>
          <w:sz w:val="20"/>
        </w:rPr>
        <w:t>Changcheng</w:t>
      </w:r>
      <w:proofErr w:type="spellEnd"/>
      <w:r w:rsidRPr="00FC2CC6">
        <w:rPr>
          <w:rFonts w:ascii="Times New Roman" w:hAnsi="Times New Roman"/>
          <w:sz w:val="20"/>
        </w:rPr>
        <w:t xml:space="preserve"> Song, </w:t>
      </w:r>
      <w:r>
        <w:rPr>
          <w:rFonts w:ascii="Times New Roman" w:hAnsi="Times New Roman"/>
          <w:sz w:val="20"/>
        </w:rPr>
        <w:t xml:space="preserve">Emma Smith, </w:t>
      </w:r>
      <w:r w:rsidRPr="00FC2CC6">
        <w:rPr>
          <w:rFonts w:ascii="Times New Roman" w:hAnsi="Times New Roman"/>
          <w:sz w:val="20"/>
        </w:rPr>
        <w:t xml:space="preserve">Paula </w:t>
      </w:r>
      <w:proofErr w:type="spellStart"/>
      <w:r w:rsidRPr="00FC2CC6">
        <w:rPr>
          <w:rFonts w:ascii="Times New Roman" w:hAnsi="Times New Roman"/>
          <w:sz w:val="20"/>
        </w:rPr>
        <w:t>Vinchery</w:t>
      </w:r>
      <w:proofErr w:type="spellEnd"/>
      <w:r w:rsidRPr="00FC2CC6">
        <w:rPr>
          <w:rFonts w:ascii="Times New Roman" w:hAnsi="Times New Roman"/>
          <w:sz w:val="20"/>
        </w:rPr>
        <w:t xml:space="preserve">, </w:t>
      </w:r>
      <w:r>
        <w:rPr>
          <w:rFonts w:ascii="Times New Roman" w:hAnsi="Times New Roman"/>
          <w:sz w:val="20"/>
        </w:rPr>
        <w:t xml:space="preserve">and </w:t>
      </w:r>
      <w:r w:rsidRPr="00FC2CC6">
        <w:rPr>
          <w:rFonts w:ascii="Times New Roman" w:hAnsi="Times New Roman"/>
          <w:sz w:val="20"/>
        </w:rPr>
        <w:t>Michael Walker</w:t>
      </w:r>
      <w:r>
        <w:rPr>
          <w:rFonts w:ascii="Times New Roman" w:hAnsi="Times New Roman"/>
          <w:sz w:val="20"/>
        </w:rPr>
        <w:t xml:space="preserve"> </w:t>
      </w:r>
      <w:r w:rsidRPr="00FC2CC6">
        <w:rPr>
          <w:rFonts w:ascii="Times New Roman" w:hAnsi="Times New Roman"/>
          <w:sz w:val="20"/>
        </w:rPr>
        <w:t xml:space="preserve">for providing excellent research assistance on the KLPS project. We thank seminar participants at U.C. Berkeley, </w:t>
      </w:r>
      <w:r>
        <w:rPr>
          <w:rFonts w:ascii="Times New Roman" w:hAnsi="Times New Roman"/>
          <w:sz w:val="20"/>
        </w:rPr>
        <w:t xml:space="preserve">UCSF, Oxford, and University of Zurich </w:t>
      </w:r>
      <w:r w:rsidRPr="00FC2CC6">
        <w:rPr>
          <w:rFonts w:ascii="Times New Roman" w:hAnsi="Times New Roman"/>
          <w:sz w:val="20"/>
        </w:rPr>
        <w:t>for helpful suggestions. We gratefully acknowledge our collaborators (Innovations for Poverty Action), and funding from NIH grants R01-TW05612</w:t>
      </w:r>
      <w:r>
        <w:rPr>
          <w:rFonts w:ascii="Times New Roman" w:hAnsi="Times New Roman"/>
          <w:sz w:val="20"/>
        </w:rPr>
        <w:t xml:space="preserve">, </w:t>
      </w:r>
      <w:r w:rsidRPr="00FC2CC6">
        <w:rPr>
          <w:rFonts w:ascii="Times New Roman" w:hAnsi="Times New Roman"/>
          <w:sz w:val="20"/>
        </w:rPr>
        <w:t>R01-HD044475</w:t>
      </w:r>
      <w:r>
        <w:rPr>
          <w:rFonts w:ascii="Times New Roman" w:hAnsi="Times New Roman"/>
          <w:sz w:val="20"/>
        </w:rPr>
        <w:t xml:space="preserve"> R03-HD064888</w:t>
      </w:r>
      <w:r w:rsidRPr="00FC2CC6">
        <w:rPr>
          <w:rFonts w:ascii="Times New Roman" w:hAnsi="Times New Roman"/>
          <w:sz w:val="20"/>
        </w:rPr>
        <w:t xml:space="preserve">, and the Berkeley Population Center. </w:t>
      </w:r>
      <w:r>
        <w:rPr>
          <w:rFonts w:ascii="Times New Roman" w:hAnsi="Times New Roman"/>
          <w:sz w:val="20"/>
        </w:rPr>
        <w:t>Michael Kremer declares that he works with USAID, which supports deworming, and was formerly a board member of Deworm the World, a 501(c</w:t>
      </w:r>
      <w:proofErr w:type="gramStart"/>
      <w:r>
        <w:rPr>
          <w:rFonts w:ascii="Times New Roman" w:hAnsi="Times New Roman"/>
          <w:sz w:val="20"/>
        </w:rPr>
        <w:t>)3</w:t>
      </w:r>
      <w:proofErr w:type="gramEnd"/>
      <w:r>
        <w:rPr>
          <w:rFonts w:ascii="Times New Roman" w:hAnsi="Times New Roman"/>
          <w:sz w:val="20"/>
        </w:rPr>
        <w:t xml:space="preserve"> organization. The content is solely the responsibility of the authors and does not necessarily reflect the views of any of our funders. This study is registered on the American Economic Association RCT Registry, </w:t>
      </w:r>
      <w:r w:rsidRPr="004F3D6A">
        <w:rPr>
          <w:rFonts w:ascii="Times New Roman" w:hAnsi="Times New Roman"/>
          <w:sz w:val="20"/>
        </w:rPr>
        <w:t>AEARCTR-0001191</w:t>
      </w:r>
      <w:r>
        <w:rPr>
          <w:rFonts w:ascii="Times New Roman" w:hAnsi="Times New Roman"/>
          <w:sz w:val="20"/>
        </w:rPr>
        <w:t xml:space="preserve">. </w:t>
      </w:r>
    </w:p>
    <w:p w14:paraId="2E725A32" w14:textId="77777777" w:rsidR="00B57373" w:rsidRPr="00FC2CC6" w:rsidRDefault="00B57373" w:rsidP="007122AE">
      <w:pPr>
        <w:pStyle w:val="FootnoteText"/>
        <w:rPr>
          <w:rFonts w:ascii="Times New Roman" w:hAnsi="Times New Roman"/>
          <w:sz w:val="20"/>
        </w:rPr>
      </w:pPr>
      <w:r w:rsidRPr="008B3431">
        <w:rPr>
          <w:rFonts w:ascii="Times New Roman" w:eastAsia="MS Mincho" w:hAnsi="Times New Roman"/>
          <w:sz w:val="20"/>
        </w:rPr>
        <w:t>C</w:t>
      </w:r>
      <w:r w:rsidRPr="00FC2CC6">
        <w:rPr>
          <w:rFonts w:ascii="Times New Roman" w:eastAsia="MS Mincho" w:hAnsi="Times New Roman"/>
          <w:sz w:val="20"/>
        </w:rPr>
        <w:t>orrespond</w:t>
      </w:r>
      <w:r w:rsidRPr="008B3431">
        <w:rPr>
          <w:rFonts w:ascii="Times New Roman" w:eastAsia="MS Mincho" w:hAnsi="Times New Roman"/>
          <w:sz w:val="20"/>
        </w:rPr>
        <w:t xml:space="preserve">ing author: Edward Miguel, </w:t>
      </w:r>
      <w:r>
        <w:rPr>
          <w:rFonts w:ascii="Times New Roman" w:eastAsia="MS Mincho" w:hAnsi="Times New Roman"/>
          <w:sz w:val="20"/>
        </w:rPr>
        <w:t xml:space="preserve">postal address: Evans Hall #3880, University of California, Berkeley CA 94720, USA; telephone: +1-510-393-7677; fax: +1-510-642-6615; email: </w:t>
      </w:r>
      <w:r w:rsidRPr="00FC2CC6">
        <w:rPr>
          <w:rFonts w:ascii="Times New Roman" w:eastAsia="MS Mincho" w:hAnsi="Times New Roman"/>
          <w:sz w:val="20"/>
        </w:rPr>
        <w:t>emiguel@berkeley.edu</w:t>
      </w:r>
      <w:r>
        <w:rPr>
          <w:rFonts w:ascii="Times New Roman" w:eastAsia="MS Mincho" w:hAnsi="Times New Roman"/>
          <w:sz w:val="20"/>
        </w:rPr>
        <w:t xml:space="preserve">. </w:t>
      </w:r>
    </w:p>
  </w:footnote>
  <w:footnote w:id="3">
    <w:p w14:paraId="3F2B5A81" w14:textId="01FF1F3B" w:rsidR="00B57373" w:rsidRPr="00EA3ED2" w:rsidRDefault="00B57373">
      <w:pPr>
        <w:pStyle w:val="FootnoteText"/>
        <w:rPr>
          <w:rFonts w:ascii="Times New Roman" w:hAnsi="Times New Roman"/>
          <w:sz w:val="20"/>
        </w:rPr>
      </w:pPr>
      <w:r w:rsidRPr="00EA3ED2">
        <w:rPr>
          <w:rStyle w:val="FootnoteReference"/>
        </w:rPr>
        <w:footnoteRef/>
      </w:r>
      <w:r w:rsidRPr="00EA3ED2">
        <w:rPr>
          <w:rFonts w:ascii="Times New Roman" w:hAnsi="Times New Roman"/>
          <w:sz w:val="20"/>
        </w:rPr>
        <w:t xml:space="preserve"> </w:t>
      </w:r>
      <w:r>
        <w:rPr>
          <w:rFonts w:ascii="Times New Roman" w:hAnsi="Times New Roman"/>
          <w:sz w:val="20"/>
        </w:rPr>
        <w:t>Aiken et al (2015</w:t>
      </w:r>
      <w:r w:rsidRPr="00EA3ED2">
        <w:rPr>
          <w:rFonts w:ascii="Times New Roman" w:hAnsi="Times New Roman"/>
          <w:sz w:val="20"/>
        </w:rPr>
        <w:t>)</w:t>
      </w:r>
      <w:r>
        <w:rPr>
          <w:rFonts w:ascii="Times New Roman" w:hAnsi="Times New Roman"/>
          <w:sz w:val="20"/>
        </w:rPr>
        <w:t xml:space="preserve">, Davey et al (2015), </w:t>
      </w:r>
      <w:r w:rsidRPr="00EA3ED2">
        <w:rPr>
          <w:rFonts w:ascii="Times New Roman" w:hAnsi="Times New Roman"/>
          <w:sz w:val="20"/>
        </w:rPr>
        <w:fldChar w:fldCharType="begin"/>
      </w:r>
      <w:r w:rsidRPr="00EA3ED2">
        <w:rPr>
          <w:rFonts w:ascii="Times New Roman" w:hAnsi="Times New Roman"/>
          <w:sz w:val="20"/>
        </w:rPr>
        <w:instrText xml:space="preserve"> ADDIN EN.CITE &lt;EndNote&gt;&lt;Cite AuthorYear="1"&gt;&lt;Author&gt;Miguel&lt;/Author&gt;&lt;Year&gt;2014&lt;/Year&gt;&lt;RecNum&gt;43&lt;/RecNum&gt;&lt;DisplayText&gt;Miguel and Kremer (2014)&lt;/DisplayText&gt;&lt;record&gt;&lt;rec-number&gt;43&lt;/rec-number&gt;&lt;foreign-keys&gt;&lt;key app="EN" db-id="f2200x509a5tazeww0dpewfvxdwwe2zt9vxt" timestamp="1423860013"&gt;43&lt;/key&gt;&lt;/foreign-keys&gt;&lt;ref-type name="Journal Article"&gt;17&lt;/ref-type&gt;&lt;contributors&gt;&lt;authors&gt;&lt;author&gt;Edward Miguel&lt;/author&gt;&lt;author&gt;Kremer, M.&lt;/author&gt;&lt;/authors&gt;&lt;/contributors&gt;&lt;titles&gt;&lt;title&gt;Worms: Identifying Impacts on Education and Health in the Presence of Treatment Externalities, Guide to Replication of Miguel and Kremer (2004)&lt;/title&gt;&lt;secondary-title&gt;Center for Effective Global Action Working Paper Series #39&lt;/secondary-title&gt;&lt;tertiary-title&gt;Center for Effective Global Action&lt;/tertiary-title&gt;&lt;/titles&gt;&lt;periodical&gt;&lt;full-title&gt;Center for Effective Global Action Working Paper Series #39&lt;/full-title&gt;&lt;/periodical&gt;&lt;dates&gt;&lt;year&gt;2014&lt;/year&gt;&lt;pub-dates&gt;&lt;date&gt;November 25, 2014&lt;/date&gt;&lt;/pub-dates&gt;&lt;/dates&gt;&lt;pub-location&gt;Berkeley, CA&lt;/pub-location&gt;&lt;urls&gt;&lt;/urls&gt;&lt;/record&gt;&lt;/Cite&gt;&lt;/EndNote&gt;</w:instrText>
      </w:r>
      <w:r w:rsidRPr="00EA3ED2">
        <w:rPr>
          <w:rFonts w:ascii="Times New Roman" w:hAnsi="Times New Roman"/>
          <w:sz w:val="20"/>
        </w:rPr>
        <w:fldChar w:fldCharType="separate"/>
      </w:r>
      <w:r w:rsidRPr="00EA3ED2">
        <w:rPr>
          <w:rFonts w:ascii="Times New Roman" w:hAnsi="Times New Roman"/>
          <w:noProof/>
          <w:sz w:val="20"/>
        </w:rPr>
        <w:t>Miguel and Kremer (2014)</w:t>
      </w:r>
      <w:r w:rsidRPr="00EA3ED2">
        <w:rPr>
          <w:rFonts w:ascii="Times New Roman" w:hAnsi="Times New Roman"/>
          <w:sz w:val="20"/>
        </w:rPr>
        <w:fldChar w:fldCharType="end"/>
      </w:r>
      <w:r>
        <w:rPr>
          <w:rFonts w:ascii="Times New Roman" w:hAnsi="Times New Roman"/>
          <w:sz w:val="20"/>
        </w:rPr>
        <w:t xml:space="preserve">, </w:t>
      </w:r>
      <w:r w:rsidRPr="00EA3ED2">
        <w:rPr>
          <w:rFonts w:ascii="Times New Roman" w:hAnsi="Times New Roman"/>
          <w:sz w:val="20"/>
        </w:rPr>
        <w:fldChar w:fldCharType="begin"/>
      </w:r>
      <w:r w:rsidRPr="00EA3ED2">
        <w:rPr>
          <w:rFonts w:ascii="Times New Roman" w:hAnsi="Times New Roman"/>
          <w:sz w:val="20"/>
        </w:rPr>
        <w:instrText xml:space="preserve"> ADDIN EN.CITE &lt;EndNote&gt;&lt;Cite AuthorYear="1"&gt;&lt;Author&gt;Clemens&lt;/Author&gt;&lt;Year&gt;2015&lt;/Year&gt;&lt;RecNum&gt;69&lt;/RecNum&gt;&lt;DisplayText&gt;Clemens and Sandefur (2015)&lt;/DisplayText&gt;&lt;record&gt;&lt;rec-number&gt;69&lt;/rec-number&gt;&lt;foreign-keys&gt;&lt;key app="EN" db-id="f2200x509a5tazeww0dpewfvxdwwe2zt9vxt" timestamp="1453667294"&gt;69&lt;/key&gt;&lt;/foreign-keys&gt;&lt;ref-type name="Blog"&gt;56&lt;/ref-type&gt;&lt;contributors&gt;&lt;authors&gt;&lt;author&gt;Clemens, Michael&lt;/author&gt;&lt;author&gt;Sandefur, Justin&lt;/author&gt;&lt;/authors&gt;&lt;/contributors&gt;&lt;titles&gt;&lt;title&gt;Mapping the Worm Wars: What the Public Should Take Away from the Scientific Debate about Mass Deworming.&lt;/title&gt;&lt;/titles&gt;&lt;dates&gt;&lt;year&gt;2015&lt;/year&gt;&lt;/dates&gt;&lt;pub-location&gt;Center for Global  Development Blog&lt;/pub-location&gt;&lt;urls&gt;&lt;/urls&gt;&lt;/record&gt;&lt;/Cite&gt;&lt;/EndNote&gt;</w:instrText>
      </w:r>
      <w:r w:rsidRPr="00EA3ED2">
        <w:rPr>
          <w:rFonts w:ascii="Times New Roman" w:hAnsi="Times New Roman"/>
          <w:sz w:val="20"/>
        </w:rPr>
        <w:fldChar w:fldCharType="separate"/>
      </w:r>
      <w:r w:rsidRPr="00EA3ED2">
        <w:rPr>
          <w:rFonts w:ascii="Times New Roman" w:hAnsi="Times New Roman"/>
          <w:noProof/>
          <w:sz w:val="20"/>
        </w:rPr>
        <w:t xml:space="preserve">Clemens and Sandefur </w:t>
      </w:r>
      <w:r>
        <w:rPr>
          <w:rFonts w:ascii="Times New Roman" w:hAnsi="Times New Roman"/>
          <w:noProof/>
          <w:sz w:val="20"/>
        </w:rPr>
        <w:t>(</w:t>
      </w:r>
      <w:r w:rsidRPr="00EA3ED2">
        <w:rPr>
          <w:rFonts w:ascii="Times New Roman" w:hAnsi="Times New Roman"/>
          <w:noProof/>
          <w:sz w:val="20"/>
        </w:rPr>
        <w:t>2015</w:t>
      </w:r>
      <w:r w:rsidRPr="00EA3ED2">
        <w:rPr>
          <w:rFonts w:ascii="Times New Roman" w:hAnsi="Times New Roman"/>
          <w:sz w:val="20"/>
        </w:rPr>
        <w:fldChar w:fldCharType="end"/>
      </w:r>
      <w:r>
        <w:rPr>
          <w:rFonts w:ascii="Times New Roman" w:hAnsi="Times New Roman"/>
          <w:sz w:val="20"/>
        </w:rPr>
        <w:t>)</w:t>
      </w:r>
      <w:r w:rsidRPr="00EA3ED2">
        <w:rPr>
          <w:rFonts w:ascii="Times New Roman" w:hAnsi="Times New Roman"/>
          <w:sz w:val="20"/>
        </w:rPr>
        <w:t xml:space="preserve">, </w:t>
      </w:r>
      <w:r>
        <w:rPr>
          <w:rFonts w:ascii="Times New Roman" w:hAnsi="Times New Roman"/>
          <w:sz w:val="20"/>
        </w:rPr>
        <w:t xml:space="preserve">and </w:t>
      </w:r>
      <w:r w:rsidRPr="00EA3ED2">
        <w:rPr>
          <w:rFonts w:ascii="Times New Roman" w:hAnsi="Times New Roman"/>
          <w:sz w:val="20"/>
        </w:rPr>
        <w:fldChar w:fldCharType="begin"/>
      </w:r>
      <w:r w:rsidRPr="00EA3ED2">
        <w:rPr>
          <w:rFonts w:ascii="Times New Roman" w:hAnsi="Times New Roman"/>
          <w:sz w:val="20"/>
        </w:rPr>
        <w:instrText xml:space="preserve"> ADDIN EN.CITE &lt;EndNote&gt;&lt;Cite AuthorYear="1"&gt;&lt;Author&gt;Miguel&lt;/Author&gt;&lt;Year&gt;2015&lt;/Year&gt;&lt;RecNum&gt;67&lt;/RecNum&gt;&lt;DisplayText&gt;Miguel, Kremer and Hamory Hicks (2015)&lt;/DisplayText&gt;&lt;record&gt;&lt;rec-number&gt;67&lt;/rec-number&gt;&lt;foreign-keys&gt;&lt;key app="EN" db-id="f2200x509a5tazeww0dpewfvxdwwe2zt9vxt" timestamp="1453665164"&gt;67&lt;/key&gt;&lt;/foreign-keys&gt;&lt;ref-type name="Journal Article"&gt;17&lt;/ref-type&gt;&lt;contributors&gt;&lt;authors&gt;&lt;author&gt;Miguel, Edward&lt;/author&gt;&lt;author&gt;Kremer, Michael&lt;/author&gt;&lt;author&gt;Hamory Hicks, Joan&lt;/author&gt;&lt;/authors&gt;&lt;/contributors&gt;&lt;titles&gt;&lt;title&gt;Comment on Macartan Humphreys’ and Other Recent Discussions of the Miguel and Kremer (2004) Study&lt;/title&gt;&lt;secondary-title&gt;CEGA Working Paper #54&lt;/secondary-title&gt;&lt;/titles&gt;&lt;periodical&gt;&lt;full-title&gt;CEGA Working Paper #54&lt;/full-title&gt;&lt;/periodical&gt;&lt;dates&gt;&lt;year&gt;2015&lt;/year&gt;&lt;/dates&gt;&lt;urls&gt;&lt;/urls&gt;&lt;/record&gt;&lt;/Cite&gt;&lt;/EndNote&gt;</w:instrText>
      </w:r>
      <w:r w:rsidRPr="00EA3ED2">
        <w:rPr>
          <w:rFonts w:ascii="Times New Roman" w:hAnsi="Times New Roman"/>
          <w:sz w:val="20"/>
        </w:rPr>
        <w:fldChar w:fldCharType="separate"/>
      </w:r>
      <w:r w:rsidRPr="00EA3ED2">
        <w:rPr>
          <w:rFonts w:ascii="Times New Roman" w:hAnsi="Times New Roman"/>
          <w:noProof/>
          <w:sz w:val="20"/>
        </w:rPr>
        <w:t xml:space="preserve">Miguel, Kremer and Hamory Hicks </w:t>
      </w:r>
      <w:r>
        <w:rPr>
          <w:rFonts w:ascii="Times New Roman" w:hAnsi="Times New Roman"/>
          <w:noProof/>
          <w:sz w:val="20"/>
        </w:rPr>
        <w:t>(</w:t>
      </w:r>
      <w:r w:rsidRPr="00EA3ED2">
        <w:rPr>
          <w:rFonts w:ascii="Times New Roman" w:hAnsi="Times New Roman"/>
          <w:noProof/>
          <w:sz w:val="20"/>
        </w:rPr>
        <w:t>2015</w:t>
      </w:r>
      <w:r w:rsidRPr="00EA3ED2">
        <w:rPr>
          <w:rFonts w:ascii="Times New Roman" w:hAnsi="Times New Roman"/>
          <w:sz w:val="20"/>
        </w:rPr>
        <w:fldChar w:fldCharType="end"/>
      </w:r>
      <w:r>
        <w:rPr>
          <w:rFonts w:ascii="Times New Roman" w:hAnsi="Times New Roman"/>
          <w:sz w:val="20"/>
        </w:rPr>
        <w:t>) present discussions of the school participation estimates and of the robustness of the cross-school externality results in Miguel and Kremer (2004), and in particular whether there are such effects beyond 4 km</w:t>
      </w:r>
      <w:r w:rsidRPr="00EA3ED2">
        <w:rPr>
          <w:rFonts w:ascii="Times New Roman" w:hAnsi="Times New Roman"/>
          <w:sz w:val="20"/>
        </w:rPr>
        <w:t xml:space="preserve">. </w:t>
      </w:r>
      <w:r>
        <w:rPr>
          <w:rFonts w:ascii="Times New Roman" w:hAnsi="Times New Roman"/>
          <w:sz w:val="20"/>
        </w:rPr>
        <w:t xml:space="preserve">The </w:t>
      </w:r>
      <w:r w:rsidRPr="00EA3ED2">
        <w:rPr>
          <w:rFonts w:ascii="Times New Roman" w:hAnsi="Times New Roman"/>
          <w:sz w:val="20"/>
        </w:rPr>
        <w:t>issue</w:t>
      </w:r>
      <w:r>
        <w:rPr>
          <w:rFonts w:ascii="Times New Roman" w:hAnsi="Times New Roman"/>
          <w:sz w:val="20"/>
        </w:rPr>
        <w:t>s</w:t>
      </w:r>
      <w:r w:rsidRPr="00EA3ED2">
        <w:rPr>
          <w:rFonts w:ascii="Times New Roman" w:hAnsi="Times New Roman"/>
          <w:sz w:val="20"/>
        </w:rPr>
        <w:t xml:space="preserve"> </w:t>
      </w:r>
      <w:r>
        <w:rPr>
          <w:rFonts w:ascii="Times New Roman" w:hAnsi="Times New Roman"/>
          <w:sz w:val="20"/>
        </w:rPr>
        <w:t xml:space="preserve">raised in those articles are </w:t>
      </w:r>
      <w:r w:rsidRPr="00EA3ED2">
        <w:rPr>
          <w:rFonts w:ascii="Times New Roman" w:hAnsi="Times New Roman"/>
          <w:sz w:val="20"/>
        </w:rPr>
        <w:t xml:space="preserve">not relevant to the current paper, which employs a different dataset than Miguel and Kremer (2004). </w:t>
      </w:r>
    </w:p>
  </w:footnote>
  <w:footnote w:id="4">
    <w:p w14:paraId="425D2FEC" w14:textId="77777777" w:rsidR="004A0317" w:rsidRPr="00DC5AD2" w:rsidRDefault="004A0317" w:rsidP="004A0317">
      <w:pPr>
        <w:pStyle w:val="FootnoteText"/>
        <w:rPr>
          <w:rFonts w:ascii="Times New Roman" w:hAnsi="Times New Roman"/>
          <w:sz w:val="20"/>
        </w:rPr>
      </w:pPr>
      <w:r w:rsidRPr="00131166">
        <w:rPr>
          <w:rStyle w:val="FootnoteReference"/>
        </w:rPr>
        <w:footnoteRef/>
      </w:r>
      <w:r w:rsidRPr="00DC5AD2">
        <w:rPr>
          <w:rFonts w:ascii="Times New Roman" w:hAnsi="Times New Roman"/>
          <w:sz w:val="20"/>
        </w:rPr>
        <w:t xml:space="preserve"> This study is registered on the American Economic Association RCT registry (</w:t>
      </w:r>
      <w:r>
        <w:rPr>
          <w:rFonts w:ascii="Times New Roman" w:hAnsi="Times New Roman"/>
          <w:sz w:val="20"/>
        </w:rPr>
        <w:t>#</w:t>
      </w:r>
      <w:r w:rsidRPr="00131166">
        <w:rPr>
          <w:rFonts w:ascii="Times New Roman" w:hAnsi="Times New Roman"/>
          <w:sz w:val="20"/>
        </w:rPr>
        <w:t>AEARCTR-0001191</w:t>
      </w:r>
      <w:r w:rsidRPr="00DC5AD2">
        <w:rPr>
          <w:rFonts w:ascii="Times New Roman" w:hAnsi="Times New Roman"/>
          <w:sz w:val="20"/>
        </w:rPr>
        <w:t>).</w:t>
      </w:r>
      <w:r>
        <w:rPr>
          <w:rFonts w:ascii="Times New Roman" w:hAnsi="Times New Roman"/>
          <w:sz w:val="20"/>
        </w:rPr>
        <w:t xml:space="preserve"> We did not register a pre-analysis plan as they were uncommon in Economics when data collection for KLPS-3 began in 2011. </w:t>
      </w:r>
    </w:p>
  </w:footnote>
  <w:footnote w:id="5">
    <w:p w14:paraId="43A7840B" w14:textId="24A7558F" w:rsidR="00C049DF" w:rsidRPr="00C049DF" w:rsidRDefault="00C049DF" w:rsidP="00C049DF">
      <w:pPr>
        <w:spacing w:after="240"/>
        <w:rPr>
          <w:sz w:val="20"/>
          <w:szCs w:val="20"/>
        </w:rPr>
      </w:pPr>
      <w:r w:rsidRPr="00C049DF">
        <w:rPr>
          <w:rStyle w:val="FootnoteReference"/>
          <w:szCs w:val="20"/>
        </w:rPr>
        <w:footnoteRef/>
      </w:r>
      <w:r w:rsidRPr="00C049DF">
        <w:rPr>
          <w:sz w:val="20"/>
          <w:szCs w:val="20"/>
        </w:rPr>
        <w:t xml:space="preserve"> In the presence of within-school epidemiological externalities, we cannot separately identify the labor market impact of individual deworming status and of deworming status of others within the school. We can, however, identify the aggregate school-level effect of the deworming subsidy. We, therefore, classify all individuals in deworming subsidy </w:t>
      </w:r>
      <w:r>
        <w:rPr>
          <w:sz w:val="20"/>
          <w:szCs w:val="20"/>
        </w:rPr>
        <w:t xml:space="preserve">schools </w:t>
      </w:r>
      <w:r w:rsidRPr="00C049DF">
        <w:rPr>
          <w:sz w:val="20"/>
          <w:szCs w:val="20"/>
        </w:rPr>
        <w:t xml:space="preserve">as “treated” in the empirical analysis. </w:t>
      </w:r>
    </w:p>
  </w:footnote>
  <w:footnote w:id="6">
    <w:p w14:paraId="611586EA" w14:textId="5AEEBEC1" w:rsidR="00C049DF" w:rsidRPr="00C049DF" w:rsidRDefault="00C049DF" w:rsidP="00C049DF">
      <w:pPr>
        <w:pStyle w:val="FootnoteText"/>
        <w:rPr>
          <w:rFonts w:ascii="Times New Roman" w:hAnsi="Times New Roman"/>
          <w:sz w:val="20"/>
        </w:rPr>
      </w:pPr>
      <w:r w:rsidRPr="00C049DF">
        <w:rPr>
          <w:rStyle w:val="FootnoteReference"/>
        </w:rPr>
        <w:footnoteRef/>
      </w:r>
      <w:r w:rsidRPr="00C049DF">
        <w:rPr>
          <w:rFonts w:ascii="Times New Roman" w:hAnsi="Times New Roman"/>
          <w:sz w:val="20"/>
        </w:rPr>
        <w:t xml:space="preserve"> </w:t>
      </w:r>
      <w:r>
        <w:rPr>
          <w:rFonts w:ascii="Times New Roman" w:hAnsi="Times New Roman"/>
          <w:sz w:val="20"/>
        </w:rPr>
        <w:t xml:space="preserve">Baird et al (2016) </w:t>
      </w:r>
      <w:r w:rsidRPr="00C049DF">
        <w:rPr>
          <w:rFonts w:ascii="Times New Roman" w:hAnsi="Times New Roman"/>
          <w:sz w:val="20"/>
        </w:rPr>
        <w:t>analyzed other specifications, including interactions between treatment and local saturation, and non-</w:t>
      </w:r>
      <w:proofErr w:type="spellStart"/>
      <w:r w:rsidRPr="00C049DF">
        <w:rPr>
          <w:rFonts w:ascii="Times New Roman" w:hAnsi="Times New Roman"/>
          <w:sz w:val="20"/>
        </w:rPr>
        <w:t>linearities</w:t>
      </w:r>
      <w:proofErr w:type="spellEnd"/>
      <w:r w:rsidRPr="00C049DF">
        <w:rPr>
          <w:rFonts w:ascii="Times New Roman" w:hAnsi="Times New Roman"/>
          <w:sz w:val="20"/>
        </w:rPr>
        <w:t xml:space="preserve"> in saturation, but cannot reject that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j</m:t>
            </m:r>
          </m:sub>
        </m:sSub>
      </m:oMath>
      <w:r w:rsidRPr="00C049DF">
        <w:rPr>
          <w:rFonts w:ascii="Times New Roman" w:hAnsi="Times New Roman"/>
          <w:sz w:val="20"/>
        </w:rPr>
        <w:t xml:space="preserve"> and </w:t>
      </w:r>
      <m:oMath>
        <m:sSub>
          <m:sSubPr>
            <m:ctrlPr>
              <w:rPr>
                <w:rFonts w:ascii="Cambria Math" w:hAnsi="Cambria Math"/>
                <w:i/>
                <w:sz w:val="20"/>
              </w:rPr>
            </m:ctrlPr>
          </m:sSubPr>
          <m:e>
            <m:r>
              <w:rPr>
                <w:rFonts w:ascii="Cambria Math" w:hAnsi="Cambria Math"/>
                <w:sz w:val="20"/>
              </w:rPr>
              <m:t>P</m:t>
            </m:r>
          </m:e>
          <m:sub>
            <m:r>
              <w:rPr>
                <w:rFonts w:ascii="Cambria Math" w:hAnsi="Cambria Math"/>
                <w:sz w:val="20"/>
              </w:rPr>
              <m:t>j</m:t>
            </m:r>
          </m:sub>
        </m:sSub>
      </m:oMath>
      <w:r w:rsidRPr="00C049DF">
        <w:rPr>
          <w:rFonts w:ascii="Times New Roman" w:hAnsi="Times New Roman"/>
          <w:sz w:val="20"/>
        </w:rPr>
        <w:t xml:space="preserve"> are additively separable and enter in linearly. Note that the bound proven in Baird et al (2016) will still be valid, albeit looser, if the geographic spread of epidemiological externalities over time means that even “pure control” (i.e., </w:t>
      </w:r>
      <m:oMath>
        <m:r>
          <w:rPr>
            <w:rFonts w:ascii="Cambria Math" w:hAnsi="Cambria Math"/>
            <w:sz w:val="20"/>
          </w:rPr>
          <m:t>T=0</m:t>
        </m:r>
      </m:oMath>
      <w:r w:rsidRPr="00C049DF">
        <w:rPr>
          <w:rFonts w:ascii="Times New Roman" w:hAnsi="Times New Roman"/>
          <w:i/>
          <w:sz w:val="20"/>
        </w:rPr>
        <w:t xml:space="preserve"> </w:t>
      </w:r>
      <w:r w:rsidRPr="00C049DF">
        <w:rPr>
          <w:rFonts w:ascii="Times New Roman" w:hAnsi="Times New Roman"/>
          <w:sz w:val="20"/>
        </w:rPr>
        <w:t>and</w:t>
      </w:r>
      <m:oMath>
        <m:r>
          <w:rPr>
            <w:rFonts w:ascii="Cambria Math" w:hAnsi="Cambria Math"/>
            <w:sz w:val="20"/>
          </w:rPr>
          <m:t xml:space="preserve"> P=0</m:t>
        </m:r>
      </m:oMath>
      <w:r w:rsidRPr="00C049DF">
        <w:rPr>
          <w:rFonts w:ascii="Times New Roman" w:hAnsi="Times New Roman"/>
          <w:sz w:val="20"/>
        </w:rPr>
        <w:t xml:space="preserve">) schools are subject to some spillover from the program. Those whose infection intensity falls due to cross-school spillovers could themselves generate positive spillovers for other nearby schools, which would then lead to less local re-infection with worms, and so on. </w:t>
      </w:r>
      <w:proofErr w:type="spellStart"/>
      <w:proofErr w:type="gramStart"/>
      <w:r w:rsidRPr="00C049DF">
        <w:rPr>
          <w:rFonts w:ascii="Times New Roman" w:hAnsi="Times New Roman"/>
          <w:sz w:val="20"/>
        </w:rPr>
        <w:t>hile</w:t>
      </w:r>
      <w:proofErr w:type="spellEnd"/>
      <w:proofErr w:type="gramEnd"/>
      <w:r w:rsidRPr="00C049DF">
        <w:rPr>
          <w:rFonts w:ascii="Times New Roman" w:hAnsi="Times New Roman"/>
          <w:sz w:val="20"/>
        </w:rPr>
        <w:t>, of course, these effects may fade over time, no school in our study area of roughly 15</w:t>
      </w:r>
      <w:r w:rsidRPr="00C049DF">
        <w:rPr>
          <w:rFonts w:ascii="Times New Roman" w:hAnsi="Times New Roman"/>
          <w:i/>
          <w:sz w:val="20"/>
        </w:rPr>
        <w:t xml:space="preserve"> </w:t>
      </w:r>
      <w:r w:rsidRPr="00C049DF">
        <w:rPr>
          <w:rFonts w:ascii="Times New Roman" w:hAnsi="Times New Roman"/>
          <w:sz w:val="20"/>
        </w:rPr>
        <w:t>km</w:t>
      </w:r>
      <w:r w:rsidRPr="00C049DF">
        <w:rPr>
          <w:rFonts w:ascii="Times New Roman" w:hAnsi="Times New Roman"/>
          <w:i/>
          <w:sz w:val="20"/>
        </w:rPr>
        <w:t xml:space="preserve"> </w:t>
      </w:r>
      <w:r w:rsidRPr="00C049DF">
        <w:rPr>
          <w:rFonts w:ascii="Times New Roman" w:hAnsi="Times New Roman"/>
          <w:sz w:val="20"/>
        </w:rPr>
        <w:t>by 40 km can be considered a “pure control” in the presence of these externalities.</w:t>
      </w:r>
    </w:p>
  </w:footnote>
  <w:footnote w:id="7">
    <w:p w14:paraId="0D9F47B1" w14:textId="0830251A" w:rsidR="00B57373" w:rsidRPr="00A4436C" w:rsidRDefault="00B57373">
      <w:pPr>
        <w:pStyle w:val="FootnoteText"/>
        <w:rPr>
          <w:rFonts w:ascii="Times New Roman" w:hAnsi="Times New Roman"/>
          <w:sz w:val="20"/>
        </w:rPr>
      </w:pPr>
      <w:r w:rsidRPr="00A4436C">
        <w:rPr>
          <w:rStyle w:val="FootnoteReference"/>
        </w:rPr>
        <w:footnoteRef/>
      </w:r>
      <w:r w:rsidRPr="00A4436C">
        <w:rPr>
          <w:rFonts w:ascii="Times New Roman" w:hAnsi="Times New Roman"/>
          <w:sz w:val="20"/>
        </w:rPr>
        <w:t xml:space="preserve"> </w:t>
      </w:r>
      <w:r>
        <w:rPr>
          <w:rFonts w:ascii="Times New Roman" w:hAnsi="Times New Roman"/>
          <w:sz w:val="20"/>
        </w:rPr>
        <w:t xml:space="preserve">Table 1 presents the coefficient estimates on the deworming treatment indicator, the main focus of this study. Appendix Table A.5 </w:t>
      </w:r>
      <w:r w:rsidR="00140B8E">
        <w:rPr>
          <w:rFonts w:ascii="Times New Roman" w:hAnsi="Times New Roman"/>
          <w:sz w:val="20"/>
        </w:rPr>
        <w:t xml:space="preserve">contains </w:t>
      </w:r>
      <w:r>
        <w:rPr>
          <w:rFonts w:ascii="Times New Roman" w:hAnsi="Times New Roman"/>
          <w:sz w:val="20"/>
        </w:rPr>
        <w:t>results</w:t>
      </w:r>
      <w:r w:rsidR="00140B8E">
        <w:rPr>
          <w:rFonts w:ascii="Times New Roman" w:hAnsi="Times New Roman"/>
          <w:sz w:val="20"/>
        </w:rPr>
        <w:t xml:space="preserve"> from the exact same regressions</w:t>
      </w:r>
      <w:r>
        <w:rPr>
          <w:rFonts w:ascii="Times New Roman" w:hAnsi="Times New Roman"/>
          <w:sz w:val="20"/>
        </w:rPr>
        <w:t xml:space="preserve">, but </w:t>
      </w:r>
      <w:r w:rsidR="00140B8E">
        <w:rPr>
          <w:rFonts w:ascii="Times New Roman" w:hAnsi="Times New Roman"/>
          <w:sz w:val="20"/>
        </w:rPr>
        <w:t xml:space="preserve">also </w:t>
      </w:r>
      <w:r>
        <w:rPr>
          <w:rFonts w:ascii="Times New Roman" w:hAnsi="Times New Roman"/>
          <w:sz w:val="20"/>
        </w:rPr>
        <w:t>presents estimates from other explanatory variables, including the cost-sharing school indicator and the local deworming saturation terms</w:t>
      </w:r>
      <w:r w:rsidR="00140B8E">
        <w:rPr>
          <w:rFonts w:ascii="Times New Roman" w:hAnsi="Times New Roman"/>
          <w:sz w:val="20"/>
        </w:rPr>
        <w:t>, as well as stars indicating statistical significance</w:t>
      </w:r>
      <w:r>
        <w:rPr>
          <w:rFonts w:ascii="Times New Roman" w:hAnsi="Times New Roman"/>
          <w:sz w:val="20"/>
        </w:rPr>
        <w:t xml:space="preserve">. We discuss these additional results below. </w:t>
      </w:r>
    </w:p>
  </w:footnote>
  <w:footnote w:id="8">
    <w:p w14:paraId="1B48B451" w14:textId="7945FDE3" w:rsidR="00B57373" w:rsidRPr="00A70F14" w:rsidRDefault="00B57373">
      <w:pPr>
        <w:pStyle w:val="FootnoteText"/>
        <w:rPr>
          <w:rFonts w:ascii="Times New Roman" w:hAnsi="Times New Roman"/>
          <w:sz w:val="20"/>
        </w:rPr>
      </w:pPr>
      <w:r w:rsidRPr="00A70F14">
        <w:rPr>
          <w:rStyle w:val="FootnoteReference"/>
        </w:rPr>
        <w:footnoteRef/>
      </w:r>
      <w:r w:rsidRPr="00A70F14">
        <w:rPr>
          <w:rFonts w:ascii="Times New Roman" w:hAnsi="Times New Roman"/>
          <w:sz w:val="20"/>
        </w:rPr>
        <w:t xml:space="preserve"> </w:t>
      </w:r>
      <w:r>
        <w:rPr>
          <w:rFonts w:ascii="Times New Roman" w:hAnsi="Times New Roman"/>
          <w:sz w:val="20"/>
        </w:rPr>
        <w:t xml:space="preserve">A more complete presentation of the results in Table 2 are contained in Appendix Table A.6. </w:t>
      </w:r>
      <w:r w:rsidRPr="00A70F14">
        <w:rPr>
          <w:rFonts w:ascii="Times New Roman" w:hAnsi="Times New Roman"/>
          <w:sz w:val="20"/>
        </w:rPr>
        <w:t>The treatment effects estimates show in Figure 1 for the previous 12 months from the KLPS-3 round are</w:t>
      </w:r>
      <w:r>
        <w:rPr>
          <w:rFonts w:ascii="Times New Roman" w:hAnsi="Times New Roman"/>
          <w:sz w:val="20"/>
        </w:rPr>
        <w:t xml:space="preserve"> presented in Appendix Table A.7</w:t>
      </w:r>
      <w:r w:rsidRPr="00A70F14">
        <w:rPr>
          <w:rFonts w:ascii="Times New Roman" w:hAnsi="Times New Roman"/>
          <w:sz w:val="20"/>
        </w:rPr>
        <w:t>.</w:t>
      </w:r>
    </w:p>
  </w:footnote>
  <w:footnote w:id="9">
    <w:p w14:paraId="4A72E1FE" w14:textId="48C6DB28" w:rsidR="00B57373" w:rsidRPr="00C025B2" w:rsidRDefault="00B57373" w:rsidP="00C025B2">
      <w:pPr>
        <w:pStyle w:val="FootnoteText"/>
        <w:rPr>
          <w:rFonts w:ascii="Times New Roman" w:hAnsi="Times New Roman"/>
          <w:sz w:val="20"/>
        </w:rPr>
      </w:pPr>
      <w:r w:rsidRPr="00C025B2">
        <w:rPr>
          <w:rStyle w:val="FootnoteReference"/>
        </w:rPr>
        <w:footnoteRef/>
      </w:r>
      <w:r w:rsidRPr="00C025B2">
        <w:rPr>
          <w:rFonts w:ascii="Times New Roman" w:hAnsi="Times New Roman"/>
          <w:sz w:val="20"/>
        </w:rPr>
        <w:t xml:space="preserve"> </w:t>
      </w:r>
      <w:r>
        <w:rPr>
          <w:rFonts w:ascii="Times New Roman" w:hAnsi="Times New Roman"/>
          <w:sz w:val="20"/>
        </w:rPr>
        <w:t xml:space="preserve">The complete set of living standards results in Table 3 are presented in Appendix Table A.10. </w:t>
      </w:r>
      <w:r w:rsidRPr="00C025B2">
        <w:rPr>
          <w:rFonts w:ascii="Times New Roman" w:hAnsi="Times New Roman"/>
          <w:sz w:val="20"/>
        </w:rPr>
        <w:t>The distributions of per capita consumption (unlogged) are presented in Appendix Figure A.2. The distributions of log per capita food consumption are presented in Appendix Figure A.3.</w:t>
      </w:r>
    </w:p>
  </w:footnote>
  <w:footnote w:id="10">
    <w:p w14:paraId="5A5AFF41" w14:textId="6D0F1044" w:rsidR="00B57373" w:rsidRPr="00F95945" w:rsidRDefault="00B57373">
      <w:pPr>
        <w:pStyle w:val="FootnoteText"/>
        <w:rPr>
          <w:rFonts w:ascii="Times New Roman" w:hAnsi="Times New Roman"/>
          <w:sz w:val="20"/>
        </w:rPr>
      </w:pPr>
      <w:r w:rsidRPr="00F95945">
        <w:rPr>
          <w:rStyle w:val="FootnoteReference"/>
        </w:rPr>
        <w:footnoteRef/>
      </w:r>
      <w:r w:rsidRPr="00F95945">
        <w:rPr>
          <w:rFonts w:ascii="Times New Roman" w:hAnsi="Times New Roman"/>
          <w:sz w:val="20"/>
        </w:rPr>
        <w:t xml:space="preserve"> The results for the separate components of the home characteristics index are presented in Appendix Table A.11.</w:t>
      </w:r>
    </w:p>
  </w:footnote>
  <w:footnote w:id="11">
    <w:p w14:paraId="08660A23" w14:textId="187D118E" w:rsidR="00B57373" w:rsidRPr="006066D5" w:rsidRDefault="00B57373" w:rsidP="00743990">
      <w:pPr>
        <w:pStyle w:val="FootnoteText"/>
        <w:rPr>
          <w:rFonts w:ascii="Times New Roman" w:hAnsi="Times New Roman"/>
          <w:sz w:val="20"/>
        </w:rPr>
      </w:pPr>
      <w:r w:rsidRPr="00D52015">
        <w:rPr>
          <w:rStyle w:val="FootnoteReference"/>
        </w:rPr>
        <w:footnoteRef/>
      </w:r>
      <w:r w:rsidRPr="00124764">
        <w:rPr>
          <w:rFonts w:ascii="Times New Roman" w:hAnsi="Times New Roman"/>
          <w:sz w:val="20"/>
        </w:rPr>
        <w:t xml:space="preserve"> </w:t>
      </w:r>
      <w:r>
        <w:rPr>
          <w:rFonts w:ascii="Times New Roman" w:hAnsi="Times New Roman"/>
          <w:sz w:val="20"/>
        </w:rPr>
        <w:t xml:space="preserve">See </w:t>
      </w:r>
      <w:hyperlink r:id="rId1" w:history="1">
        <w:r w:rsidRPr="00124764">
          <w:rPr>
            <w:rStyle w:val="Hyperlink"/>
            <w:rFonts w:eastAsiaTheme="majorEastAsia"/>
            <w:sz w:val="20"/>
          </w:rPr>
          <w:t>http://www.centralbank.go.ke/securities/bonds/manualresults.aspx</w:t>
        </w:r>
      </w:hyperlink>
      <w:r w:rsidRPr="00124764">
        <w:rPr>
          <w:rFonts w:ascii="Times New Roman" w:hAnsi="Times New Roman"/>
          <w:sz w:val="20"/>
        </w:rPr>
        <w:t xml:space="preserve"> and World Bank Development Indic</w:t>
      </w:r>
      <w:r w:rsidRPr="006066D5">
        <w:rPr>
          <w:rFonts w:ascii="Times New Roman" w:hAnsi="Times New Roman"/>
          <w:sz w:val="20"/>
        </w:rPr>
        <w:t xml:space="preserve">ators. </w:t>
      </w:r>
      <w:r w:rsidRPr="00B26175">
        <w:rPr>
          <w:rFonts w:ascii="Times New Roman" w:hAnsi="Times New Roman"/>
          <w:sz w:val="20"/>
        </w:rPr>
        <w:t>This is a conservative assumption since other potential funders of deworming subsidies (e.g., international organizations</w:t>
      </w:r>
      <w:r>
        <w:rPr>
          <w:rFonts w:ascii="Times New Roman" w:hAnsi="Times New Roman"/>
          <w:sz w:val="20"/>
        </w:rPr>
        <w:t xml:space="preserve">, </w:t>
      </w:r>
      <w:r w:rsidRPr="00B26175">
        <w:rPr>
          <w:rFonts w:ascii="Times New Roman" w:hAnsi="Times New Roman"/>
          <w:sz w:val="20"/>
        </w:rPr>
        <w:t>private donors) are likely to face lower interest rates.</w:t>
      </w:r>
    </w:p>
  </w:footnote>
  <w:footnote w:id="12">
    <w:p w14:paraId="4D9F8A00" w14:textId="68D49DD6" w:rsidR="00B57373" w:rsidRPr="00124764" w:rsidRDefault="00B57373" w:rsidP="00743990">
      <w:pPr>
        <w:pStyle w:val="FootnoteText"/>
        <w:rPr>
          <w:rFonts w:ascii="Times New Roman" w:hAnsi="Times New Roman"/>
          <w:sz w:val="20"/>
          <w:szCs w:val="16"/>
        </w:rPr>
      </w:pPr>
      <w:r w:rsidRPr="00BA4EC1">
        <w:rPr>
          <w:rStyle w:val="FootnoteReference"/>
        </w:rPr>
        <w:footnoteRef/>
      </w:r>
      <w:r w:rsidRPr="00144E60">
        <w:rPr>
          <w:rFonts w:ascii="Times New Roman" w:hAnsi="Times New Roman"/>
          <w:sz w:val="20"/>
        </w:rPr>
        <w:t xml:space="preserve"> </w:t>
      </w:r>
      <w:r w:rsidRPr="00FE239B">
        <w:rPr>
          <w:rFonts w:ascii="Times New Roman" w:hAnsi="Times New Roman"/>
          <w:sz w:val="20"/>
        </w:rPr>
        <w:t xml:space="preserve">This </w:t>
      </w:r>
      <w:r w:rsidR="00111D9A">
        <w:rPr>
          <w:rFonts w:ascii="Times New Roman" w:hAnsi="Times New Roman"/>
          <w:sz w:val="20"/>
        </w:rPr>
        <w:t xml:space="preserve">10 </w:t>
      </w:r>
      <w:r w:rsidRPr="00FE239B">
        <w:rPr>
          <w:rFonts w:ascii="Times New Roman" w:hAnsi="Times New Roman"/>
          <w:sz w:val="20"/>
        </w:rPr>
        <w:t>year gap roughly corresponds to the time elapsed from the start of PSDP until the KLPS</w:t>
      </w:r>
      <w:r w:rsidR="00F77898">
        <w:rPr>
          <w:rFonts w:ascii="Times New Roman" w:hAnsi="Times New Roman"/>
          <w:sz w:val="20"/>
        </w:rPr>
        <w:t>-</w:t>
      </w:r>
      <w:r w:rsidRPr="00FE239B">
        <w:rPr>
          <w:rFonts w:ascii="Times New Roman" w:hAnsi="Times New Roman"/>
          <w:sz w:val="20"/>
        </w:rPr>
        <w:t>2 survey (20</w:t>
      </w:r>
      <w:r>
        <w:rPr>
          <w:rFonts w:ascii="Times New Roman" w:hAnsi="Times New Roman"/>
          <w:sz w:val="20"/>
          <w:szCs w:val="16"/>
        </w:rPr>
        <w:t>07-09). By ignoring the time before KLPS</w:t>
      </w:r>
      <w:r w:rsidR="00111D9A">
        <w:rPr>
          <w:rFonts w:ascii="Times New Roman" w:hAnsi="Times New Roman"/>
          <w:sz w:val="20"/>
          <w:szCs w:val="16"/>
        </w:rPr>
        <w:t>-</w:t>
      </w:r>
      <w:r>
        <w:rPr>
          <w:rFonts w:ascii="Times New Roman" w:hAnsi="Times New Roman"/>
          <w:sz w:val="20"/>
          <w:szCs w:val="16"/>
        </w:rPr>
        <w:t>2 data was collected, it underestimates gains due to greater work hours prior to the survey. Yet it misses any reduction in work hours due to substitution of school for work. However, existing estimates of child labor productivity suggest these foregone earnings are likely to be small (</w:t>
      </w:r>
      <w:proofErr w:type="spellStart"/>
      <w:r>
        <w:rPr>
          <w:rFonts w:ascii="Times New Roman" w:hAnsi="Times New Roman"/>
          <w:sz w:val="20"/>
          <w:szCs w:val="16"/>
        </w:rPr>
        <w:t>Udry</w:t>
      </w:r>
      <w:proofErr w:type="spellEnd"/>
      <w:r>
        <w:rPr>
          <w:rFonts w:ascii="Times New Roman" w:hAnsi="Times New Roman"/>
          <w:sz w:val="20"/>
          <w:szCs w:val="16"/>
        </w:rPr>
        <w:t xml:space="preserve"> 1996).</w:t>
      </w:r>
    </w:p>
  </w:footnote>
  <w:footnote w:id="13">
    <w:p w14:paraId="08AED338" w14:textId="1015E4B8" w:rsidR="00B57373" w:rsidRPr="00955C25" w:rsidRDefault="00B57373" w:rsidP="00743990">
      <w:pPr>
        <w:pStyle w:val="FootnoteText"/>
        <w:rPr>
          <w:rFonts w:ascii="Times New Roman" w:hAnsi="Times New Roman"/>
          <w:sz w:val="20"/>
        </w:rPr>
      </w:pPr>
      <w:r w:rsidRPr="00124764">
        <w:rPr>
          <w:rStyle w:val="FootnoteReference"/>
        </w:rPr>
        <w:footnoteRef/>
      </w:r>
      <w:r w:rsidRPr="00124764">
        <w:rPr>
          <w:rFonts w:ascii="Times New Roman" w:hAnsi="Times New Roman"/>
          <w:sz w:val="20"/>
        </w:rPr>
        <w:t xml:space="preserve"> From World Development Indicators, government expenditures are roughly 19.5% of GDP, and from </w:t>
      </w:r>
      <w:hyperlink r:id="rId2" w:history="1">
        <w:r w:rsidRPr="00124764">
          <w:rPr>
            <w:rStyle w:val="Hyperlink"/>
            <w:rFonts w:eastAsiaTheme="majorEastAsia"/>
            <w:sz w:val="20"/>
          </w:rPr>
          <w:t>http://blogs.worldbank.org/africacan/three-myths-about-aid-to-kenya</w:t>
        </w:r>
      </w:hyperlink>
      <w:r w:rsidRPr="006A13BB">
        <w:rPr>
          <w:rFonts w:ascii="Times New Roman" w:hAnsi="Times New Roman"/>
          <w:sz w:val="20"/>
        </w:rPr>
        <w:t xml:space="preserve"> about 15% of government expenditure is financed from donors</w:t>
      </w:r>
      <w:r w:rsidRPr="00955C25">
        <w:rPr>
          <w:rFonts w:ascii="Times New Roman" w:hAnsi="Times New Roman"/>
          <w:sz w:val="20"/>
        </w:rPr>
        <w:t>, thus 0.195*0.85=0.16</w:t>
      </w:r>
      <w:r>
        <w:rPr>
          <w:rFonts w:ascii="Times New Roman" w:hAnsi="Times New Roman"/>
          <w:sz w:val="20"/>
        </w:rPr>
        <w:t>6</w:t>
      </w:r>
      <w:r w:rsidRPr="00955C25">
        <w:rPr>
          <w:rFonts w:ascii="Times New Roman" w:hAnsi="Times New Roman"/>
          <w:sz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79A07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EF473C"/>
    <w:multiLevelType w:val="hybridMultilevel"/>
    <w:tmpl w:val="9DAC4FEC"/>
    <w:lvl w:ilvl="0" w:tplc="3D2055C4">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B67C7"/>
    <w:multiLevelType w:val="hybridMultilevel"/>
    <w:tmpl w:val="D354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F290B"/>
    <w:multiLevelType w:val="hybridMultilevel"/>
    <w:tmpl w:val="220C8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5E77A2"/>
    <w:multiLevelType w:val="hybridMultilevel"/>
    <w:tmpl w:val="AF585898"/>
    <w:lvl w:ilvl="0" w:tplc="1A0242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01080"/>
    <w:multiLevelType w:val="hybridMultilevel"/>
    <w:tmpl w:val="3E024D94"/>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6" w15:restartNumberingAfterBreak="0">
    <w:nsid w:val="2E0358CE"/>
    <w:multiLevelType w:val="hybridMultilevel"/>
    <w:tmpl w:val="30AEE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F532C8E"/>
    <w:multiLevelType w:val="hybridMultilevel"/>
    <w:tmpl w:val="1C9A876C"/>
    <w:lvl w:ilvl="0" w:tplc="27E00826">
      <w:start w:val="1"/>
      <w:numFmt w:val="lowerLetter"/>
      <w:lvlText w:val="(%1)"/>
      <w:lvlJc w:val="left"/>
      <w:pPr>
        <w:ind w:left="420" w:hanging="360"/>
      </w:pPr>
      <w:rPr>
        <w:rFonts w:hint="default"/>
      </w:rPr>
    </w:lvl>
    <w:lvl w:ilvl="1" w:tplc="14090019" w:tentative="1">
      <w:start w:val="1"/>
      <w:numFmt w:val="lowerLetter"/>
      <w:lvlText w:val="%2."/>
      <w:lvlJc w:val="left"/>
      <w:pPr>
        <w:ind w:left="1140" w:hanging="360"/>
      </w:pPr>
    </w:lvl>
    <w:lvl w:ilvl="2" w:tplc="1409001B" w:tentative="1">
      <w:start w:val="1"/>
      <w:numFmt w:val="lowerRoman"/>
      <w:lvlText w:val="%3."/>
      <w:lvlJc w:val="right"/>
      <w:pPr>
        <w:ind w:left="1860" w:hanging="180"/>
      </w:pPr>
    </w:lvl>
    <w:lvl w:ilvl="3" w:tplc="1409000F" w:tentative="1">
      <w:start w:val="1"/>
      <w:numFmt w:val="decimal"/>
      <w:lvlText w:val="%4."/>
      <w:lvlJc w:val="left"/>
      <w:pPr>
        <w:ind w:left="2580" w:hanging="360"/>
      </w:pPr>
    </w:lvl>
    <w:lvl w:ilvl="4" w:tplc="14090019" w:tentative="1">
      <w:start w:val="1"/>
      <w:numFmt w:val="lowerLetter"/>
      <w:lvlText w:val="%5."/>
      <w:lvlJc w:val="left"/>
      <w:pPr>
        <w:ind w:left="3300" w:hanging="360"/>
      </w:pPr>
    </w:lvl>
    <w:lvl w:ilvl="5" w:tplc="1409001B" w:tentative="1">
      <w:start w:val="1"/>
      <w:numFmt w:val="lowerRoman"/>
      <w:lvlText w:val="%6."/>
      <w:lvlJc w:val="right"/>
      <w:pPr>
        <w:ind w:left="4020" w:hanging="180"/>
      </w:pPr>
    </w:lvl>
    <w:lvl w:ilvl="6" w:tplc="1409000F" w:tentative="1">
      <w:start w:val="1"/>
      <w:numFmt w:val="decimal"/>
      <w:lvlText w:val="%7."/>
      <w:lvlJc w:val="left"/>
      <w:pPr>
        <w:ind w:left="4740" w:hanging="360"/>
      </w:pPr>
    </w:lvl>
    <w:lvl w:ilvl="7" w:tplc="14090019" w:tentative="1">
      <w:start w:val="1"/>
      <w:numFmt w:val="lowerLetter"/>
      <w:lvlText w:val="%8."/>
      <w:lvlJc w:val="left"/>
      <w:pPr>
        <w:ind w:left="5460" w:hanging="360"/>
      </w:pPr>
    </w:lvl>
    <w:lvl w:ilvl="8" w:tplc="1409001B" w:tentative="1">
      <w:start w:val="1"/>
      <w:numFmt w:val="lowerRoman"/>
      <w:lvlText w:val="%9."/>
      <w:lvlJc w:val="right"/>
      <w:pPr>
        <w:ind w:left="6180" w:hanging="180"/>
      </w:pPr>
    </w:lvl>
  </w:abstractNum>
  <w:abstractNum w:abstractNumId="8" w15:restartNumberingAfterBreak="0">
    <w:nsid w:val="43B41742"/>
    <w:multiLevelType w:val="hybridMultilevel"/>
    <w:tmpl w:val="1EAE83A0"/>
    <w:lvl w:ilvl="0" w:tplc="C60663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447BCE"/>
    <w:multiLevelType w:val="hybridMultilevel"/>
    <w:tmpl w:val="DE08839C"/>
    <w:lvl w:ilvl="0" w:tplc="D820D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C3728"/>
    <w:multiLevelType w:val="hybridMultilevel"/>
    <w:tmpl w:val="BBE027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FA708A4"/>
    <w:multiLevelType w:val="hybridMultilevel"/>
    <w:tmpl w:val="F588E4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403C4A"/>
    <w:multiLevelType w:val="hybridMultilevel"/>
    <w:tmpl w:val="720A56D2"/>
    <w:lvl w:ilvl="0" w:tplc="CCAEC3B4">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D938B0"/>
    <w:multiLevelType w:val="hybridMultilevel"/>
    <w:tmpl w:val="AB902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8B0FBA"/>
    <w:multiLevelType w:val="multilevel"/>
    <w:tmpl w:val="730AC572"/>
    <w:lvl w:ilvl="0">
      <w:start w:val="1"/>
      <w:numFmt w:val="upperLetter"/>
      <w:lvlText w:val="%1."/>
      <w:lvlJc w:val="left"/>
      <w:pPr>
        <w:ind w:left="720" w:hanging="360"/>
      </w:pPr>
      <w:rPr>
        <w:rFonts w:hint="default"/>
      </w:rPr>
    </w:lvl>
    <w:lvl w:ilvl="1">
      <w:start w:val="1"/>
      <w:numFmt w:val="decimal"/>
      <w:lvlText w:val="A.%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52B61BB"/>
    <w:multiLevelType w:val="hybridMultilevel"/>
    <w:tmpl w:val="424853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87553B"/>
    <w:multiLevelType w:val="multilevel"/>
    <w:tmpl w:val="958ED438"/>
    <w:lvl w:ilvl="0">
      <w:start w:val="1"/>
      <w:numFmt w:val="upp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CE47DEA"/>
    <w:multiLevelType w:val="hybridMultilevel"/>
    <w:tmpl w:val="5D3A0AEC"/>
    <w:lvl w:ilvl="0" w:tplc="41EAFDD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7CF801D8"/>
    <w:multiLevelType w:val="hybridMultilevel"/>
    <w:tmpl w:val="BBE027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8"/>
  </w:num>
  <w:num w:numId="12">
    <w:abstractNumId w:val="4"/>
  </w:num>
  <w:num w:numId="13">
    <w:abstractNumId w:val="1"/>
  </w:num>
  <w:num w:numId="14">
    <w:abstractNumId w:val="7"/>
  </w:num>
  <w:num w:numId="15">
    <w:abstractNumId w:val="16"/>
  </w:num>
  <w:num w:numId="16">
    <w:abstractNumId w:val="14"/>
  </w:num>
  <w:num w:numId="17">
    <w:abstractNumId w:val="15"/>
  </w:num>
  <w:num w:numId="18">
    <w:abstractNumId w:val="11"/>
  </w:num>
  <w:num w:numId="19">
    <w:abstractNumId w:val="9"/>
  </w:num>
  <w:num w:numId="20">
    <w:abstractNumId w:val="3"/>
  </w:num>
  <w:num w:numId="21">
    <w:abstractNumId w:val="13"/>
  </w:num>
  <w:num w:numId="22">
    <w:abstractNumId w:val="2"/>
  </w:num>
  <w:num w:numId="2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ward Andrew MIGUEL">
    <w15:presenceInfo w15:providerId="None" w15:userId="Edward Andrew MIG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Quarterly J Economics-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2200x509a5tazeww0dpewfvxdwwe2zt9vxt&quot;&gt;Worms-at-Work_2014-12-30&lt;record-ids&gt;&lt;item&gt;3&lt;/item&gt;&lt;item&gt;4&lt;/item&gt;&lt;item&gt;5&lt;/item&gt;&lt;item&gt;8&lt;/item&gt;&lt;item&gt;9&lt;/item&gt;&lt;item&gt;10&lt;/item&gt;&lt;item&gt;12&lt;/item&gt;&lt;item&gt;13&lt;/item&gt;&lt;item&gt;14&lt;/item&gt;&lt;item&gt;16&lt;/item&gt;&lt;item&gt;17&lt;/item&gt;&lt;item&gt;19&lt;/item&gt;&lt;item&gt;20&lt;/item&gt;&lt;item&gt;21&lt;/item&gt;&lt;item&gt;22&lt;/item&gt;&lt;item&gt;23&lt;/item&gt;&lt;item&gt;25&lt;/item&gt;&lt;item&gt;26&lt;/item&gt;&lt;item&gt;27&lt;/item&gt;&lt;item&gt;28&lt;/item&gt;&lt;item&gt;30&lt;/item&gt;&lt;item&gt;31&lt;/item&gt;&lt;item&gt;34&lt;/item&gt;&lt;item&gt;35&lt;/item&gt;&lt;item&gt;36&lt;/item&gt;&lt;item&gt;38&lt;/item&gt;&lt;item&gt;39&lt;/item&gt;&lt;item&gt;40&lt;/item&gt;&lt;item&gt;41&lt;/item&gt;&lt;item&gt;42&lt;/item&gt;&lt;item&gt;43&lt;/item&gt;&lt;item&gt;44&lt;/item&gt;&lt;item&gt;45&lt;/item&gt;&lt;item&gt;46&lt;/item&gt;&lt;item&gt;47&lt;/item&gt;&lt;item&gt;48&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record-ids&gt;&lt;/item&gt;&lt;/Libraries&gt;"/>
  </w:docVars>
  <w:rsids>
    <w:rsidRoot w:val="00AC2F64"/>
    <w:rsid w:val="00000274"/>
    <w:rsid w:val="00000D6A"/>
    <w:rsid w:val="000017CB"/>
    <w:rsid w:val="0000268A"/>
    <w:rsid w:val="00002ABF"/>
    <w:rsid w:val="00002B43"/>
    <w:rsid w:val="00002F44"/>
    <w:rsid w:val="000034D0"/>
    <w:rsid w:val="00003581"/>
    <w:rsid w:val="0000478E"/>
    <w:rsid w:val="00004940"/>
    <w:rsid w:val="00004E82"/>
    <w:rsid w:val="000055B0"/>
    <w:rsid w:val="00006276"/>
    <w:rsid w:val="00006BDC"/>
    <w:rsid w:val="00007535"/>
    <w:rsid w:val="00007A4B"/>
    <w:rsid w:val="00010036"/>
    <w:rsid w:val="000126DE"/>
    <w:rsid w:val="00012F92"/>
    <w:rsid w:val="00013745"/>
    <w:rsid w:val="00013BA9"/>
    <w:rsid w:val="00013BDA"/>
    <w:rsid w:val="000144EA"/>
    <w:rsid w:val="0001451F"/>
    <w:rsid w:val="00014BAA"/>
    <w:rsid w:val="000153EC"/>
    <w:rsid w:val="00015DD8"/>
    <w:rsid w:val="0001692E"/>
    <w:rsid w:val="00017E2E"/>
    <w:rsid w:val="00020E0B"/>
    <w:rsid w:val="00022298"/>
    <w:rsid w:val="000226ED"/>
    <w:rsid w:val="0002336C"/>
    <w:rsid w:val="0002336D"/>
    <w:rsid w:val="0002372E"/>
    <w:rsid w:val="00024150"/>
    <w:rsid w:val="000244DC"/>
    <w:rsid w:val="00024526"/>
    <w:rsid w:val="00024B42"/>
    <w:rsid w:val="00025396"/>
    <w:rsid w:val="00026115"/>
    <w:rsid w:val="000270A6"/>
    <w:rsid w:val="00027956"/>
    <w:rsid w:val="000317CA"/>
    <w:rsid w:val="00031C94"/>
    <w:rsid w:val="00032C76"/>
    <w:rsid w:val="00032DE3"/>
    <w:rsid w:val="000330B7"/>
    <w:rsid w:val="00033430"/>
    <w:rsid w:val="00033D98"/>
    <w:rsid w:val="00034156"/>
    <w:rsid w:val="0003434C"/>
    <w:rsid w:val="000349EA"/>
    <w:rsid w:val="000350AF"/>
    <w:rsid w:val="000352AE"/>
    <w:rsid w:val="00035839"/>
    <w:rsid w:val="000360C1"/>
    <w:rsid w:val="0003624D"/>
    <w:rsid w:val="0003629D"/>
    <w:rsid w:val="0003650C"/>
    <w:rsid w:val="000366AC"/>
    <w:rsid w:val="0003676F"/>
    <w:rsid w:val="00036E09"/>
    <w:rsid w:val="00036FCA"/>
    <w:rsid w:val="000377FA"/>
    <w:rsid w:val="00037DEE"/>
    <w:rsid w:val="00037EE9"/>
    <w:rsid w:val="000412E3"/>
    <w:rsid w:val="000427A2"/>
    <w:rsid w:val="00042C9C"/>
    <w:rsid w:val="0004405B"/>
    <w:rsid w:val="0004457F"/>
    <w:rsid w:val="00044C89"/>
    <w:rsid w:val="0004529E"/>
    <w:rsid w:val="00045B60"/>
    <w:rsid w:val="000464D7"/>
    <w:rsid w:val="000467FC"/>
    <w:rsid w:val="0004703E"/>
    <w:rsid w:val="0004720D"/>
    <w:rsid w:val="00047255"/>
    <w:rsid w:val="00047628"/>
    <w:rsid w:val="00047791"/>
    <w:rsid w:val="0004782C"/>
    <w:rsid w:val="00050E24"/>
    <w:rsid w:val="0005174D"/>
    <w:rsid w:val="000518E7"/>
    <w:rsid w:val="00051904"/>
    <w:rsid w:val="00051BAB"/>
    <w:rsid w:val="00052525"/>
    <w:rsid w:val="0005269A"/>
    <w:rsid w:val="00052FEC"/>
    <w:rsid w:val="000537A6"/>
    <w:rsid w:val="00053FCA"/>
    <w:rsid w:val="00054246"/>
    <w:rsid w:val="00054614"/>
    <w:rsid w:val="00054932"/>
    <w:rsid w:val="00055350"/>
    <w:rsid w:val="00055624"/>
    <w:rsid w:val="00055644"/>
    <w:rsid w:val="00055B96"/>
    <w:rsid w:val="00055D0B"/>
    <w:rsid w:val="000562E0"/>
    <w:rsid w:val="00056438"/>
    <w:rsid w:val="0005691E"/>
    <w:rsid w:val="00056A24"/>
    <w:rsid w:val="00056B7A"/>
    <w:rsid w:val="0005736F"/>
    <w:rsid w:val="0006054E"/>
    <w:rsid w:val="00061353"/>
    <w:rsid w:val="00062110"/>
    <w:rsid w:val="000622D8"/>
    <w:rsid w:val="000625F1"/>
    <w:rsid w:val="0006278F"/>
    <w:rsid w:val="00062B24"/>
    <w:rsid w:val="00062C8F"/>
    <w:rsid w:val="00062F82"/>
    <w:rsid w:val="0006323B"/>
    <w:rsid w:val="000634C1"/>
    <w:rsid w:val="0006373B"/>
    <w:rsid w:val="00064AD5"/>
    <w:rsid w:val="00065138"/>
    <w:rsid w:val="0006521B"/>
    <w:rsid w:val="00065462"/>
    <w:rsid w:val="00065C15"/>
    <w:rsid w:val="00065C6E"/>
    <w:rsid w:val="00065D9D"/>
    <w:rsid w:val="00066049"/>
    <w:rsid w:val="000674D1"/>
    <w:rsid w:val="00067A3E"/>
    <w:rsid w:val="00067AB2"/>
    <w:rsid w:val="00067D4A"/>
    <w:rsid w:val="00067DF2"/>
    <w:rsid w:val="00067FD7"/>
    <w:rsid w:val="00070A5D"/>
    <w:rsid w:val="00070E82"/>
    <w:rsid w:val="000710CC"/>
    <w:rsid w:val="00071540"/>
    <w:rsid w:val="000715CA"/>
    <w:rsid w:val="0007246B"/>
    <w:rsid w:val="00072A6D"/>
    <w:rsid w:val="00072BDF"/>
    <w:rsid w:val="00072DBD"/>
    <w:rsid w:val="0007322C"/>
    <w:rsid w:val="00073630"/>
    <w:rsid w:val="00074311"/>
    <w:rsid w:val="00074890"/>
    <w:rsid w:val="000748D1"/>
    <w:rsid w:val="0007544A"/>
    <w:rsid w:val="00075B97"/>
    <w:rsid w:val="00075DD8"/>
    <w:rsid w:val="0007664D"/>
    <w:rsid w:val="00080B85"/>
    <w:rsid w:val="00080EDF"/>
    <w:rsid w:val="000811F6"/>
    <w:rsid w:val="00081240"/>
    <w:rsid w:val="000817D9"/>
    <w:rsid w:val="00081A9A"/>
    <w:rsid w:val="000828EB"/>
    <w:rsid w:val="00083018"/>
    <w:rsid w:val="000832B8"/>
    <w:rsid w:val="00083C15"/>
    <w:rsid w:val="000844A5"/>
    <w:rsid w:val="00084A71"/>
    <w:rsid w:val="00084BCA"/>
    <w:rsid w:val="0008533F"/>
    <w:rsid w:val="00085EA7"/>
    <w:rsid w:val="0008657C"/>
    <w:rsid w:val="00086A20"/>
    <w:rsid w:val="00086E43"/>
    <w:rsid w:val="00087293"/>
    <w:rsid w:val="00087BB7"/>
    <w:rsid w:val="00090B11"/>
    <w:rsid w:val="00090F54"/>
    <w:rsid w:val="000916DA"/>
    <w:rsid w:val="000917BB"/>
    <w:rsid w:val="00092736"/>
    <w:rsid w:val="0009297A"/>
    <w:rsid w:val="0009332F"/>
    <w:rsid w:val="000937F0"/>
    <w:rsid w:val="00093D79"/>
    <w:rsid w:val="00094B0F"/>
    <w:rsid w:val="00094D4D"/>
    <w:rsid w:val="00094D5E"/>
    <w:rsid w:val="0009513D"/>
    <w:rsid w:val="0009565B"/>
    <w:rsid w:val="00095D65"/>
    <w:rsid w:val="000977D3"/>
    <w:rsid w:val="00097956"/>
    <w:rsid w:val="00097D32"/>
    <w:rsid w:val="000A006D"/>
    <w:rsid w:val="000A0328"/>
    <w:rsid w:val="000A08FF"/>
    <w:rsid w:val="000A15DB"/>
    <w:rsid w:val="000A1688"/>
    <w:rsid w:val="000A2169"/>
    <w:rsid w:val="000A3903"/>
    <w:rsid w:val="000A390C"/>
    <w:rsid w:val="000A4054"/>
    <w:rsid w:val="000A441F"/>
    <w:rsid w:val="000A4810"/>
    <w:rsid w:val="000A62C3"/>
    <w:rsid w:val="000A66ED"/>
    <w:rsid w:val="000A6753"/>
    <w:rsid w:val="000A6E47"/>
    <w:rsid w:val="000A6FCC"/>
    <w:rsid w:val="000A708A"/>
    <w:rsid w:val="000B049E"/>
    <w:rsid w:val="000B0AF7"/>
    <w:rsid w:val="000B0B95"/>
    <w:rsid w:val="000B0BF6"/>
    <w:rsid w:val="000B0E59"/>
    <w:rsid w:val="000B13BA"/>
    <w:rsid w:val="000B1BC4"/>
    <w:rsid w:val="000B24A8"/>
    <w:rsid w:val="000B2543"/>
    <w:rsid w:val="000B3889"/>
    <w:rsid w:val="000B3963"/>
    <w:rsid w:val="000B3979"/>
    <w:rsid w:val="000B5963"/>
    <w:rsid w:val="000B5D88"/>
    <w:rsid w:val="000B64A7"/>
    <w:rsid w:val="000B68B4"/>
    <w:rsid w:val="000C0BAF"/>
    <w:rsid w:val="000C179A"/>
    <w:rsid w:val="000C193C"/>
    <w:rsid w:val="000C1AF4"/>
    <w:rsid w:val="000C27AB"/>
    <w:rsid w:val="000C2CFA"/>
    <w:rsid w:val="000C2D76"/>
    <w:rsid w:val="000C2F9F"/>
    <w:rsid w:val="000C325C"/>
    <w:rsid w:val="000C37F8"/>
    <w:rsid w:val="000C39E2"/>
    <w:rsid w:val="000C59F8"/>
    <w:rsid w:val="000C7275"/>
    <w:rsid w:val="000C745F"/>
    <w:rsid w:val="000C7821"/>
    <w:rsid w:val="000D058E"/>
    <w:rsid w:val="000D0639"/>
    <w:rsid w:val="000D0D82"/>
    <w:rsid w:val="000D285F"/>
    <w:rsid w:val="000D3062"/>
    <w:rsid w:val="000D340E"/>
    <w:rsid w:val="000D373A"/>
    <w:rsid w:val="000D39BC"/>
    <w:rsid w:val="000D54EB"/>
    <w:rsid w:val="000D58BF"/>
    <w:rsid w:val="000D63AC"/>
    <w:rsid w:val="000D63C5"/>
    <w:rsid w:val="000D6B24"/>
    <w:rsid w:val="000D6D70"/>
    <w:rsid w:val="000D7569"/>
    <w:rsid w:val="000D7A82"/>
    <w:rsid w:val="000E08AF"/>
    <w:rsid w:val="000E0FEE"/>
    <w:rsid w:val="000E1650"/>
    <w:rsid w:val="000E1B6A"/>
    <w:rsid w:val="000E2117"/>
    <w:rsid w:val="000E2AFC"/>
    <w:rsid w:val="000E2D27"/>
    <w:rsid w:val="000E2FE2"/>
    <w:rsid w:val="000E3BBA"/>
    <w:rsid w:val="000E4093"/>
    <w:rsid w:val="000E43F9"/>
    <w:rsid w:val="000E50D5"/>
    <w:rsid w:val="000E5673"/>
    <w:rsid w:val="000E6164"/>
    <w:rsid w:val="000E6CC8"/>
    <w:rsid w:val="000E7F18"/>
    <w:rsid w:val="000F0251"/>
    <w:rsid w:val="000F0297"/>
    <w:rsid w:val="000F04D0"/>
    <w:rsid w:val="000F0549"/>
    <w:rsid w:val="000F07BA"/>
    <w:rsid w:val="000F082A"/>
    <w:rsid w:val="000F0843"/>
    <w:rsid w:val="000F0C7E"/>
    <w:rsid w:val="000F0E09"/>
    <w:rsid w:val="000F1142"/>
    <w:rsid w:val="000F29F8"/>
    <w:rsid w:val="000F30DE"/>
    <w:rsid w:val="000F3605"/>
    <w:rsid w:val="000F385C"/>
    <w:rsid w:val="000F3A7C"/>
    <w:rsid w:val="000F42A1"/>
    <w:rsid w:val="000F5D1B"/>
    <w:rsid w:val="001000B5"/>
    <w:rsid w:val="00100BCB"/>
    <w:rsid w:val="00100D55"/>
    <w:rsid w:val="001022C2"/>
    <w:rsid w:val="001023F9"/>
    <w:rsid w:val="001029EC"/>
    <w:rsid w:val="0010306C"/>
    <w:rsid w:val="00104D96"/>
    <w:rsid w:val="00105747"/>
    <w:rsid w:val="001058E7"/>
    <w:rsid w:val="00105BA9"/>
    <w:rsid w:val="001066FF"/>
    <w:rsid w:val="001071C5"/>
    <w:rsid w:val="0010720D"/>
    <w:rsid w:val="00110282"/>
    <w:rsid w:val="00110600"/>
    <w:rsid w:val="0011119A"/>
    <w:rsid w:val="00111383"/>
    <w:rsid w:val="001114F3"/>
    <w:rsid w:val="00111D9A"/>
    <w:rsid w:val="001123CF"/>
    <w:rsid w:val="0011283A"/>
    <w:rsid w:val="00112C6D"/>
    <w:rsid w:val="0011331F"/>
    <w:rsid w:val="001136C6"/>
    <w:rsid w:val="00113B2C"/>
    <w:rsid w:val="00113E83"/>
    <w:rsid w:val="00114410"/>
    <w:rsid w:val="001147B6"/>
    <w:rsid w:val="00114EB3"/>
    <w:rsid w:val="00115885"/>
    <w:rsid w:val="00116256"/>
    <w:rsid w:val="001164D1"/>
    <w:rsid w:val="00116627"/>
    <w:rsid w:val="00116E4C"/>
    <w:rsid w:val="00117963"/>
    <w:rsid w:val="00120111"/>
    <w:rsid w:val="00120802"/>
    <w:rsid w:val="00120E51"/>
    <w:rsid w:val="00121162"/>
    <w:rsid w:val="0012150A"/>
    <w:rsid w:val="001215FE"/>
    <w:rsid w:val="00123212"/>
    <w:rsid w:val="00123F5C"/>
    <w:rsid w:val="00124461"/>
    <w:rsid w:val="00124A40"/>
    <w:rsid w:val="0012550A"/>
    <w:rsid w:val="0012559C"/>
    <w:rsid w:val="0012561B"/>
    <w:rsid w:val="0012645B"/>
    <w:rsid w:val="00127BD9"/>
    <w:rsid w:val="00130038"/>
    <w:rsid w:val="0013058D"/>
    <w:rsid w:val="00130ABA"/>
    <w:rsid w:val="00130DC2"/>
    <w:rsid w:val="00131166"/>
    <w:rsid w:val="0013126A"/>
    <w:rsid w:val="00131769"/>
    <w:rsid w:val="00131AAE"/>
    <w:rsid w:val="0013250C"/>
    <w:rsid w:val="001336C1"/>
    <w:rsid w:val="00134FEB"/>
    <w:rsid w:val="0013500A"/>
    <w:rsid w:val="00136CAF"/>
    <w:rsid w:val="0013702A"/>
    <w:rsid w:val="001371E7"/>
    <w:rsid w:val="00137529"/>
    <w:rsid w:val="0013790D"/>
    <w:rsid w:val="00137F92"/>
    <w:rsid w:val="0014018D"/>
    <w:rsid w:val="001407E5"/>
    <w:rsid w:val="00140B8E"/>
    <w:rsid w:val="00140D97"/>
    <w:rsid w:val="00141433"/>
    <w:rsid w:val="00141719"/>
    <w:rsid w:val="00141E59"/>
    <w:rsid w:val="00142C80"/>
    <w:rsid w:val="001441E5"/>
    <w:rsid w:val="00144BC7"/>
    <w:rsid w:val="00144DE4"/>
    <w:rsid w:val="00144E60"/>
    <w:rsid w:val="001451A0"/>
    <w:rsid w:val="00145C30"/>
    <w:rsid w:val="0014605F"/>
    <w:rsid w:val="00146499"/>
    <w:rsid w:val="00146FD7"/>
    <w:rsid w:val="00147C27"/>
    <w:rsid w:val="00147DFF"/>
    <w:rsid w:val="00150530"/>
    <w:rsid w:val="001509C0"/>
    <w:rsid w:val="001513D6"/>
    <w:rsid w:val="001518B8"/>
    <w:rsid w:val="001519E4"/>
    <w:rsid w:val="00151AEE"/>
    <w:rsid w:val="00151ECE"/>
    <w:rsid w:val="0015287A"/>
    <w:rsid w:val="00152BEB"/>
    <w:rsid w:val="00152C2E"/>
    <w:rsid w:val="00152CFD"/>
    <w:rsid w:val="00152F52"/>
    <w:rsid w:val="0015343E"/>
    <w:rsid w:val="0015489C"/>
    <w:rsid w:val="00155009"/>
    <w:rsid w:val="001552A8"/>
    <w:rsid w:val="00155336"/>
    <w:rsid w:val="001553D8"/>
    <w:rsid w:val="00155571"/>
    <w:rsid w:val="00157FE3"/>
    <w:rsid w:val="001606D0"/>
    <w:rsid w:val="00160782"/>
    <w:rsid w:val="001607D6"/>
    <w:rsid w:val="00160BB9"/>
    <w:rsid w:val="00160FA8"/>
    <w:rsid w:val="00161842"/>
    <w:rsid w:val="00162236"/>
    <w:rsid w:val="00162554"/>
    <w:rsid w:val="00163153"/>
    <w:rsid w:val="00163A54"/>
    <w:rsid w:val="00163C0F"/>
    <w:rsid w:val="00164316"/>
    <w:rsid w:val="001647CF"/>
    <w:rsid w:val="0016614A"/>
    <w:rsid w:val="0016627D"/>
    <w:rsid w:val="001669FA"/>
    <w:rsid w:val="00166E2D"/>
    <w:rsid w:val="00167304"/>
    <w:rsid w:val="00167D8D"/>
    <w:rsid w:val="0017080B"/>
    <w:rsid w:val="00170A7B"/>
    <w:rsid w:val="00171057"/>
    <w:rsid w:val="001716F3"/>
    <w:rsid w:val="0017188F"/>
    <w:rsid w:val="00172C99"/>
    <w:rsid w:val="001733F9"/>
    <w:rsid w:val="00173901"/>
    <w:rsid w:val="0017509E"/>
    <w:rsid w:val="00175A24"/>
    <w:rsid w:val="00175E62"/>
    <w:rsid w:val="00176488"/>
    <w:rsid w:val="00176C98"/>
    <w:rsid w:val="001772A2"/>
    <w:rsid w:val="00177C78"/>
    <w:rsid w:val="00180EB8"/>
    <w:rsid w:val="00181583"/>
    <w:rsid w:val="001818F4"/>
    <w:rsid w:val="00181C7E"/>
    <w:rsid w:val="00182A7F"/>
    <w:rsid w:val="00182BB3"/>
    <w:rsid w:val="00183293"/>
    <w:rsid w:val="001849E0"/>
    <w:rsid w:val="0018575F"/>
    <w:rsid w:val="001859E3"/>
    <w:rsid w:val="00186C8F"/>
    <w:rsid w:val="001871E4"/>
    <w:rsid w:val="001909E4"/>
    <w:rsid w:val="00191CDD"/>
    <w:rsid w:val="00192501"/>
    <w:rsid w:val="00192B77"/>
    <w:rsid w:val="00193BF0"/>
    <w:rsid w:val="00193CA0"/>
    <w:rsid w:val="00194417"/>
    <w:rsid w:val="00197133"/>
    <w:rsid w:val="001A0CE7"/>
    <w:rsid w:val="001A1468"/>
    <w:rsid w:val="001A1DC4"/>
    <w:rsid w:val="001A24B8"/>
    <w:rsid w:val="001A255E"/>
    <w:rsid w:val="001A3779"/>
    <w:rsid w:val="001A3797"/>
    <w:rsid w:val="001A3981"/>
    <w:rsid w:val="001A43D7"/>
    <w:rsid w:val="001A48F3"/>
    <w:rsid w:val="001A5049"/>
    <w:rsid w:val="001A562B"/>
    <w:rsid w:val="001A5D60"/>
    <w:rsid w:val="001A5DF2"/>
    <w:rsid w:val="001A69E8"/>
    <w:rsid w:val="001A6ECC"/>
    <w:rsid w:val="001A6F3F"/>
    <w:rsid w:val="001A7601"/>
    <w:rsid w:val="001B05D3"/>
    <w:rsid w:val="001B074A"/>
    <w:rsid w:val="001B10EC"/>
    <w:rsid w:val="001B1F53"/>
    <w:rsid w:val="001B1F80"/>
    <w:rsid w:val="001B2CB7"/>
    <w:rsid w:val="001B2D7E"/>
    <w:rsid w:val="001B2D96"/>
    <w:rsid w:val="001B2E19"/>
    <w:rsid w:val="001B2FB2"/>
    <w:rsid w:val="001B3985"/>
    <w:rsid w:val="001B4C59"/>
    <w:rsid w:val="001B4D68"/>
    <w:rsid w:val="001B546D"/>
    <w:rsid w:val="001B59DE"/>
    <w:rsid w:val="001B5D1F"/>
    <w:rsid w:val="001B60CE"/>
    <w:rsid w:val="001B7CAE"/>
    <w:rsid w:val="001B7EE0"/>
    <w:rsid w:val="001C0908"/>
    <w:rsid w:val="001C1159"/>
    <w:rsid w:val="001C268E"/>
    <w:rsid w:val="001C2865"/>
    <w:rsid w:val="001C28CE"/>
    <w:rsid w:val="001C2B2C"/>
    <w:rsid w:val="001C382A"/>
    <w:rsid w:val="001C4274"/>
    <w:rsid w:val="001C4E65"/>
    <w:rsid w:val="001C552B"/>
    <w:rsid w:val="001C58C6"/>
    <w:rsid w:val="001C5C2D"/>
    <w:rsid w:val="001C5D9A"/>
    <w:rsid w:val="001C5EFC"/>
    <w:rsid w:val="001C5F7E"/>
    <w:rsid w:val="001C63E4"/>
    <w:rsid w:val="001C708E"/>
    <w:rsid w:val="001D01E3"/>
    <w:rsid w:val="001D03DB"/>
    <w:rsid w:val="001D0924"/>
    <w:rsid w:val="001D0C2D"/>
    <w:rsid w:val="001D1475"/>
    <w:rsid w:val="001D1DC0"/>
    <w:rsid w:val="001D2836"/>
    <w:rsid w:val="001D4EA0"/>
    <w:rsid w:val="001D50B9"/>
    <w:rsid w:val="001D59AC"/>
    <w:rsid w:val="001D5C9A"/>
    <w:rsid w:val="001D5EE2"/>
    <w:rsid w:val="001E083F"/>
    <w:rsid w:val="001E0E66"/>
    <w:rsid w:val="001E1090"/>
    <w:rsid w:val="001E1E0E"/>
    <w:rsid w:val="001E1FA8"/>
    <w:rsid w:val="001E2098"/>
    <w:rsid w:val="001E240E"/>
    <w:rsid w:val="001E268E"/>
    <w:rsid w:val="001E30EF"/>
    <w:rsid w:val="001E4579"/>
    <w:rsid w:val="001E4F48"/>
    <w:rsid w:val="001E50ED"/>
    <w:rsid w:val="001E543D"/>
    <w:rsid w:val="001E5550"/>
    <w:rsid w:val="001E55FE"/>
    <w:rsid w:val="001E5694"/>
    <w:rsid w:val="001E56B9"/>
    <w:rsid w:val="001E5806"/>
    <w:rsid w:val="001E6371"/>
    <w:rsid w:val="001E67AA"/>
    <w:rsid w:val="001E7F34"/>
    <w:rsid w:val="001F0367"/>
    <w:rsid w:val="001F0536"/>
    <w:rsid w:val="001F0E1A"/>
    <w:rsid w:val="001F16FC"/>
    <w:rsid w:val="001F1E8A"/>
    <w:rsid w:val="001F1F60"/>
    <w:rsid w:val="001F207E"/>
    <w:rsid w:val="001F2BFD"/>
    <w:rsid w:val="001F2D62"/>
    <w:rsid w:val="001F39C1"/>
    <w:rsid w:val="001F54C8"/>
    <w:rsid w:val="001F7C5C"/>
    <w:rsid w:val="001F7D9D"/>
    <w:rsid w:val="002002DC"/>
    <w:rsid w:val="00200362"/>
    <w:rsid w:val="00200C41"/>
    <w:rsid w:val="00200E53"/>
    <w:rsid w:val="0020269F"/>
    <w:rsid w:val="00203739"/>
    <w:rsid w:val="00203918"/>
    <w:rsid w:val="00203AE1"/>
    <w:rsid w:val="00203CB2"/>
    <w:rsid w:val="002042E2"/>
    <w:rsid w:val="002044F9"/>
    <w:rsid w:val="00204C20"/>
    <w:rsid w:val="00204D82"/>
    <w:rsid w:val="00205237"/>
    <w:rsid w:val="00205309"/>
    <w:rsid w:val="002061E5"/>
    <w:rsid w:val="00206731"/>
    <w:rsid w:val="002067C4"/>
    <w:rsid w:val="00206AF4"/>
    <w:rsid w:val="00206C08"/>
    <w:rsid w:val="00206FDC"/>
    <w:rsid w:val="00207221"/>
    <w:rsid w:val="0020761D"/>
    <w:rsid w:val="00207909"/>
    <w:rsid w:val="00210C6D"/>
    <w:rsid w:val="00210E1A"/>
    <w:rsid w:val="002111E2"/>
    <w:rsid w:val="00212E4F"/>
    <w:rsid w:val="0021315B"/>
    <w:rsid w:val="00213228"/>
    <w:rsid w:val="002139BE"/>
    <w:rsid w:val="00214FE7"/>
    <w:rsid w:val="00215069"/>
    <w:rsid w:val="00215E54"/>
    <w:rsid w:val="00220E30"/>
    <w:rsid w:val="002234D4"/>
    <w:rsid w:val="00223DE0"/>
    <w:rsid w:val="00223FD1"/>
    <w:rsid w:val="002246E1"/>
    <w:rsid w:val="00224B3E"/>
    <w:rsid w:val="002256A8"/>
    <w:rsid w:val="00226054"/>
    <w:rsid w:val="002263D2"/>
    <w:rsid w:val="002268D1"/>
    <w:rsid w:val="00227860"/>
    <w:rsid w:val="00227A7A"/>
    <w:rsid w:val="0023058F"/>
    <w:rsid w:val="00230914"/>
    <w:rsid w:val="00231715"/>
    <w:rsid w:val="00232B0C"/>
    <w:rsid w:val="0023349A"/>
    <w:rsid w:val="0023370E"/>
    <w:rsid w:val="002338A8"/>
    <w:rsid w:val="00233C71"/>
    <w:rsid w:val="00234874"/>
    <w:rsid w:val="00234A0B"/>
    <w:rsid w:val="00234A22"/>
    <w:rsid w:val="0023501C"/>
    <w:rsid w:val="00235FA7"/>
    <w:rsid w:val="00236703"/>
    <w:rsid w:val="00236BA5"/>
    <w:rsid w:val="00236E61"/>
    <w:rsid w:val="0023718E"/>
    <w:rsid w:val="002375B4"/>
    <w:rsid w:val="00237EF9"/>
    <w:rsid w:val="002401B1"/>
    <w:rsid w:val="002409EA"/>
    <w:rsid w:val="00240A4D"/>
    <w:rsid w:val="00240F22"/>
    <w:rsid w:val="00240FA4"/>
    <w:rsid w:val="002420A7"/>
    <w:rsid w:val="0024393C"/>
    <w:rsid w:val="00243CFA"/>
    <w:rsid w:val="00243EE0"/>
    <w:rsid w:val="00244175"/>
    <w:rsid w:val="00244DC7"/>
    <w:rsid w:val="0024580A"/>
    <w:rsid w:val="00245F1F"/>
    <w:rsid w:val="00246423"/>
    <w:rsid w:val="0024655F"/>
    <w:rsid w:val="00246F68"/>
    <w:rsid w:val="0024736C"/>
    <w:rsid w:val="00247D26"/>
    <w:rsid w:val="00250372"/>
    <w:rsid w:val="00250696"/>
    <w:rsid w:val="0025095B"/>
    <w:rsid w:val="00250D4D"/>
    <w:rsid w:val="00251FA7"/>
    <w:rsid w:val="00252069"/>
    <w:rsid w:val="002522A4"/>
    <w:rsid w:val="00252913"/>
    <w:rsid w:val="002543E0"/>
    <w:rsid w:val="00254AA6"/>
    <w:rsid w:val="00255CC7"/>
    <w:rsid w:val="0025695B"/>
    <w:rsid w:val="00257181"/>
    <w:rsid w:val="00257529"/>
    <w:rsid w:val="00257623"/>
    <w:rsid w:val="00260A26"/>
    <w:rsid w:val="00260D70"/>
    <w:rsid w:val="002614C6"/>
    <w:rsid w:val="00262328"/>
    <w:rsid w:val="00262E18"/>
    <w:rsid w:val="002638D8"/>
    <w:rsid w:val="002647F5"/>
    <w:rsid w:val="00264F34"/>
    <w:rsid w:val="0026560F"/>
    <w:rsid w:val="00266C69"/>
    <w:rsid w:val="00267547"/>
    <w:rsid w:val="00270008"/>
    <w:rsid w:val="002705D3"/>
    <w:rsid w:val="00270940"/>
    <w:rsid w:val="00270B4C"/>
    <w:rsid w:val="00272458"/>
    <w:rsid w:val="00272687"/>
    <w:rsid w:val="002729F3"/>
    <w:rsid w:val="00274DDE"/>
    <w:rsid w:val="002753C7"/>
    <w:rsid w:val="00275764"/>
    <w:rsid w:val="00276B86"/>
    <w:rsid w:val="00276DAD"/>
    <w:rsid w:val="0027755A"/>
    <w:rsid w:val="00277DA4"/>
    <w:rsid w:val="00280805"/>
    <w:rsid w:val="00280F42"/>
    <w:rsid w:val="002812D8"/>
    <w:rsid w:val="002816CD"/>
    <w:rsid w:val="00281E30"/>
    <w:rsid w:val="002828E1"/>
    <w:rsid w:val="00282A38"/>
    <w:rsid w:val="00283816"/>
    <w:rsid w:val="0028434B"/>
    <w:rsid w:val="0028519F"/>
    <w:rsid w:val="002852B8"/>
    <w:rsid w:val="0028540C"/>
    <w:rsid w:val="00285D3F"/>
    <w:rsid w:val="00286106"/>
    <w:rsid w:val="002864D6"/>
    <w:rsid w:val="002865EE"/>
    <w:rsid w:val="00286F95"/>
    <w:rsid w:val="00290815"/>
    <w:rsid w:val="00291CD8"/>
    <w:rsid w:val="002927D9"/>
    <w:rsid w:val="002948A0"/>
    <w:rsid w:val="00294B95"/>
    <w:rsid w:val="00294C66"/>
    <w:rsid w:val="0029505F"/>
    <w:rsid w:val="0029526A"/>
    <w:rsid w:val="0029604E"/>
    <w:rsid w:val="002965A3"/>
    <w:rsid w:val="00296CE1"/>
    <w:rsid w:val="00297185"/>
    <w:rsid w:val="0029773E"/>
    <w:rsid w:val="002A0203"/>
    <w:rsid w:val="002A0351"/>
    <w:rsid w:val="002A190E"/>
    <w:rsid w:val="002A1B75"/>
    <w:rsid w:val="002A3160"/>
    <w:rsid w:val="002A445D"/>
    <w:rsid w:val="002A4BFC"/>
    <w:rsid w:val="002A56A9"/>
    <w:rsid w:val="002A5AD9"/>
    <w:rsid w:val="002A5B98"/>
    <w:rsid w:val="002A7208"/>
    <w:rsid w:val="002A72FB"/>
    <w:rsid w:val="002A7759"/>
    <w:rsid w:val="002B0126"/>
    <w:rsid w:val="002B06E7"/>
    <w:rsid w:val="002B08A5"/>
    <w:rsid w:val="002B0E5E"/>
    <w:rsid w:val="002B20D5"/>
    <w:rsid w:val="002B2736"/>
    <w:rsid w:val="002B3236"/>
    <w:rsid w:val="002B37DC"/>
    <w:rsid w:val="002B3BF5"/>
    <w:rsid w:val="002B41E2"/>
    <w:rsid w:val="002B524E"/>
    <w:rsid w:val="002B61CC"/>
    <w:rsid w:val="002B6965"/>
    <w:rsid w:val="002B7E64"/>
    <w:rsid w:val="002C0177"/>
    <w:rsid w:val="002C09F2"/>
    <w:rsid w:val="002C10CC"/>
    <w:rsid w:val="002C1245"/>
    <w:rsid w:val="002C1B4E"/>
    <w:rsid w:val="002C1F8C"/>
    <w:rsid w:val="002C2173"/>
    <w:rsid w:val="002C2FEF"/>
    <w:rsid w:val="002C3156"/>
    <w:rsid w:val="002C327C"/>
    <w:rsid w:val="002C36F6"/>
    <w:rsid w:val="002C389C"/>
    <w:rsid w:val="002C3D27"/>
    <w:rsid w:val="002C48A9"/>
    <w:rsid w:val="002C4D25"/>
    <w:rsid w:val="002C5565"/>
    <w:rsid w:val="002C5EF6"/>
    <w:rsid w:val="002C6888"/>
    <w:rsid w:val="002C6A36"/>
    <w:rsid w:val="002C6B9D"/>
    <w:rsid w:val="002C7103"/>
    <w:rsid w:val="002D0625"/>
    <w:rsid w:val="002D0AE9"/>
    <w:rsid w:val="002D0D16"/>
    <w:rsid w:val="002D1CD3"/>
    <w:rsid w:val="002D1E37"/>
    <w:rsid w:val="002D236F"/>
    <w:rsid w:val="002D41AC"/>
    <w:rsid w:val="002D475F"/>
    <w:rsid w:val="002D4903"/>
    <w:rsid w:val="002D4BBD"/>
    <w:rsid w:val="002D5499"/>
    <w:rsid w:val="002D57B2"/>
    <w:rsid w:val="002D5F9A"/>
    <w:rsid w:val="002D63F9"/>
    <w:rsid w:val="002D6D4C"/>
    <w:rsid w:val="002D77F8"/>
    <w:rsid w:val="002E00B1"/>
    <w:rsid w:val="002E04BA"/>
    <w:rsid w:val="002E04CF"/>
    <w:rsid w:val="002E0DB5"/>
    <w:rsid w:val="002E1843"/>
    <w:rsid w:val="002E2560"/>
    <w:rsid w:val="002E2AA7"/>
    <w:rsid w:val="002E3190"/>
    <w:rsid w:val="002E36C8"/>
    <w:rsid w:val="002E3B04"/>
    <w:rsid w:val="002E3D4D"/>
    <w:rsid w:val="002E4747"/>
    <w:rsid w:val="002E4C85"/>
    <w:rsid w:val="002E4F44"/>
    <w:rsid w:val="002E521F"/>
    <w:rsid w:val="002E5772"/>
    <w:rsid w:val="002E5CEC"/>
    <w:rsid w:val="002E6B5C"/>
    <w:rsid w:val="002E790C"/>
    <w:rsid w:val="002E7950"/>
    <w:rsid w:val="002E7B64"/>
    <w:rsid w:val="002F0135"/>
    <w:rsid w:val="002F0531"/>
    <w:rsid w:val="002F102C"/>
    <w:rsid w:val="002F2AA3"/>
    <w:rsid w:val="002F4B34"/>
    <w:rsid w:val="002F5AE6"/>
    <w:rsid w:val="002F5B86"/>
    <w:rsid w:val="002F613F"/>
    <w:rsid w:val="002F6B0C"/>
    <w:rsid w:val="002F7116"/>
    <w:rsid w:val="002F782D"/>
    <w:rsid w:val="002F7FC2"/>
    <w:rsid w:val="003011D6"/>
    <w:rsid w:val="00301CFA"/>
    <w:rsid w:val="00301F93"/>
    <w:rsid w:val="0030202A"/>
    <w:rsid w:val="00302052"/>
    <w:rsid w:val="003022CC"/>
    <w:rsid w:val="00302578"/>
    <w:rsid w:val="0030286A"/>
    <w:rsid w:val="00303246"/>
    <w:rsid w:val="00303517"/>
    <w:rsid w:val="0030388D"/>
    <w:rsid w:val="00303BF0"/>
    <w:rsid w:val="003041AC"/>
    <w:rsid w:val="0030429F"/>
    <w:rsid w:val="00304CE2"/>
    <w:rsid w:val="00304E89"/>
    <w:rsid w:val="00305693"/>
    <w:rsid w:val="0030590A"/>
    <w:rsid w:val="00305C96"/>
    <w:rsid w:val="00305E16"/>
    <w:rsid w:val="00306A0B"/>
    <w:rsid w:val="003071EE"/>
    <w:rsid w:val="00307296"/>
    <w:rsid w:val="00307590"/>
    <w:rsid w:val="00307938"/>
    <w:rsid w:val="00307EC9"/>
    <w:rsid w:val="00307F20"/>
    <w:rsid w:val="00310612"/>
    <w:rsid w:val="0031064D"/>
    <w:rsid w:val="00310696"/>
    <w:rsid w:val="00310717"/>
    <w:rsid w:val="00310C87"/>
    <w:rsid w:val="00311175"/>
    <w:rsid w:val="003114B9"/>
    <w:rsid w:val="00311C7A"/>
    <w:rsid w:val="003126F4"/>
    <w:rsid w:val="00313242"/>
    <w:rsid w:val="00313B55"/>
    <w:rsid w:val="00313EF2"/>
    <w:rsid w:val="0031454D"/>
    <w:rsid w:val="00314751"/>
    <w:rsid w:val="00314ADA"/>
    <w:rsid w:val="00314E80"/>
    <w:rsid w:val="00315027"/>
    <w:rsid w:val="003151DE"/>
    <w:rsid w:val="0031563C"/>
    <w:rsid w:val="00315965"/>
    <w:rsid w:val="00316C5F"/>
    <w:rsid w:val="003170BE"/>
    <w:rsid w:val="00317CA2"/>
    <w:rsid w:val="00320626"/>
    <w:rsid w:val="00321C9C"/>
    <w:rsid w:val="00322B2F"/>
    <w:rsid w:val="00322FB8"/>
    <w:rsid w:val="00323A6E"/>
    <w:rsid w:val="00323D21"/>
    <w:rsid w:val="00326C37"/>
    <w:rsid w:val="003274D0"/>
    <w:rsid w:val="003279B5"/>
    <w:rsid w:val="00327C9F"/>
    <w:rsid w:val="00327DD4"/>
    <w:rsid w:val="00330487"/>
    <w:rsid w:val="00330C77"/>
    <w:rsid w:val="0033109E"/>
    <w:rsid w:val="003326E0"/>
    <w:rsid w:val="00332750"/>
    <w:rsid w:val="00332A48"/>
    <w:rsid w:val="0033478E"/>
    <w:rsid w:val="003368C1"/>
    <w:rsid w:val="00336FC3"/>
    <w:rsid w:val="00337135"/>
    <w:rsid w:val="00337770"/>
    <w:rsid w:val="00340F69"/>
    <w:rsid w:val="00342299"/>
    <w:rsid w:val="00342305"/>
    <w:rsid w:val="003455F6"/>
    <w:rsid w:val="00345623"/>
    <w:rsid w:val="00345833"/>
    <w:rsid w:val="00345F61"/>
    <w:rsid w:val="003469C3"/>
    <w:rsid w:val="00346E6C"/>
    <w:rsid w:val="00347383"/>
    <w:rsid w:val="0034749F"/>
    <w:rsid w:val="00347ADC"/>
    <w:rsid w:val="00347B9F"/>
    <w:rsid w:val="00350926"/>
    <w:rsid w:val="0035133E"/>
    <w:rsid w:val="0035188F"/>
    <w:rsid w:val="0035268A"/>
    <w:rsid w:val="00352825"/>
    <w:rsid w:val="00352B30"/>
    <w:rsid w:val="00352CBA"/>
    <w:rsid w:val="00352DB1"/>
    <w:rsid w:val="003541DC"/>
    <w:rsid w:val="00354313"/>
    <w:rsid w:val="00354372"/>
    <w:rsid w:val="003544EC"/>
    <w:rsid w:val="00354967"/>
    <w:rsid w:val="00354B98"/>
    <w:rsid w:val="00356280"/>
    <w:rsid w:val="003571FA"/>
    <w:rsid w:val="00357B89"/>
    <w:rsid w:val="0036006B"/>
    <w:rsid w:val="00361C71"/>
    <w:rsid w:val="00361D8E"/>
    <w:rsid w:val="00361E8F"/>
    <w:rsid w:val="00362CD4"/>
    <w:rsid w:val="00363486"/>
    <w:rsid w:val="00363D7D"/>
    <w:rsid w:val="00364EE7"/>
    <w:rsid w:val="00364FB9"/>
    <w:rsid w:val="00365139"/>
    <w:rsid w:val="00365BFB"/>
    <w:rsid w:val="00365CC6"/>
    <w:rsid w:val="00366247"/>
    <w:rsid w:val="00367DED"/>
    <w:rsid w:val="00370C17"/>
    <w:rsid w:val="00372017"/>
    <w:rsid w:val="003735C7"/>
    <w:rsid w:val="00373CE9"/>
    <w:rsid w:val="00374322"/>
    <w:rsid w:val="003745A1"/>
    <w:rsid w:val="003745EE"/>
    <w:rsid w:val="00374BF1"/>
    <w:rsid w:val="00374DD1"/>
    <w:rsid w:val="0037546D"/>
    <w:rsid w:val="0037667B"/>
    <w:rsid w:val="00377066"/>
    <w:rsid w:val="00377141"/>
    <w:rsid w:val="00377969"/>
    <w:rsid w:val="00377D0C"/>
    <w:rsid w:val="0038089D"/>
    <w:rsid w:val="00380ACA"/>
    <w:rsid w:val="00380B5B"/>
    <w:rsid w:val="00381DFD"/>
    <w:rsid w:val="00381FAD"/>
    <w:rsid w:val="00383CE2"/>
    <w:rsid w:val="003843C5"/>
    <w:rsid w:val="003847F2"/>
    <w:rsid w:val="00385783"/>
    <w:rsid w:val="00385D0F"/>
    <w:rsid w:val="00385DB2"/>
    <w:rsid w:val="00386874"/>
    <w:rsid w:val="00386A6F"/>
    <w:rsid w:val="00386B5A"/>
    <w:rsid w:val="00387148"/>
    <w:rsid w:val="00387694"/>
    <w:rsid w:val="003879D1"/>
    <w:rsid w:val="00390123"/>
    <w:rsid w:val="0039035C"/>
    <w:rsid w:val="00390376"/>
    <w:rsid w:val="003904F9"/>
    <w:rsid w:val="00391241"/>
    <w:rsid w:val="00391923"/>
    <w:rsid w:val="0039204D"/>
    <w:rsid w:val="003942B5"/>
    <w:rsid w:val="003954C9"/>
    <w:rsid w:val="003956F7"/>
    <w:rsid w:val="00395836"/>
    <w:rsid w:val="003959CA"/>
    <w:rsid w:val="00395A4F"/>
    <w:rsid w:val="00396818"/>
    <w:rsid w:val="0039690C"/>
    <w:rsid w:val="003979E0"/>
    <w:rsid w:val="00397FB0"/>
    <w:rsid w:val="003A010C"/>
    <w:rsid w:val="003A0F6F"/>
    <w:rsid w:val="003A16C9"/>
    <w:rsid w:val="003A224E"/>
    <w:rsid w:val="003A2C51"/>
    <w:rsid w:val="003A4244"/>
    <w:rsid w:val="003A448D"/>
    <w:rsid w:val="003A4A0F"/>
    <w:rsid w:val="003A626E"/>
    <w:rsid w:val="003A6717"/>
    <w:rsid w:val="003A6787"/>
    <w:rsid w:val="003A6C08"/>
    <w:rsid w:val="003B0633"/>
    <w:rsid w:val="003B15A8"/>
    <w:rsid w:val="003B201D"/>
    <w:rsid w:val="003B2C57"/>
    <w:rsid w:val="003B31CD"/>
    <w:rsid w:val="003B378B"/>
    <w:rsid w:val="003B3EAE"/>
    <w:rsid w:val="003B58CC"/>
    <w:rsid w:val="003B5A37"/>
    <w:rsid w:val="003B5BC3"/>
    <w:rsid w:val="003B5DD5"/>
    <w:rsid w:val="003B63B9"/>
    <w:rsid w:val="003B69C6"/>
    <w:rsid w:val="003B6C53"/>
    <w:rsid w:val="003B7367"/>
    <w:rsid w:val="003B79CE"/>
    <w:rsid w:val="003C01D9"/>
    <w:rsid w:val="003C075D"/>
    <w:rsid w:val="003C0AB7"/>
    <w:rsid w:val="003C151D"/>
    <w:rsid w:val="003C18B3"/>
    <w:rsid w:val="003C1AB4"/>
    <w:rsid w:val="003C1B56"/>
    <w:rsid w:val="003C26F9"/>
    <w:rsid w:val="003C2E80"/>
    <w:rsid w:val="003C35D1"/>
    <w:rsid w:val="003C3822"/>
    <w:rsid w:val="003C3A20"/>
    <w:rsid w:val="003C44F7"/>
    <w:rsid w:val="003C4735"/>
    <w:rsid w:val="003C4A37"/>
    <w:rsid w:val="003C4D6D"/>
    <w:rsid w:val="003C5565"/>
    <w:rsid w:val="003C6732"/>
    <w:rsid w:val="003C6CE0"/>
    <w:rsid w:val="003C6DCA"/>
    <w:rsid w:val="003C74EA"/>
    <w:rsid w:val="003D03B1"/>
    <w:rsid w:val="003D0A74"/>
    <w:rsid w:val="003D0F04"/>
    <w:rsid w:val="003D1156"/>
    <w:rsid w:val="003D1589"/>
    <w:rsid w:val="003D1A8C"/>
    <w:rsid w:val="003D2465"/>
    <w:rsid w:val="003D26D2"/>
    <w:rsid w:val="003D2FB7"/>
    <w:rsid w:val="003D31AE"/>
    <w:rsid w:val="003D3AC3"/>
    <w:rsid w:val="003D4550"/>
    <w:rsid w:val="003D4D61"/>
    <w:rsid w:val="003D60A3"/>
    <w:rsid w:val="003D6936"/>
    <w:rsid w:val="003D7746"/>
    <w:rsid w:val="003D79E2"/>
    <w:rsid w:val="003D7C2C"/>
    <w:rsid w:val="003D7E51"/>
    <w:rsid w:val="003E00E0"/>
    <w:rsid w:val="003E039D"/>
    <w:rsid w:val="003E044C"/>
    <w:rsid w:val="003E05A7"/>
    <w:rsid w:val="003E06B7"/>
    <w:rsid w:val="003E15D9"/>
    <w:rsid w:val="003E18CA"/>
    <w:rsid w:val="003E19B2"/>
    <w:rsid w:val="003E2E2A"/>
    <w:rsid w:val="003E2EAC"/>
    <w:rsid w:val="003E2F6D"/>
    <w:rsid w:val="003E341D"/>
    <w:rsid w:val="003E3451"/>
    <w:rsid w:val="003E3927"/>
    <w:rsid w:val="003E3C2E"/>
    <w:rsid w:val="003E5737"/>
    <w:rsid w:val="003E6CA1"/>
    <w:rsid w:val="003E6DCF"/>
    <w:rsid w:val="003E765C"/>
    <w:rsid w:val="003E7764"/>
    <w:rsid w:val="003E79E2"/>
    <w:rsid w:val="003F0EFE"/>
    <w:rsid w:val="003F14D0"/>
    <w:rsid w:val="003F18A8"/>
    <w:rsid w:val="003F19AD"/>
    <w:rsid w:val="003F1D2C"/>
    <w:rsid w:val="003F2219"/>
    <w:rsid w:val="003F29D3"/>
    <w:rsid w:val="003F2F09"/>
    <w:rsid w:val="003F37DD"/>
    <w:rsid w:val="003F3EF0"/>
    <w:rsid w:val="003F42FC"/>
    <w:rsid w:val="003F43A5"/>
    <w:rsid w:val="003F4766"/>
    <w:rsid w:val="003F4AE5"/>
    <w:rsid w:val="003F59AB"/>
    <w:rsid w:val="003F5DD8"/>
    <w:rsid w:val="003F64C0"/>
    <w:rsid w:val="003F6556"/>
    <w:rsid w:val="003F6974"/>
    <w:rsid w:val="003F70F0"/>
    <w:rsid w:val="003F7275"/>
    <w:rsid w:val="003F7707"/>
    <w:rsid w:val="003F7A38"/>
    <w:rsid w:val="0040021E"/>
    <w:rsid w:val="00400EA6"/>
    <w:rsid w:val="00401AB3"/>
    <w:rsid w:val="004020E0"/>
    <w:rsid w:val="00402225"/>
    <w:rsid w:val="004023C7"/>
    <w:rsid w:val="0040299E"/>
    <w:rsid w:val="00402A3E"/>
    <w:rsid w:val="00402F88"/>
    <w:rsid w:val="00403847"/>
    <w:rsid w:val="00403EBF"/>
    <w:rsid w:val="0040407E"/>
    <w:rsid w:val="00405763"/>
    <w:rsid w:val="0040577C"/>
    <w:rsid w:val="00405782"/>
    <w:rsid w:val="00405AD0"/>
    <w:rsid w:val="00405D5F"/>
    <w:rsid w:val="0040674A"/>
    <w:rsid w:val="004069C1"/>
    <w:rsid w:val="00406A70"/>
    <w:rsid w:val="00406EDB"/>
    <w:rsid w:val="004124C2"/>
    <w:rsid w:val="00412CA3"/>
    <w:rsid w:val="00412DB5"/>
    <w:rsid w:val="00412F0C"/>
    <w:rsid w:val="0041512A"/>
    <w:rsid w:val="0041538C"/>
    <w:rsid w:val="00415658"/>
    <w:rsid w:val="004168EF"/>
    <w:rsid w:val="00416A73"/>
    <w:rsid w:val="00417098"/>
    <w:rsid w:val="004179A5"/>
    <w:rsid w:val="00417A10"/>
    <w:rsid w:val="00421261"/>
    <w:rsid w:val="00421F0B"/>
    <w:rsid w:val="0042252C"/>
    <w:rsid w:val="00425CE3"/>
    <w:rsid w:val="00427770"/>
    <w:rsid w:val="00430B11"/>
    <w:rsid w:val="00430C0C"/>
    <w:rsid w:val="00431B5F"/>
    <w:rsid w:val="00431C99"/>
    <w:rsid w:val="00431CB9"/>
    <w:rsid w:val="00431D6C"/>
    <w:rsid w:val="00432CFA"/>
    <w:rsid w:val="00432FA8"/>
    <w:rsid w:val="004335D0"/>
    <w:rsid w:val="0043373E"/>
    <w:rsid w:val="00433857"/>
    <w:rsid w:val="00433DD3"/>
    <w:rsid w:val="004342D3"/>
    <w:rsid w:val="00434603"/>
    <w:rsid w:val="004352F0"/>
    <w:rsid w:val="00435666"/>
    <w:rsid w:val="00436242"/>
    <w:rsid w:val="004377B2"/>
    <w:rsid w:val="00437C60"/>
    <w:rsid w:val="00437E8F"/>
    <w:rsid w:val="00440577"/>
    <w:rsid w:val="00440972"/>
    <w:rsid w:val="00441C9A"/>
    <w:rsid w:val="00442158"/>
    <w:rsid w:val="00442AF9"/>
    <w:rsid w:val="00442CCB"/>
    <w:rsid w:val="00442F2A"/>
    <w:rsid w:val="00443086"/>
    <w:rsid w:val="004430B7"/>
    <w:rsid w:val="00443DF6"/>
    <w:rsid w:val="00444239"/>
    <w:rsid w:val="00444580"/>
    <w:rsid w:val="0044567F"/>
    <w:rsid w:val="00446102"/>
    <w:rsid w:val="004468B6"/>
    <w:rsid w:val="004506B1"/>
    <w:rsid w:val="004506DE"/>
    <w:rsid w:val="004507FE"/>
    <w:rsid w:val="004509F7"/>
    <w:rsid w:val="00450EB8"/>
    <w:rsid w:val="0045164D"/>
    <w:rsid w:val="00451C64"/>
    <w:rsid w:val="00452533"/>
    <w:rsid w:val="0045354B"/>
    <w:rsid w:val="00453B9B"/>
    <w:rsid w:val="00453F02"/>
    <w:rsid w:val="00453F93"/>
    <w:rsid w:val="004543BB"/>
    <w:rsid w:val="00455E10"/>
    <w:rsid w:val="00456269"/>
    <w:rsid w:val="00456B3D"/>
    <w:rsid w:val="0045789C"/>
    <w:rsid w:val="0046013E"/>
    <w:rsid w:val="0046064B"/>
    <w:rsid w:val="00461488"/>
    <w:rsid w:val="004629B5"/>
    <w:rsid w:val="00464915"/>
    <w:rsid w:val="004664B1"/>
    <w:rsid w:val="00466658"/>
    <w:rsid w:val="00466782"/>
    <w:rsid w:val="00466FE5"/>
    <w:rsid w:val="004675A5"/>
    <w:rsid w:val="00467AEA"/>
    <w:rsid w:val="0047013B"/>
    <w:rsid w:val="0047038A"/>
    <w:rsid w:val="00471790"/>
    <w:rsid w:val="00471AB1"/>
    <w:rsid w:val="00474126"/>
    <w:rsid w:val="00474184"/>
    <w:rsid w:val="00474DD2"/>
    <w:rsid w:val="00475122"/>
    <w:rsid w:val="0047723E"/>
    <w:rsid w:val="00477386"/>
    <w:rsid w:val="00480BE0"/>
    <w:rsid w:val="00480D54"/>
    <w:rsid w:val="00480DB0"/>
    <w:rsid w:val="00480DDC"/>
    <w:rsid w:val="0048109C"/>
    <w:rsid w:val="004811DD"/>
    <w:rsid w:val="00481531"/>
    <w:rsid w:val="0048187B"/>
    <w:rsid w:val="004819EF"/>
    <w:rsid w:val="00481C46"/>
    <w:rsid w:val="0048238D"/>
    <w:rsid w:val="0048252F"/>
    <w:rsid w:val="00482ED2"/>
    <w:rsid w:val="00483183"/>
    <w:rsid w:val="004833ED"/>
    <w:rsid w:val="0048377C"/>
    <w:rsid w:val="0048479B"/>
    <w:rsid w:val="00484BEF"/>
    <w:rsid w:val="00485422"/>
    <w:rsid w:val="004855C3"/>
    <w:rsid w:val="0048564F"/>
    <w:rsid w:val="00485BDA"/>
    <w:rsid w:val="00485E4D"/>
    <w:rsid w:val="00485FCE"/>
    <w:rsid w:val="004874FE"/>
    <w:rsid w:val="00487536"/>
    <w:rsid w:val="00487ED1"/>
    <w:rsid w:val="00487F38"/>
    <w:rsid w:val="00487F3D"/>
    <w:rsid w:val="004900C1"/>
    <w:rsid w:val="00490F84"/>
    <w:rsid w:val="00491522"/>
    <w:rsid w:val="00491F84"/>
    <w:rsid w:val="00492396"/>
    <w:rsid w:val="0049241F"/>
    <w:rsid w:val="00492579"/>
    <w:rsid w:val="0049287F"/>
    <w:rsid w:val="00492BFF"/>
    <w:rsid w:val="00493205"/>
    <w:rsid w:val="0049330D"/>
    <w:rsid w:val="00493EEC"/>
    <w:rsid w:val="00493F4B"/>
    <w:rsid w:val="004947D2"/>
    <w:rsid w:val="00495345"/>
    <w:rsid w:val="00495F00"/>
    <w:rsid w:val="0049661C"/>
    <w:rsid w:val="0049670D"/>
    <w:rsid w:val="00496955"/>
    <w:rsid w:val="00496E91"/>
    <w:rsid w:val="00496EE1"/>
    <w:rsid w:val="00497612"/>
    <w:rsid w:val="004A0317"/>
    <w:rsid w:val="004A11D1"/>
    <w:rsid w:val="004A14AD"/>
    <w:rsid w:val="004A16A4"/>
    <w:rsid w:val="004A196E"/>
    <w:rsid w:val="004A22D1"/>
    <w:rsid w:val="004A25A6"/>
    <w:rsid w:val="004A2F86"/>
    <w:rsid w:val="004A3B3C"/>
    <w:rsid w:val="004A41EB"/>
    <w:rsid w:val="004A5DFB"/>
    <w:rsid w:val="004A7414"/>
    <w:rsid w:val="004A745D"/>
    <w:rsid w:val="004A74AA"/>
    <w:rsid w:val="004A755C"/>
    <w:rsid w:val="004B09AA"/>
    <w:rsid w:val="004B0E22"/>
    <w:rsid w:val="004B15F6"/>
    <w:rsid w:val="004B1691"/>
    <w:rsid w:val="004B225A"/>
    <w:rsid w:val="004B23E7"/>
    <w:rsid w:val="004B2E4B"/>
    <w:rsid w:val="004B3D9C"/>
    <w:rsid w:val="004B59CB"/>
    <w:rsid w:val="004B7060"/>
    <w:rsid w:val="004B76D9"/>
    <w:rsid w:val="004B7AE7"/>
    <w:rsid w:val="004B7C80"/>
    <w:rsid w:val="004C04FF"/>
    <w:rsid w:val="004C13D2"/>
    <w:rsid w:val="004C1FD8"/>
    <w:rsid w:val="004C22A3"/>
    <w:rsid w:val="004C3388"/>
    <w:rsid w:val="004C4283"/>
    <w:rsid w:val="004C486C"/>
    <w:rsid w:val="004C4DF5"/>
    <w:rsid w:val="004C51F8"/>
    <w:rsid w:val="004C68AF"/>
    <w:rsid w:val="004C6A63"/>
    <w:rsid w:val="004C7A6B"/>
    <w:rsid w:val="004D14AC"/>
    <w:rsid w:val="004D1F00"/>
    <w:rsid w:val="004D253C"/>
    <w:rsid w:val="004D2ACB"/>
    <w:rsid w:val="004D385D"/>
    <w:rsid w:val="004D3A94"/>
    <w:rsid w:val="004D4405"/>
    <w:rsid w:val="004D45EC"/>
    <w:rsid w:val="004D46F2"/>
    <w:rsid w:val="004D5691"/>
    <w:rsid w:val="004D6003"/>
    <w:rsid w:val="004D6653"/>
    <w:rsid w:val="004D6C56"/>
    <w:rsid w:val="004D7005"/>
    <w:rsid w:val="004D7671"/>
    <w:rsid w:val="004D7960"/>
    <w:rsid w:val="004D7B53"/>
    <w:rsid w:val="004E04B4"/>
    <w:rsid w:val="004E0D9D"/>
    <w:rsid w:val="004E1B86"/>
    <w:rsid w:val="004E1D09"/>
    <w:rsid w:val="004E215E"/>
    <w:rsid w:val="004E21B6"/>
    <w:rsid w:val="004E31A3"/>
    <w:rsid w:val="004E333F"/>
    <w:rsid w:val="004E45DD"/>
    <w:rsid w:val="004E4670"/>
    <w:rsid w:val="004E5100"/>
    <w:rsid w:val="004E51D9"/>
    <w:rsid w:val="004E526E"/>
    <w:rsid w:val="004E59C0"/>
    <w:rsid w:val="004E5A3E"/>
    <w:rsid w:val="004E63E3"/>
    <w:rsid w:val="004E6B7B"/>
    <w:rsid w:val="004E6F59"/>
    <w:rsid w:val="004E6F87"/>
    <w:rsid w:val="004E77B2"/>
    <w:rsid w:val="004E7A66"/>
    <w:rsid w:val="004F00B4"/>
    <w:rsid w:val="004F0C37"/>
    <w:rsid w:val="004F137C"/>
    <w:rsid w:val="004F3520"/>
    <w:rsid w:val="004F3D6A"/>
    <w:rsid w:val="004F4159"/>
    <w:rsid w:val="004F4A8D"/>
    <w:rsid w:val="004F4B62"/>
    <w:rsid w:val="004F5F08"/>
    <w:rsid w:val="004F64C9"/>
    <w:rsid w:val="004F6C79"/>
    <w:rsid w:val="004F7AB1"/>
    <w:rsid w:val="004F7B09"/>
    <w:rsid w:val="004F7F89"/>
    <w:rsid w:val="004F7FFD"/>
    <w:rsid w:val="005002D1"/>
    <w:rsid w:val="005003A5"/>
    <w:rsid w:val="00500F3B"/>
    <w:rsid w:val="0050122E"/>
    <w:rsid w:val="00501A90"/>
    <w:rsid w:val="00502B71"/>
    <w:rsid w:val="005038DD"/>
    <w:rsid w:val="005039AB"/>
    <w:rsid w:val="00504C6B"/>
    <w:rsid w:val="005052D8"/>
    <w:rsid w:val="00505AEC"/>
    <w:rsid w:val="00506EB1"/>
    <w:rsid w:val="00507265"/>
    <w:rsid w:val="005075D2"/>
    <w:rsid w:val="00507ED9"/>
    <w:rsid w:val="005106BC"/>
    <w:rsid w:val="00510F7C"/>
    <w:rsid w:val="005113A0"/>
    <w:rsid w:val="00511CA5"/>
    <w:rsid w:val="00512241"/>
    <w:rsid w:val="0051237B"/>
    <w:rsid w:val="0051273B"/>
    <w:rsid w:val="0051298B"/>
    <w:rsid w:val="005129BA"/>
    <w:rsid w:val="005130A6"/>
    <w:rsid w:val="00513C14"/>
    <w:rsid w:val="0051400A"/>
    <w:rsid w:val="00514276"/>
    <w:rsid w:val="00514AAF"/>
    <w:rsid w:val="00514EA3"/>
    <w:rsid w:val="005150A3"/>
    <w:rsid w:val="005152E1"/>
    <w:rsid w:val="005166FC"/>
    <w:rsid w:val="005173FE"/>
    <w:rsid w:val="0052118C"/>
    <w:rsid w:val="005213D9"/>
    <w:rsid w:val="00521915"/>
    <w:rsid w:val="00521B90"/>
    <w:rsid w:val="00521B9C"/>
    <w:rsid w:val="0052215B"/>
    <w:rsid w:val="005228A6"/>
    <w:rsid w:val="00523CDA"/>
    <w:rsid w:val="00524185"/>
    <w:rsid w:val="0052462B"/>
    <w:rsid w:val="005247F3"/>
    <w:rsid w:val="00524C6C"/>
    <w:rsid w:val="00525643"/>
    <w:rsid w:val="00525FA8"/>
    <w:rsid w:val="00526037"/>
    <w:rsid w:val="005266A7"/>
    <w:rsid w:val="00526824"/>
    <w:rsid w:val="005273FC"/>
    <w:rsid w:val="0053131E"/>
    <w:rsid w:val="00531472"/>
    <w:rsid w:val="00531FC5"/>
    <w:rsid w:val="00532426"/>
    <w:rsid w:val="00532926"/>
    <w:rsid w:val="00532CBC"/>
    <w:rsid w:val="005331CD"/>
    <w:rsid w:val="005336CF"/>
    <w:rsid w:val="00533788"/>
    <w:rsid w:val="005340A6"/>
    <w:rsid w:val="0053436B"/>
    <w:rsid w:val="005344C2"/>
    <w:rsid w:val="00534629"/>
    <w:rsid w:val="005346FE"/>
    <w:rsid w:val="005349AB"/>
    <w:rsid w:val="00535455"/>
    <w:rsid w:val="00535495"/>
    <w:rsid w:val="00535EBC"/>
    <w:rsid w:val="005401F9"/>
    <w:rsid w:val="00540A1C"/>
    <w:rsid w:val="00540DC2"/>
    <w:rsid w:val="0054164C"/>
    <w:rsid w:val="00541D9B"/>
    <w:rsid w:val="005422E2"/>
    <w:rsid w:val="00544015"/>
    <w:rsid w:val="00545000"/>
    <w:rsid w:val="00545364"/>
    <w:rsid w:val="0054599F"/>
    <w:rsid w:val="005460BD"/>
    <w:rsid w:val="00546451"/>
    <w:rsid w:val="00546985"/>
    <w:rsid w:val="005469A5"/>
    <w:rsid w:val="00546A21"/>
    <w:rsid w:val="00547BFB"/>
    <w:rsid w:val="0055116C"/>
    <w:rsid w:val="00552C13"/>
    <w:rsid w:val="00553D2C"/>
    <w:rsid w:val="00553F76"/>
    <w:rsid w:val="00554A43"/>
    <w:rsid w:val="00555E6F"/>
    <w:rsid w:val="00557173"/>
    <w:rsid w:val="00557CFE"/>
    <w:rsid w:val="00557ED7"/>
    <w:rsid w:val="0056033B"/>
    <w:rsid w:val="00560EEF"/>
    <w:rsid w:val="00561DF9"/>
    <w:rsid w:val="00561E17"/>
    <w:rsid w:val="00561ECB"/>
    <w:rsid w:val="00562180"/>
    <w:rsid w:val="005630E7"/>
    <w:rsid w:val="005636FE"/>
    <w:rsid w:val="00563EB7"/>
    <w:rsid w:val="005640B1"/>
    <w:rsid w:val="00564692"/>
    <w:rsid w:val="005646B7"/>
    <w:rsid w:val="00564856"/>
    <w:rsid w:val="005654C1"/>
    <w:rsid w:val="005657E2"/>
    <w:rsid w:val="00565C97"/>
    <w:rsid w:val="00565D11"/>
    <w:rsid w:val="00565DC1"/>
    <w:rsid w:val="00566079"/>
    <w:rsid w:val="005663C7"/>
    <w:rsid w:val="00566559"/>
    <w:rsid w:val="00567E68"/>
    <w:rsid w:val="005700BF"/>
    <w:rsid w:val="0057146C"/>
    <w:rsid w:val="00572660"/>
    <w:rsid w:val="00573458"/>
    <w:rsid w:val="00573E1C"/>
    <w:rsid w:val="00574291"/>
    <w:rsid w:val="00574516"/>
    <w:rsid w:val="00574D88"/>
    <w:rsid w:val="00575F41"/>
    <w:rsid w:val="005764D6"/>
    <w:rsid w:val="005774EA"/>
    <w:rsid w:val="0058055A"/>
    <w:rsid w:val="00581CB6"/>
    <w:rsid w:val="00581CF4"/>
    <w:rsid w:val="00581E1E"/>
    <w:rsid w:val="00581F47"/>
    <w:rsid w:val="00582B73"/>
    <w:rsid w:val="00583603"/>
    <w:rsid w:val="00583D61"/>
    <w:rsid w:val="00583E31"/>
    <w:rsid w:val="005843CD"/>
    <w:rsid w:val="00584455"/>
    <w:rsid w:val="005854C3"/>
    <w:rsid w:val="005865C1"/>
    <w:rsid w:val="00586DF0"/>
    <w:rsid w:val="00587C82"/>
    <w:rsid w:val="00590D1A"/>
    <w:rsid w:val="00590F3A"/>
    <w:rsid w:val="00591710"/>
    <w:rsid w:val="00591C16"/>
    <w:rsid w:val="00592811"/>
    <w:rsid w:val="0059326B"/>
    <w:rsid w:val="005938DD"/>
    <w:rsid w:val="00593D18"/>
    <w:rsid w:val="00593F6F"/>
    <w:rsid w:val="005954E1"/>
    <w:rsid w:val="0059559E"/>
    <w:rsid w:val="00595873"/>
    <w:rsid w:val="00596E82"/>
    <w:rsid w:val="00596F73"/>
    <w:rsid w:val="00597BFC"/>
    <w:rsid w:val="005A0BD4"/>
    <w:rsid w:val="005A0DC5"/>
    <w:rsid w:val="005A14E5"/>
    <w:rsid w:val="005A196B"/>
    <w:rsid w:val="005A1DD4"/>
    <w:rsid w:val="005A26A5"/>
    <w:rsid w:val="005A28CF"/>
    <w:rsid w:val="005A28E6"/>
    <w:rsid w:val="005A30FC"/>
    <w:rsid w:val="005A35DD"/>
    <w:rsid w:val="005A3686"/>
    <w:rsid w:val="005A604B"/>
    <w:rsid w:val="005A6744"/>
    <w:rsid w:val="005A6853"/>
    <w:rsid w:val="005A6C5C"/>
    <w:rsid w:val="005A6C9F"/>
    <w:rsid w:val="005A6DC9"/>
    <w:rsid w:val="005A6FE6"/>
    <w:rsid w:val="005A6FEE"/>
    <w:rsid w:val="005A7227"/>
    <w:rsid w:val="005A7763"/>
    <w:rsid w:val="005A7BBD"/>
    <w:rsid w:val="005B06A3"/>
    <w:rsid w:val="005B1439"/>
    <w:rsid w:val="005B150C"/>
    <w:rsid w:val="005B1C6C"/>
    <w:rsid w:val="005B25E4"/>
    <w:rsid w:val="005B275C"/>
    <w:rsid w:val="005B3749"/>
    <w:rsid w:val="005B490D"/>
    <w:rsid w:val="005B5069"/>
    <w:rsid w:val="005B556F"/>
    <w:rsid w:val="005B5F26"/>
    <w:rsid w:val="005B6256"/>
    <w:rsid w:val="005B6634"/>
    <w:rsid w:val="005C0968"/>
    <w:rsid w:val="005C0A0E"/>
    <w:rsid w:val="005C166B"/>
    <w:rsid w:val="005C1AEF"/>
    <w:rsid w:val="005C26CB"/>
    <w:rsid w:val="005C2E11"/>
    <w:rsid w:val="005C3867"/>
    <w:rsid w:val="005C4143"/>
    <w:rsid w:val="005C4929"/>
    <w:rsid w:val="005C4F59"/>
    <w:rsid w:val="005C51DA"/>
    <w:rsid w:val="005C56CE"/>
    <w:rsid w:val="005C58EA"/>
    <w:rsid w:val="005C595E"/>
    <w:rsid w:val="005C5F0A"/>
    <w:rsid w:val="005C6B7A"/>
    <w:rsid w:val="005C6D36"/>
    <w:rsid w:val="005D00A8"/>
    <w:rsid w:val="005D0265"/>
    <w:rsid w:val="005D1947"/>
    <w:rsid w:val="005D1C08"/>
    <w:rsid w:val="005D1D66"/>
    <w:rsid w:val="005D22FB"/>
    <w:rsid w:val="005D3895"/>
    <w:rsid w:val="005D3AE1"/>
    <w:rsid w:val="005D45CD"/>
    <w:rsid w:val="005D4BF6"/>
    <w:rsid w:val="005D4C77"/>
    <w:rsid w:val="005D5470"/>
    <w:rsid w:val="005D67E1"/>
    <w:rsid w:val="005D6A7F"/>
    <w:rsid w:val="005D70BD"/>
    <w:rsid w:val="005D714A"/>
    <w:rsid w:val="005D72F9"/>
    <w:rsid w:val="005D7675"/>
    <w:rsid w:val="005D7E7D"/>
    <w:rsid w:val="005E03D1"/>
    <w:rsid w:val="005E09F0"/>
    <w:rsid w:val="005E0F71"/>
    <w:rsid w:val="005E1218"/>
    <w:rsid w:val="005E1247"/>
    <w:rsid w:val="005E138E"/>
    <w:rsid w:val="005E2219"/>
    <w:rsid w:val="005E25C2"/>
    <w:rsid w:val="005E2C71"/>
    <w:rsid w:val="005E34AB"/>
    <w:rsid w:val="005E3B4A"/>
    <w:rsid w:val="005E43A6"/>
    <w:rsid w:val="005E491E"/>
    <w:rsid w:val="005E5640"/>
    <w:rsid w:val="005E5D74"/>
    <w:rsid w:val="005E64C4"/>
    <w:rsid w:val="005E7026"/>
    <w:rsid w:val="005E77EB"/>
    <w:rsid w:val="005E7A1E"/>
    <w:rsid w:val="005F0265"/>
    <w:rsid w:val="005F0F33"/>
    <w:rsid w:val="005F10C6"/>
    <w:rsid w:val="005F1529"/>
    <w:rsid w:val="005F18F2"/>
    <w:rsid w:val="005F1A1F"/>
    <w:rsid w:val="005F1DA8"/>
    <w:rsid w:val="005F1F37"/>
    <w:rsid w:val="005F237E"/>
    <w:rsid w:val="005F271D"/>
    <w:rsid w:val="005F2B31"/>
    <w:rsid w:val="005F30BC"/>
    <w:rsid w:val="005F341A"/>
    <w:rsid w:val="005F40C5"/>
    <w:rsid w:val="005F43D6"/>
    <w:rsid w:val="005F61B6"/>
    <w:rsid w:val="005F6247"/>
    <w:rsid w:val="005F6999"/>
    <w:rsid w:val="005F6CB8"/>
    <w:rsid w:val="005F6DBF"/>
    <w:rsid w:val="005F7286"/>
    <w:rsid w:val="005F7342"/>
    <w:rsid w:val="005F7A9A"/>
    <w:rsid w:val="0060132D"/>
    <w:rsid w:val="006024B1"/>
    <w:rsid w:val="00602947"/>
    <w:rsid w:val="00602BE5"/>
    <w:rsid w:val="006037C9"/>
    <w:rsid w:val="00603F5E"/>
    <w:rsid w:val="00604576"/>
    <w:rsid w:val="006049A8"/>
    <w:rsid w:val="00605F3F"/>
    <w:rsid w:val="006061C1"/>
    <w:rsid w:val="0060668B"/>
    <w:rsid w:val="006066D5"/>
    <w:rsid w:val="006069FC"/>
    <w:rsid w:val="006074EC"/>
    <w:rsid w:val="00610850"/>
    <w:rsid w:val="00612094"/>
    <w:rsid w:val="00612B65"/>
    <w:rsid w:val="006135BF"/>
    <w:rsid w:val="00613708"/>
    <w:rsid w:val="0061460E"/>
    <w:rsid w:val="006157B1"/>
    <w:rsid w:val="006158EB"/>
    <w:rsid w:val="00616285"/>
    <w:rsid w:val="00616A8A"/>
    <w:rsid w:val="00616BA1"/>
    <w:rsid w:val="00616D98"/>
    <w:rsid w:val="00620097"/>
    <w:rsid w:val="00620E90"/>
    <w:rsid w:val="0062103B"/>
    <w:rsid w:val="00621530"/>
    <w:rsid w:val="0062219D"/>
    <w:rsid w:val="006228E6"/>
    <w:rsid w:val="00622BD4"/>
    <w:rsid w:val="006230DA"/>
    <w:rsid w:val="00624668"/>
    <w:rsid w:val="006253E7"/>
    <w:rsid w:val="0062573D"/>
    <w:rsid w:val="00625BF0"/>
    <w:rsid w:val="00625F84"/>
    <w:rsid w:val="00626C89"/>
    <w:rsid w:val="00626D85"/>
    <w:rsid w:val="00630235"/>
    <w:rsid w:val="00630247"/>
    <w:rsid w:val="00630E56"/>
    <w:rsid w:val="00631131"/>
    <w:rsid w:val="006312A8"/>
    <w:rsid w:val="00631388"/>
    <w:rsid w:val="0063182E"/>
    <w:rsid w:val="00631862"/>
    <w:rsid w:val="0063207C"/>
    <w:rsid w:val="006321F4"/>
    <w:rsid w:val="0063320E"/>
    <w:rsid w:val="006336A3"/>
    <w:rsid w:val="00635CEA"/>
    <w:rsid w:val="006362CA"/>
    <w:rsid w:val="00637606"/>
    <w:rsid w:val="006400D0"/>
    <w:rsid w:val="006419B3"/>
    <w:rsid w:val="006423EB"/>
    <w:rsid w:val="00642536"/>
    <w:rsid w:val="0064345B"/>
    <w:rsid w:val="00643D6E"/>
    <w:rsid w:val="00643E55"/>
    <w:rsid w:val="006440DE"/>
    <w:rsid w:val="0064462C"/>
    <w:rsid w:val="00644F8F"/>
    <w:rsid w:val="00645369"/>
    <w:rsid w:val="00645B3A"/>
    <w:rsid w:val="00646D2B"/>
    <w:rsid w:val="006479F6"/>
    <w:rsid w:val="00647ABE"/>
    <w:rsid w:val="00651734"/>
    <w:rsid w:val="006517C1"/>
    <w:rsid w:val="0065211B"/>
    <w:rsid w:val="0065217F"/>
    <w:rsid w:val="00652915"/>
    <w:rsid w:val="00652967"/>
    <w:rsid w:val="00653161"/>
    <w:rsid w:val="0065359F"/>
    <w:rsid w:val="006538F0"/>
    <w:rsid w:val="006553DD"/>
    <w:rsid w:val="00655545"/>
    <w:rsid w:val="00655AD2"/>
    <w:rsid w:val="00655B36"/>
    <w:rsid w:val="006561EC"/>
    <w:rsid w:val="0065635E"/>
    <w:rsid w:val="00656CED"/>
    <w:rsid w:val="00656ED8"/>
    <w:rsid w:val="00657036"/>
    <w:rsid w:val="0065707A"/>
    <w:rsid w:val="006575F4"/>
    <w:rsid w:val="00657DCD"/>
    <w:rsid w:val="00657E9C"/>
    <w:rsid w:val="006610A2"/>
    <w:rsid w:val="00661D5D"/>
    <w:rsid w:val="00662F7E"/>
    <w:rsid w:val="006632DA"/>
    <w:rsid w:val="0066335F"/>
    <w:rsid w:val="0066337E"/>
    <w:rsid w:val="0066435C"/>
    <w:rsid w:val="006645DE"/>
    <w:rsid w:val="0066467F"/>
    <w:rsid w:val="006660F8"/>
    <w:rsid w:val="00666491"/>
    <w:rsid w:val="00666533"/>
    <w:rsid w:val="00666B50"/>
    <w:rsid w:val="00666CAC"/>
    <w:rsid w:val="00666CF8"/>
    <w:rsid w:val="00666E21"/>
    <w:rsid w:val="0066743A"/>
    <w:rsid w:val="00667E4D"/>
    <w:rsid w:val="00670368"/>
    <w:rsid w:val="00670E95"/>
    <w:rsid w:val="0067147E"/>
    <w:rsid w:val="00671587"/>
    <w:rsid w:val="0067241C"/>
    <w:rsid w:val="00672594"/>
    <w:rsid w:val="00672BFC"/>
    <w:rsid w:val="00672C2A"/>
    <w:rsid w:val="00672F08"/>
    <w:rsid w:val="006735FB"/>
    <w:rsid w:val="006736CF"/>
    <w:rsid w:val="00673F28"/>
    <w:rsid w:val="00673F4C"/>
    <w:rsid w:val="00674F8D"/>
    <w:rsid w:val="006756F0"/>
    <w:rsid w:val="00675ADD"/>
    <w:rsid w:val="0067691D"/>
    <w:rsid w:val="0068001C"/>
    <w:rsid w:val="0068051E"/>
    <w:rsid w:val="00680F33"/>
    <w:rsid w:val="00682663"/>
    <w:rsid w:val="00682826"/>
    <w:rsid w:val="00682FE0"/>
    <w:rsid w:val="006830A5"/>
    <w:rsid w:val="006834FB"/>
    <w:rsid w:val="00683C64"/>
    <w:rsid w:val="00683D23"/>
    <w:rsid w:val="00683E8D"/>
    <w:rsid w:val="00684A3F"/>
    <w:rsid w:val="00684B61"/>
    <w:rsid w:val="006856F2"/>
    <w:rsid w:val="00685A3E"/>
    <w:rsid w:val="00686386"/>
    <w:rsid w:val="00686C80"/>
    <w:rsid w:val="006874BD"/>
    <w:rsid w:val="0069018B"/>
    <w:rsid w:val="0069044D"/>
    <w:rsid w:val="006910E3"/>
    <w:rsid w:val="00691202"/>
    <w:rsid w:val="006915C5"/>
    <w:rsid w:val="006916E9"/>
    <w:rsid w:val="0069190B"/>
    <w:rsid w:val="0069316D"/>
    <w:rsid w:val="006937BF"/>
    <w:rsid w:val="006940FB"/>
    <w:rsid w:val="00694A32"/>
    <w:rsid w:val="00694DD1"/>
    <w:rsid w:val="00695218"/>
    <w:rsid w:val="00695C8D"/>
    <w:rsid w:val="0069633C"/>
    <w:rsid w:val="006963F4"/>
    <w:rsid w:val="00696B53"/>
    <w:rsid w:val="006978C2"/>
    <w:rsid w:val="00697D25"/>
    <w:rsid w:val="00697F52"/>
    <w:rsid w:val="006A0781"/>
    <w:rsid w:val="006A0B1B"/>
    <w:rsid w:val="006A18DA"/>
    <w:rsid w:val="006A199E"/>
    <w:rsid w:val="006A2C0A"/>
    <w:rsid w:val="006A366E"/>
    <w:rsid w:val="006A3BEB"/>
    <w:rsid w:val="006A3C4C"/>
    <w:rsid w:val="006A3CF7"/>
    <w:rsid w:val="006A40B8"/>
    <w:rsid w:val="006A4FA7"/>
    <w:rsid w:val="006A7710"/>
    <w:rsid w:val="006A7C7F"/>
    <w:rsid w:val="006B10C1"/>
    <w:rsid w:val="006B23F9"/>
    <w:rsid w:val="006B2721"/>
    <w:rsid w:val="006B2EA2"/>
    <w:rsid w:val="006B30B9"/>
    <w:rsid w:val="006B3787"/>
    <w:rsid w:val="006B4478"/>
    <w:rsid w:val="006B493F"/>
    <w:rsid w:val="006B5392"/>
    <w:rsid w:val="006B543D"/>
    <w:rsid w:val="006B5F3E"/>
    <w:rsid w:val="006B5FCB"/>
    <w:rsid w:val="006B7CA4"/>
    <w:rsid w:val="006C01C6"/>
    <w:rsid w:val="006C0981"/>
    <w:rsid w:val="006C0EAA"/>
    <w:rsid w:val="006C28D5"/>
    <w:rsid w:val="006C2F4E"/>
    <w:rsid w:val="006C316E"/>
    <w:rsid w:val="006C34BA"/>
    <w:rsid w:val="006C397F"/>
    <w:rsid w:val="006C51C4"/>
    <w:rsid w:val="006C597E"/>
    <w:rsid w:val="006C640C"/>
    <w:rsid w:val="006C689C"/>
    <w:rsid w:val="006C7351"/>
    <w:rsid w:val="006C7D1C"/>
    <w:rsid w:val="006C7EDD"/>
    <w:rsid w:val="006C7FBB"/>
    <w:rsid w:val="006D0566"/>
    <w:rsid w:val="006D0893"/>
    <w:rsid w:val="006D0CA8"/>
    <w:rsid w:val="006D1A4B"/>
    <w:rsid w:val="006D1B62"/>
    <w:rsid w:val="006D1C17"/>
    <w:rsid w:val="006D32FA"/>
    <w:rsid w:val="006D397B"/>
    <w:rsid w:val="006D3A7B"/>
    <w:rsid w:val="006D4459"/>
    <w:rsid w:val="006D4488"/>
    <w:rsid w:val="006D6544"/>
    <w:rsid w:val="006D7459"/>
    <w:rsid w:val="006D74ED"/>
    <w:rsid w:val="006E05EB"/>
    <w:rsid w:val="006E06EA"/>
    <w:rsid w:val="006E101A"/>
    <w:rsid w:val="006E1743"/>
    <w:rsid w:val="006E1FC4"/>
    <w:rsid w:val="006E206E"/>
    <w:rsid w:val="006E2307"/>
    <w:rsid w:val="006E2772"/>
    <w:rsid w:val="006E3611"/>
    <w:rsid w:val="006E386B"/>
    <w:rsid w:val="006E4B58"/>
    <w:rsid w:val="006E4E11"/>
    <w:rsid w:val="006E5447"/>
    <w:rsid w:val="006E5C9C"/>
    <w:rsid w:val="006E5CAD"/>
    <w:rsid w:val="006E6570"/>
    <w:rsid w:val="006E6CA1"/>
    <w:rsid w:val="006E6DFB"/>
    <w:rsid w:val="006E7364"/>
    <w:rsid w:val="006F11D9"/>
    <w:rsid w:val="006F17F5"/>
    <w:rsid w:val="006F1C3F"/>
    <w:rsid w:val="006F260D"/>
    <w:rsid w:val="006F3021"/>
    <w:rsid w:val="006F321A"/>
    <w:rsid w:val="006F3E12"/>
    <w:rsid w:val="006F4044"/>
    <w:rsid w:val="006F4272"/>
    <w:rsid w:val="006F4B3B"/>
    <w:rsid w:val="006F4E83"/>
    <w:rsid w:val="006F5E63"/>
    <w:rsid w:val="006F7425"/>
    <w:rsid w:val="006F77F7"/>
    <w:rsid w:val="006F7D76"/>
    <w:rsid w:val="006F7F9D"/>
    <w:rsid w:val="00700921"/>
    <w:rsid w:val="00700B16"/>
    <w:rsid w:val="00700D9B"/>
    <w:rsid w:val="00701317"/>
    <w:rsid w:val="007022F0"/>
    <w:rsid w:val="00704C0E"/>
    <w:rsid w:val="00704F8D"/>
    <w:rsid w:val="0070520E"/>
    <w:rsid w:val="00705C78"/>
    <w:rsid w:val="00706EDE"/>
    <w:rsid w:val="007075D3"/>
    <w:rsid w:val="00707C67"/>
    <w:rsid w:val="00707D71"/>
    <w:rsid w:val="00707FCB"/>
    <w:rsid w:val="00707FF1"/>
    <w:rsid w:val="007103DF"/>
    <w:rsid w:val="007108DB"/>
    <w:rsid w:val="007109CA"/>
    <w:rsid w:val="007110F0"/>
    <w:rsid w:val="00711385"/>
    <w:rsid w:val="007117E0"/>
    <w:rsid w:val="00711E1B"/>
    <w:rsid w:val="007122AE"/>
    <w:rsid w:val="00712BC4"/>
    <w:rsid w:val="00713046"/>
    <w:rsid w:val="00713180"/>
    <w:rsid w:val="0071361C"/>
    <w:rsid w:val="00713654"/>
    <w:rsid w:val="00713A87"/>
    <w:rsid w:val="00713C43"/>
    <w:rsid w:val="00714311"/>
    <w:rsid w:val="007149C3"/>
    <w:rsid w:val="00714C08"/>
    <w:rsid w:val="00714C98"/>
    <w:rsid w:val="00714D1E"/>
    <w:rsid w:val="00714ECF"/>
    <w:rsid w:val="00715291"/>
    <w:rsid w:val="00715728"/>
    <w:rsid w:val="00715748"/>
    <w:rsid w:val="007158AE"/>
    <w:rsid w:val="0071591F"/>
    <w:rsid w:val="00715AEA"/>
    <w:rsid w:val="00715FD0"/>
    <w:rsid w:val="00716326"/>
    <w:rsid w:val="00716B00"/>
    <w:rsid w:val="00716E01"/>
    <w:rsid w:val="00716F45"/>
    <w:rsid w:val="007170F3"/>
    <w:rsid w:val="0071783E"/>
    <w:rsid w:val="00717851"/>
    <w:rsid w:val="007200D9"/>
    <w:rsid w:val="00720A0C"/>
    <w:rsid w:val="00720D16"/>
    <w:rsid w:val="00721D32"/>
    <w:rsid w:val="007226BC"/>
    <w:rsid w:val="0072405C"/>
    <w:rsid w:val="007268D0"/>
    <w:rsid w:val="00727440"/>
    <w:rsid w:val="007278DD"/>
    <w:rsid w:val="007300BB"/>
    <w:rsid w:val="00730632"/>
    <w:rsid w:val="00730C48"/>
    <w:rsid w:val="007318E8"/>
    <w:rsid w:val="00732560"/>
    <w:rsid w:val="00732CCE"/>
    <w:rsid w:val="00732CEE"/>
    <w:rsid w:val="0073329C"/>
    <w:rsid w:val="007337A1"/>
    <w:rsid w:val="007340DD"/>
    <w:rsid w:val="00734DC3"/>
    <w:rsid w:val="00735408"/>
    <w:rsid w:val="007355DE"/>
    <w:rsid w:val="007356C9"/>
    <w:rsid w:val="00735908"/>
    <w:rsid w:val="0073604E"/>
    <w:rsid w:val="007363DA"/>
    <w:rsid w:val="00736D47"/>
    <w:rsid w:val="007370C3"/>
    <w:rsid w:val="0074026C"/>
    <w:rsid w:val="00741AD9"/>
    <w:rsid w:val="00742586"/>
    <w:rsid w:val="00742948"/>
    <w:rsid w:val="007438E0"/>
    <w:rsid w:val="00743926"/>
    <w:rsid w:val="00743990"/>
    <w:rsid w:val="00743A31"/>
    <w:rsid w:val="00743C77"/>
    <w:rsid w:val="00744173"/>
    <w:rsid w:val="00744968"/>
    <w:rsid w:val="0074539E"/>
    <w:rsid w:val="007459AB"/>
    <w:rsid w:val="007464CA"/>
    <w:rsid w:val="007465F5"/>
    <w:rsid w:val="00746B4A"/>
    <w:rsid w:val="00746E04"/>
    <w:rsid w:val="00746F5E"/>
    <w:rsid w:val="0074708E"/>
    <w:rsid w:val="00747CF5"/>
    <w:rsid w:val="0075024E"/>
    <w:rsid w:val="00750578"/>
    <w:rsid w:val="007507A6"/>
    <w:rsid w:val="007508E9"/>
    <w:rsid w:val="007514B4"/>
    <w:rsid w:val="00752365"/>
    <w:rsid w:val="00753BD4"/>
    <w:rsid w:val="00754109"/>
    <w:rsid w:val="00754444"/>
    <w:rsid w:val="0075453C"/>
    <w:rsid w:val="00754EBA"/>
    <w:rsid w:val="00754F28"/>
    <w:rsid w:val="0075518E"/>
    <w:rsid w:val="00755C40"/>
    <w:rsid w:val="00755E97"/>
    <w:rsid w:val="00756197"/>
    <w:rsid w:val="00756886"/>
    <w:rsid w:val="00756E7C"/>
    <w:rsid w:val="007571F4"/>
    <w:rsid w:val="0075721D"/>
    <w:rsid w:val="007572E1"/>
    <w:rsid w:val="007576E8"/>
    <w:rsid w:val="00757A79"/>
    <w:rsid w:val="00757CE0"/>
    <w:rsid w:val="007610A3"/>
    <w:rsid w:val="00762632"/>
    <w:rsid w:val="007628C8"/>
    <w:rsid w:val="0076361A"/>
    <w:rsid w:val="00763A66"/>
    <w:rsid w:val="00763F0E"/>
    <w:rsid w:val="007647AC"/>
    <w:rsid w:val="00764CC8"/>
    <w:rsid w:val="00764F3C"/>
    <w:rsid w:val="00766541"/>
    <w:rsid w:val="007665D8"/>
    <w:rsid w:val="00766B09"/>
    <w:rsid w:val="00766EA3"/>
    <w:rsid w:val="0076744D"/>
    <w:rsid w:val="00767967"/>
    <w:rsid w:val="00770139"/>
    <w:rsid w:val="00770478"/>
    <w:rsid w:val="00770E43"/>
    <w:rsid w:val="00771475"/>
    <w:rsid w:val="00771ABA"/>
    <w:rsid w:val="00771B6E"/>
    <w:rsid w:val="00772693"/>
    <w:rsid w:val="00773AD8"/>
    <w:rsid w:val="00775030"/>
    <w:rsid w:val="007753FB"/>
    <w:rsid w:val="0077581B"/>
    <w:rsid w:val="00775D7E"/>
    <w:rsid w:val="00776866"/>
    <w:rsid w:val="00776C7E"/>
    <w:rsid w:val="00777671"/>
    <w:rsid w:val="0077767F"/>
    <w:rsid w:val="00780602"/>
    <w:rsid w:val="007808FC"/>
    <w:rsid w:val="007812F3"/>
    <w:rsid w:val="00781891"/>
    <w:rsid w:val="007825E8"/>
    <w:rsid w:val="007827E0"/>
    <w:rsid w:val="00782829"/>
    <w:rsid w:val="00782AB2"/>
    <w:rsid w:val="00783220"/>
    <w:rsid w:val="00783A21"/>
    <w:rsid w:val="00784812"/>
    <w:rsid w:val="00784FFA"/>
    <w:rsid w:val="00785A4F"/>
    <w:rsid w:val="00786037"/>
    <w:rsid w:val="00787719"/>
    <w:rsid w:val="00787FB2"/>
    <w:rsid w:val="0079088D"/>
    <w:rsid w:val="00791391"/>
    <w:rsid w:val="00791539"/>
    <w:rsid w:val="00791E77"/>
    <w:rsid w:val="00791F6D"/>
    <w:rsid w:val="00792353"/>
    <w:rsid w:val="00792708"/>
    <w:rsid w:val="00792EEB"/>
    <w:rsid w:val="00793867"/>
    <w:rsid w:val="00793977"/>
    <w:rsid w:val="007942EE"/>
    <w:rsid w:val="00795248"/>
    <w:rsid w:val="00795A9D"/>
    <w:rsid w:val="00795CE0"/>
    <w:rsid w:val="00795CE1"/>
    <w:rsid w:val="00795D45"/>
    <w:rsid w:val="0079666A"/>
    <w:rsid w:val="0079692F"/>
    <w:rsid w:val="00796ADB"/>
    <w:rsid w:val="00796DAA"/>
    <w:rsid w:val="00797B21"/>
    <w:rsid w:val="007A053F"/>
    <w:rsid w:val="007A0AE3"/>
    <w:rsid w:val="007A0DB7"/>
    <w:rsid w:val="007A0FCA"/>
    <w:rsid w:val="007A3C9F"/>
    <w:rsid w:val="007A4214"/>
    <w:rsid w:val="007A4750"/>
    <w:rsid w:val="007A484B"/>
    <w:rsid w:val="007A4CCC"/>
    <w:rsid w:val="007A5CB5"/>
    <w:rsid w:val="007A602B"/>
    <w:rsid w:val="007A637E"/>
    <w:rsid w:val="007A6AA5"/>
    <w:rsid w:val="007A72A8"/>
    <w:rsid w:val="007A745E"/>
    <w:rsid w:val="007A7668"/>
    <w:rsid w:val="007A7A7D"/>
    <w:rsid w:val="007B04D7"/>
    <w:rsid w:val="007B07BE"/>
    <w:rsid w:val="007B07E6"/>
    <w:rsid w:val="007B135F"/>
    <w:rsid w:val="007B160A"/>
    <w:rsid w:val="007B16C5"/>
    <w:rsid w:val="007B1B1D"/>
    <w:rsid w:val="007B3259"/>
    <w:rsid w:val="007B3646"/>
    <w:rsid w:val="007B433E"/>
    <w:rsid w:val="007B4F32"/>
    <w:rsid w:val="007B5464"/>
    <w:rsid w:val="007B67F2"/>
    <w:rsid w:val="007B7EAA"/>
    <w:rsid w:val="007C0143"/>
    <w:rsid w:val="007C0B6A"/>
    <w:rsid w:val="007C11E1"/>
    <w:rsid w:val="007C1235"/>
    <w:rsid w:val="007C16BB"/>
    <w:rsid w:val="007C2063"/>
    <w:rsid w:val="007C2180"/>
    <w:rsid w:val="007C22B4"/>
    <w:rsid w:val="007C29AE"/>
    <w:rsid w:val="007C2C0A"/>
    <w:rsid w:val="007C2D71"/>
    <w:rsid w:val="007C4000"/>
    <w:rsid w:val="007C491E"/>
    <w:rsid w:val="007C4A06"/>
    <w:rsid w:val="007C6371"/>
    <w:rsid w:val="007C6720"/>
    <w:rsid w:val="007C7D22"/>
    <w:rsid w:val="007D05D9"/>
    <w:rsid w:val="007D09D5"/>
    <w:rsid w:val="007D13FE"/>
    <w:rsid w:val="007D17D3"/>
    <w:rsid w:val="007D1846"/>
    <w:rsid w:val="007D1994"/>
    <w:rsid w:val="007D1A62"/>
    <w:rsid w:val="007D21A5"/>
    <w:rsid w:val="007D2B1C"/>
    <w:rsid w:val="007D2C66"/>
    <w:rsid w:val="007D3797"/>
    <w:rsid w:val="007D40F5"/>
    <w:rsid w:val="007D4700"/>
    <w:rsid w:val="007D4943"/>
    <w:rsid w:val="007D5C81"/>
    <w:rsid w:val="007D6072"/>
    <w:rsid w:val="007E12BF"/>
    <w:rsid w:val="007E1EB3"/>
    <w:rsid w:val="007E37E3"/>
    <w:rsid w:val="007E47E6"/>
    <w:rsid w:val="007E4D9D"/>
    <w:rsid w:val="007E611E"/>
    <w:rsid w:val="007E7524"/>
    <w:rsid w:val="007E774C"/>
    <w:rsid w:val="007E798B"/>
    <w:rsid w:val="007F0028"/>
    <w:rsid w:val="007F0A4E"/>
    <w:rsid w:val="007F0BD1"/>
    <w:rsid w:val="007F1358"/>
    <w:rsid w:val="007F1711"/>
    <w:rsid w:val="007F20B0"/>
    <w:rsid w:val="007F27EA"/>
    <w:rsid w:val="007F30A9"/>
    <w:rsid w:val="007F3AE8"/>
    <w:rsid w:val="007F48CE"/>
    <w:rsid w:val="007F518D"/>
    <w:rsid w:val="007F51F9"/>
    <w:rsid w:val="007F5F5E"/>
    <w:rsid w:val="007F690E"/>
    <w:rsid w:val="007F7B99"/>
    <w:rsid w:val="00800744"/>
    <w:rsid w:val="008010F1"/>
    <w:rsid w:val="00801F47"/>
    <w:rsid w:val="0080230A"/>
    <w:rsid w:val="00802A28"/>
    <w:rsid w:val="008030A5"/>
    <w:rsid w:val="00803739"/>
    <w:rsid w:val="0080402D"/>
    <w:rsid w:val="008048CD"/>
    <w:rsid w:val="00805579"/>
    <w:rsid w:val="00805A5B"/>
    <w:rsid w:val="00805F66"/>
    <w:rsid w:val="0080630A"/>
    <w:rsid w:val="008068AE"/>
    <w:rsid w:val="0080707E"/>
    <w:rsid w:val="008077CF"/>
    <w:rsid w:val="008078BE"/>
    <w:rsid w:val="008103A3"/>
    <w:rsid w:val="0081132F"/>
    <w:rsid w:val="00811EAC"/>
    <w:rsid w:val="0081274D"/>
    <w:rsid w:val="00812FBD"/>
    <w:rsid w:val="008136BD"/>
    <w:rsid w:val="008138EE"/>
    <w:rsid w:val="00813EEC"/>
    <w:rsid w:val="00814AB6"/>
    <w:rsid w:val="00815785"/>
    <w:rsid w:val="00815A13"/>
    <w:rsid w:val="00815B16"/>
    <w:rsid w:val="0081692F"/>
    <w:rsid w:val="00816E02"/>
    <w:rsid w:val="00816FC0"/>
    <w:rsid w:val="00817F70"/>
    <w:rsid w:val="00820077"/>
    <w:rsid w:val="00821FF9"/>
    <w:rsid w:val="00822D26"/>
    <w:rsid w:val="00822D94"/>
    <w:rsid w:val="00822DFC"/>
    <w:rsid w:val="00823313"/>
    <w:rsid w:val="008236DF"/>
    <w:rsid w:val="00823782"/>
    <w:rsid w:val="00823DEE"/>
    <w:rsid w:val="00823F86"/>
    <w:rsid w:val="00824437"/>
    <w:rsid w:val="00824F47"/>
    <w:rsid w:val="00826211"/>
    <w:rsid w:val="00826F7D"/>
    <w:rsid w:val="00827A3D"/>
    <w:rsid w:val="00830449"/>
    <w:rsid w:val="0083056F"/>
    <w:rsid w:val="00830ACE"/>
    <w:rsid w:val="00830D09"/>
    <w:rsid w:val="008318E2"/>
    <w:rsid w:val="00831DC9"/>
    <w:rsid w:val="00831F19"/>
    <w:rsid w:val="0083233B"/>
    <w:rsid w:val="0083388B"/>
    <w:rsid w:val="008338B4"/>
    <w:rsid w:val="008340CC"/>
    <w:rsid w:val="00835A9F"/>
    <w:rsid w:val="00835AD5"/>
    <w:rsid w:val="00835E5F"/>
    <w:rsid w:val="00835FB9"/>
    <w:rsid w:val="00836663"/>
    <w:rsid w:val="008406C8"/>
    <w:rsid w:val="00840C00"/>
    <w:rsid w:val="00840FE7"/>
    <w:rsid w:val="00841FB5"/>
    <w:rsid w:val="00842CD1"/>
    <w:rsid w:val="008436F6"/>
    <w:rsid w:val="00843DB1"/>
    <w:rsid w:val="00843F4B"/>
    <w:rsid w:val="00844280"/>
    <w:rsid w:val="008446B9"/>
    <w:rsid w:val="00844B61"/>
    <w:rsid w:val="00844DD6"/>
    <w:rsid w:val="00845B13"/>
    <w:rsid w:val="00846A69"/>
    <w:rsid w:val="00847111"/>
    <w:rsid w:val="00847B0B"/>
    <w:rsid w:val="008503CD"/>
    <w:rsid w:val="00850C45"/>
    <w:rsid w:val="008521D6"/>
    <w:rsid w:val="00852E13"/>
    <w:rsid w:val="008541B1"/>
    <w:rsid w:val="00854491"/>
    <w:rsid w:val="00854498"/>
    <w:rsid w:val="00854E72"/>
    <w:rsid w:val="0085536A"/>
    <w:rsid w:val="008555CD"/>
    <w:rsid w:val="00855F29"/>
    <w:rsid w:val="008571E5"/>
    <w:rsid w:val="00857232"/>
    <w:rsid w:val="00857B12"/>
    <w:rsid w:val="00860155"/>
    <w:rsid w:val="00860B33"/>
    <w:rsid w:val="00861E94"/>
    <w:rsid w:val="0086274A"/>
    <w:rsid w:val="00862841"/>
    <w:rsid w:val="008633F0"/>
    <w:rsid w:val="008636D0"/>
    <w:rsid w:val="00863C5C"/>
    <w:rsid w:val="00863C6A"/>
    <w:rsid w:val="00863C6D"/>
    <w:rsid w:val="00864318"/>
    <w:rsid w:val="00865F02"/>
    <w:rsid w:val="00866437"/>
    <w:rsid w:val="008664EA"/>
    <w:rsid w:val="00866990"/>
    <w:rsid w:val="00866B12"/>
    <w:rsid w:val="008671A4"/>
    <w:rsid w:val="00867631"/>
    <w:rsid w:val="008679DF"/>
    <w:rsid w:val="00867C9D"/>
    <w:rsid w:val="008705C4"/>
    <w:rsid w:val="00870719"/>
    <w:rsid w:val="0087139B"/>
    <w:rsid w:val="00872252"/>
    <w:rsid w:val="008724F6"/>
    <w:rsid w:val="008728AF"/>
    <w:rsid w:val="00872D21"/>
    <w:rsid w:val="00872DC0"/>
    <w:rsid w:val="00873298"/>
    <w:rsid w:val="00873610"/>
    <w:rsid w:val="00873A3E"/>
    <w:rsid w:val="00873BE1"/>
    <w:rsid w:val="00874414"/>
    <w:rsid w:val="008744B9"/>
    <w:rsid w:val="008746F4"/>
    <w:rsid w:val="0087548B"/>
    <w:rsid w:val="0087578D"/>
    <w:rsid w:val="008758BD"/>
    <w:rsid w:val="00875DA5"/>
    <w:rsid w:val="00876151"/>
    <w:rsid w:val="00876CC8"/>
    <w:rsid w:val="00876E4F"/>
    <w:rsid w:val="008770A3"/>
    <w:rsid w:val="00877FF2"/>
    <w:rsid w:val="0088156D"/>
    <w:rsid w:val="00881654"/>
    <w:rsid w:val="00882DD3"/>
    <w:rsid w:val="00882EDF"/>
    <w:rsid w:val="00882FF6"/>
    <w:rsid w:val="0088301F"/>
    <w:rsid w:val="00883737"/>
    <w:rsid w:val="0088394B"/>
    <w:rsid w:val="00883E45"/>
    <w:rsid w:val="00884E9A"/>
    <w:rsid w:val="00885686"/>
    <w:rsid w:val="008857C8"/>
    <w:rsid w:val="008858ED"/>
    <w:rsid w:val="00885CE3"/>
    <w:rsid w:val="00885F6C"/>
    <w:rsid w:val="00886388"/>
    <w:rsid w:val="00886682"/>
    <w:rsid w:val="008903C6"/>
    <w:rsid w:val="00890E47"/>
    <w:rsid w:val="008916BD"/>
    <w:rsid w:val="00891F8B"/>
    <w:rsid w:val="00891FCB"/>
    <w:rsid w:val="0089239B"/>
    <w:rsid w:val="00893094"/>
    <w:rsid w:val="00893952"/>
    <w:rsid w:val="0089425B"/>
    <w:rsid w:val="00895235"/>
    <w:rsid w:val="00895741"/>
    <w:rsid w:val="00896126"/>
    <w:rsid w:val="00896693"/>
    <w:rsid w:val="008970AC"/>
    <w:rsid w:val="008971A2"/>
    <w:rsid w:val="008972FB"/>
    <w:rsid w:val="008974D3"/>
    <w:rsid w:val="008976AA"/>
    <w:rsid w:val="0089799C"/>
    <w:rsid w:val="00897F58"/>
    <w:rsid w:val="008A0202"/>
    <w:rsid w:val="008A112C"/>
    <w:rsid w:val="008A119A"/>
    <w:rsid w:val="008A1E7B"/>
    <w:rsid w:val="008A2661"/>
    <w:rsid w:val="008A281B"/>
    <w:rsid w:val="008A33BF"/>
    <w:rsid w:val="008A38B2"/>
    <w:rsid w:val="008A3B15"/>
    <w:rsid w:val="008A3F1B"/>
    <w:rsid w:val="008A417B"/>
    <w:rsid w:val="008A4201"/>
    <w:rsid w:val="008A4F6D"/>
    <w:rsid w:val="008A5C3F"/>
    <w:rsid w:val="008A5F7F"/>
    <w:rsid w:val="008A61BD"/>
    <w:rsid w:val="008A6986"/>
    <w:rsid w:val="008B0634"/>
    <w:rsid w:val="008B0678"/>
    <w:rsid w:val="008B0E0D"/>
    <w:rsid w:val="008B0EC8"/>
    <w:rsid w:val="008B116E"/>
    <w:rsid w:val="008B265A"/>
    <w:rsid w:val="008B2685"/>
    <w:rsid w:val="008B2BAC"/>
    <w:rsid w:val="008B2D38"/>
    <w:rsid w:val="008B2DB5"/>
    <w:rsid w:val="008B2EA8"/>
    <w:rsid w:val="008B3084"/>
    <w:rsid w:val="008B3431"/>
    <w:rsid w:val="008B36F1"/>
    <w:rsid w:val="008B4564"/>
    <w:rsid w:val="008B4720"/>
    <w:rsid w:val="008B6279"/>
    <w:rsid w:val="008B66EA"/>
    <w:rsid w:val="008B6F73"/>
    <w:rsid w:val="008B7325"/>
    <w:rsid w:val="008B79E3"/>
    <w:rsid w:val="008B7A44"/>
    <w:rsid w:val="008C0203"/>
    <w:rsid w:val="008C199F"/>
    <w:rsid w:val="008C1B4D"/>
    <w:rsid w:val="008C29ED"/>
    <w:rsid w:val="008C2FAF"/>
    <w:rsid w:val="008C37D4"/>
    <w:rsid w:val="008C3A58"/>
    <w:rsid w:val="008C3B6C"/>
    <w:rsid w:val="008C3CCC"/>
    <w:rsid w:val="008C4350"/>
    <w:rsid w:val="008C4829"/>
    <w:rsid w:val="008C5197"/>
    <w:rsid w:val="008C56EE"/>
    <w:rsid w:val="008C70D1"/>
    <w:rsid w:val="008C783D"/>
    <w:rsid w:val="008C7AB4"/>
    <w:rsid w:val="008C7AC5"/>
    <w:rsid w:val="008D003E"/>
    <w:rsid w:val="008D0B64"/>
    <w:rsid w:val="008D0CA7"/>
    <w:rsid w:val="008D24F2"/>
    <w:rsid w:val="008D24F7"/>
    <w:rsid w:val="008D2D9D"/>
    <w:rsid w:val="008D3A21"/>
    <w:rsid w:val="008D3AB6"/>
    <w:rsid w:val="008D3B80"/>
    <w:rsid w:val="008D3E8B"/>
    <w:rsid w:val="008D47DC"/>
    <w:rsid w:val="008D4948"/>
    <w:rsid w:val="008D49DE"/>
    <w:rsid w:val="008D4C36"/>
    <w:rsid w:val="008D5512"/>
    <w:rsid w:val="008D59CC"/>
    <w:rsid w:val="008D5B15"/>
    <w:rsid w:val="008D5C6D"/>
    <w:rsid w:val="008D65D3"/>
    <w:rsid w:val="008D660E"/>
    <w:rsid w:val="008D666E"/>
    <w:rsid w:val="008D67B1"/>
    <w:rsid w:val="008D721B"/>
    <w:rsid w:val="008D7A4E"/>
    <w:rsid w:val="008D7B54"/>
    <w:rsid w:val="008E10EC"/>
    <w:rsid w:val="008E18C4"/>
    <w:rsid w:val="008E207B"/>
    <w:rsid w:val="008E2D3E"/>
    <w:rsid w:val="008E3AFB"/>
    <w:rsid w:val="008E3E7D"/>
    <w:rsid w:val="008E3F42"/>
    <w:rsid w:val="008E3F8D"/>
    <w:rsid w:val="008E4010"/>
    <w:rsid w:val="008E408B"/>
    <w:rsid w:val="008E50F1"/>
    <w:rsid w:val="008E5606"/>
    <w:rsid w:val="008E57F9"/>
    <w:rsid w:val="008E5961"/>
    <w:rsid w:val="008E6A99"/>
    <w:rsid w:val="008E6D68"/>
    <w:rsid w:val="008E6DEF"/>
    <w:rsid w:val="008E6E70"/>
    <w:rsid w:val="008E78D0"/>
    <w:rsid w:val="008E7AC4"/>
    <w:rsid w:val="008F052E"/>
    <w:rsid w:val="008F0C98"/>
    <w:rsid w:val="008F0E61"/>
    <w:rsid w:val="008F2396"/>
    <w:rsid w:val="008F2873"/>
    <w:rsid w:val="008F5AC6"/>
    <w:rsid w:val="008F6122"/>
    <w:rsid w:val="008F68AC"/>
    <w:rsid w:val="008F71CC"/>
    <w:rsid w:val="008F7435"/>
    <w:rsid w:val="00900810"/>
    <w:rsid w:val="009008BE"/>
    <w:rsid w:val="00900A26"/>
    <w:rsid w:val="00902084"/>
    <w:rsid w:val="0090357C"/>
    <w:rsid w:val="0090369C"/>
    <w:rsid w:val="00904649"/>
    <w:rsid w:val="00904E08"/>
    <w:rsid w:val="0090760F"/>
    <w:rsid w:val="00907FDA"/>
    <w:rsid w:val="009100F9"/>
    <w:rsid w:val="009112E3"/>
    <w:rsid w:val="009127EF"/>
    <w:rsid w:val="009128D6"/>
    <w:rsid w:val="009147AA"/>
    <w:rsid w:val="00916454"/>
    <w:rsid w:val="0091670D"/>
    <w:rsid w:val="00916961"/>
    <w:rsid w:val="009169B5"/>
    <w:rsid w:val="009204B7"/>
    <w:rsid w:val="00920852"/>
    <w:rsid w:val="00920C83"/>
    <w:rsid w:val="00921B49"/>
    <w:rsid w:val="00921BC2"/>
    <w:rsid w:val="00921D19"/>
    <w:rsid w:val="00921E7C"/>
    <w:rsid w:val="00921FD6"/>
    <w:rsid w:val="00922919"/>
    <w:rsid w:val="009229C6"/>
    <w:rsid w:val="00922B70"/>
    <w:rsid w:val="00922C2D"/>
    <w:rsid w:val="00922D94"/>
    <w:rsid w:val="00924307"/>
    <w:rsid w:val="009248D3"/>
    <w:rsid w:val="00924F3C"/>
    <w:rsid w:val="009258DE"/>
    <w:rsid w:val="00926998"/>
    <w:rsid w:val="00927BB6"/>
    <w:rsid w:val="00927CD6"/>
    <w:rsid w:val="00930C46"/>
    <w:rsid w:val="009314FB"/>
    <w:rsid w:val="00931697"/>
    <w:rsid w:val="00931703"/>
    <w:rsid w:val="00931BE9"/>
    <w:rsid w:val="00931CCC"/>
    <w:rsid w:val="00931E81"/>
    <w:rsid w:val="00932B7F"/>
    <w:rsid w:val="00933B35"/>
    <w:rsid w:val="009341A8"/>
    <w:rsid w:val="0093457E"/>
    <w:rsid w:val="00936B4B"/>
    <w:rsid w:val="009376FE"/>
    <w:rsid w:val="00937C95"/>
    <w:rsid w:val="00940204"/>
    <w:rsid w:val="00940739"/>
    <w:rsid w:val="00940C63"/>
    <w:rsid w:val="00940CD4"/>
    <w:rsid w:val="00941D36"/>
    <w:rsid w:val="00942128"/>
    <w:rsid w:val="009432A1"/>
    <w:rsid w:val="009449A5"/>
    <w:rsid w:val="00944F4F"/>
    <w:rsid w:val="009452EF"/>
    <w:rsid w:val="0094560B"/>
    <w:rsid w:val="00945646"/>
    <w:rsid w:val="009457B1"/>
    <w:rsid w:val="00945CA7"/>
    <w:rsid w:val="00946CC0"/>
    <w:rsid w:val="009471F6"/>
    <w:rsid w:val="0094733D"/>
    <w:rsid w:val="009476D5"/>
    <w:rsid w:val="00947BAF"/>
    <w:rsid w:val="00947DCA"/>
    <w:rsid w:val="00947FBA"/>
    <w:rsid w:val="00950270"/>
    <w:rsid w:val="00950A3A"/>
    <w:rsid w:val="00950BD7"/>
    <w:rsid w:val="009514F4"/>
    <w:rsid w:val="009516FE"/>
    <w:rsid w:val="00951E1E"/>
    <w:rsid w:val="00951EBB"/>
    <w:rsid w:val="00951F93"/>
    <w:rsid w:val="0095269B"/>
    <w:rsid w:val="00952984"/>
    <w:rsid w:val="009534A2"/>
    <w:rsid w:val="00953D30"/>
    <w:rsid w:val="00954B57"/>
    <w:rsid w:val="00954F87"/>
    <w:rsid w:val="00955048"/>
    <w:rsid w:val="00955321"/>
    <w:rsid w:val="0095651B"/>
    <w:rsid w:val="0096027A"/>
    <w:rsid w:val="009602FC"/>
    <w:rsid w:val="0096087C"/>
    <w:rsid w:val="00960D50"/>
    <w:rsid w:val="00960D55"/>
    <w:rsid w:val="00960D5C"/>
    <w:rsid w:val="00960E4D"/>
    <w:rsid w:val="00960E69"/>
    <w:rsid w:val="009616ED"/>
    <w:rsid w:val="00961733"/>
    <w:rsid w:val="00961C91"/>
    <w:rsid w:val="009625BF"/>
    <w:rsid w:val="00962723"/>
    <w:rsid w:val="009627BA"/>
    <w:rsid w:val="0096299F"/>
    <w:rsid w:val="00962B46"/>
    <w:rsid w:val="00962C80"/>
    <w:rsid w:val="00963444"/>
    <w:rsid w:val="00963512"/>
    <w:rsid w:val="0096363E"/>
    <w:rsid w:val="00963B7A"/>
    <w:rsid w:val="009640A9"/>
    <w:rsid w:val="00964176"/>
    <w:rsid w:val="0096479D"/>
    <w:rsid w:val="00964B4C"/>
    <w:rsid w:val="00964B76"/>
    <w:rsid w:val="009655E0"/>
    <w:rsid w:val="00966032"/>
    <w:rsid w:val="009666B3"/>
    <w:rsid w:val="009667B5"/>
    <w:rsid w:val="00966FB7"/>
    <w:rsid w:val="0096700F"/>
    <w:rsid w:val="0096761D"/>
    <w:rsid w:val="009678DF"/>
    <w:rsid w:val="00967963"/>
    <w:rsid w:val="009679E6"/>
    <w:rsid w:val="00970899"/>
    <w:rsid w:val="00972135"/>
    <w:rsid w:val="009729B4"/>
    <w:rsid w:val="00973A24"/>
    <w:rsid w:val="00974367"/>
    <w:rsid w:val="00974C45"/>
    <w:rsid w:val="009751B8"/>
    <w:rsid w:val="00975786"/>
    <w:rsid w:val="009763E6"/>
    <w:rsid w:val="00976AF0"/>
    <w:rsid w:val="00976B42"/>
    <w:rsid w:val="0097731F"/>
    <w:rsid w:val="0097735F"/>
    <w:rsid w:val="00977C83"/>
    <w:rsid w:val="00977FA5"/>
    <w:rsid w:val="00980664"/>
    <w:rsid w:val="009807A3"/>
    <w:rsid w:val="00980E0C"/>
    <w:rsid w:val="0098117C"/>
    <w:rsid w:val="00981225"/>
    <w:rsid w:val="00982501"/>
    <w:rsid w:val="00983125"/>
    <w:rsid w:val="00985056"/>
    <w:rsid w:val="00985717"/>
    <w:rsid w:val="00985806"/>
    <w:rsid w:val="00985F6B"/>
    <w:rsid w:val="0098672A"/>
    <w:rsid w:val="00986D04"/>
    <w:rsid w:val="00986D35"/>
    <w:rsid w:val="00986E95"/>
    <w:rsid w:val="00986FA9"/>
    <w:rsid w:val="00987354"/>
    <w:rsid w:val="00987744"/>
    <w:rsid w:val="00987BE9"/>
    <w:rsid w:val="00987F8C"/>
    <w:rsid w:val="00990441"/>
    <w:rsid w:val="00990B80"/>
    <w:rsid w:val="009913D4"/>
    <w:rsid w:val="00992BCB"/>
    <w:rsid w:val="00992C53"/>
    <w:rsid w:val="0099316B"/>
    <w:rsid w:val="00995024"/>
    <w:rsid w:val="0099584D"/>
    <w:rsid w:val="00995B97"/>
    <w:rsid w:val="009962D0"/>
    <w:rsid w:val="0099674F"/>
    <w:rsid w:val="009979FF"/>
    <w:rsid w:val="009A027A"/>
    <w:rsid w:val="009A0C29"/>
    <w:rsid w:val="009A1161"/>
    <w:rsid w:val="009A1EA5"/>
    <w:rsid w:val="009A2879"/>
    <w:rsid w:val="009A2CBE"/>
    <w:rsid w:val="009A30C9"/>
    <w:rsid w:val="009A3CFB"/>
    <w:rsid w:val="009A3D88"/>
    <w:rsid w:val="009A4233"/>
    <w:rsid w:val="009A4618"/>
    <w:rsid w:val="009A6E8E"/>
    <w:rsid w:val="009B0E4F"/>
    <w:rsid w:val="009B18F0"/>
    <w:rsid w:val="009B1B63"/>
    <w:rsid w:val="009B1E54"/>
    <w:rsid w:val="009B328B"/>
    <w:rsid w:val="009B3527"/>
    <w:rsid w:val="009B3B7E"/>
    <w:rsid w:val="009B3E54"/>
    <w:rsid w:val="009B4AFC"/>
    <w:rsid w:val="009B5052"/>
    <w:rsid w:val="009B51C7"/>
    <w:rsid w:val="009B5446"/>
    <w:rsid w:val="009B5C10"/>
    <w:rsid w:val="009B6441"/>
    <w:rsid w:val="009C135D"/>
    <w:rsid w:val="009C160A"/>
    <w:rsid w:val="009C2041"/>
    <w:rsid w:val="009C4AE9"/>
    <w:rsid w:val="009C4BB9"/>
    <w:rsid w:val="009C51AD"/>
    <w:rsid w:val="009C53B3"/>
    <w:rsid w:val="009C5980"/>
    <w:rsid w:val="009C5B31"/>
    <w:rsid w:val="009C60E8"/>
    <w:rsid w:val="009C6388"/>
    <w:rsid w:val="009C65BC"/>
    <w:rsid w:val="009C68A4"/>
    <w:rsid w:val="009C6C1B"/>
    <w:rsid w:val="009C737E"/>
    <w:rsid w:val="009C755C"/>
    <w:rsid w:val="009C771C"/>
    <w:rsid w:val="009C7DA8"/>
    <w:rsid w:val="009C7FCA"/>
    <w:rsid w:val="009D1677"/>
    <w:rsid w:val="009D200F"/>
    <w:rsid w:val="009D3638"/>
    <w:rsid w:val="009D3A71"/>
    <w:rsid w:val="009D4D84"/>
    <w:rsid w:val="009D5E0B"/>
    <w:rsid w:val="009D5E47"/>
    <w:rsid w:val="009D5F2D"/>
    <w:rsid w:val="009D6513"/>
    <w:rsid w:val="009D65F2"/>
    <w:rsid w:val="009D6813"/>
    <w:rsid w:val="009D6ED3"/>
    <w:rsid w:val="009D6FB6"/>
    <w:rsid w:val="009D70B9"/>
    <w:rsid w:val="009D7C66"/>
    <w:rsid w:val="009E01A6"/>
    <w:rsid w:val="009E18A0"/>
    <w:rsid w:val="009E1F72"/>
    <w:rsid w:val="009E413C"/>
    <w:rsid w:val="009E4612"/>
    <w:rsid w:val="009E4810"/>
    <w:rsid w:val="009E4F1A"/>
    <w:rsid w:val="009E5953"/>
    <w:rsid w:val="009E6010"/>
    <w:rsid w:val="009E742C"/>
    <w:rsid w:val="009E744A"/>
    <w:rsid w:val="009F20A6"/>
    <w:rsid w:val="009F25E6"/>
    <w:rsid w:val="009F2771"/>
    <w:rsid w:val="009F313A"/>
    <w:rsid w:val="009F3976"/>
    <w:rsid w:val="009F4407"/>
    <w:rsid w:val="009F4B5B"/>
    <w:rsid w:val="009F6442"/>
    <w:rsid w:val="009F6A8B"/>
    <w:rsid w:val="009F7157"/>
    <w:rsid w:val="009F7463"/>
    <w:rsid w:val="009F7877"/>
    <w:rsid w:val="009F791F"/>
    <w:rsid w:val="00A00521"/>
    <w:rsid w:val="00A016F8"/>
    <w:rsid w:val="00A01AF9"/>
    <w:rsid w:val="00A01D16"/>
    <w:rsid w:val="00A02C29"/>
    <w:rsid w:val="00A02FF8"/>
    <w:rsid w:val="00A032B3"/>
    <w:rsid w:val="00A0498B"/>
    <w:rsid w:val="00A04EE1"/>
    <w:rsid w:val="00A0568F"/>
    <w:rsid w:val="00A05D5E"/>
    <w:rsid w:val="00A066C0"/>
    <w:rsid w:val="00A06C27"/>
    <w:rsid w:val="00A07237"/>
    <w:rsid w:val="00A0726A"/>
    <w:rsid w:val="00A07381"/>
    <w:rsid w:val="00A07741"/>
    <w:rsid w:val="00A07BBC"/>
    <w:rsid w:val="00A11036"/>
    <w:rsid w:val="00A12265"/>
    <w:rsid w:val="00A12ADE"/>
    <w:rsid w:val="00A12CE0"/>
    <w:rsid w:val="00A13067"/>
    <w:rsid w:val="00A13BDE"/>
    <w:rsid w:val="00A14559"/>
    <w:rsid w:val="00A1487A"/>
    <w:rsid w:val="00A1496C"/>
    <w:rsid w:val="00A16491"/>
    <w:rsid w:val="00A16CB7"/>
    <w:rsid w:val="00A2167F"/>
    <w:rsid w:val="00A21703"/>
    <w:rsid w:val="00A21B06"/>
    <w:rsid w:val="00A21D3C"/>
    <w:rsid w:val="00A2312D"/>
    <w:rsid w:val="00A232BC"/>
    <w:rsid w:val="00A24139"/>
    <w:rsid w:val="00A24877"/>
    <w:rsid w:val="00A24B6F"/>
    <w:rsid w:val="00A24D17"/>
    <w:rsid w:val="00A2560C"/>
    <w:rsid w:val="00A25814"/>
    <w:rsid w:val="00A26405"/>
    <w:rsid w:val="00A26FF1"/>
    <w:rsid w:val="00A272A7"/>
    <w:rsid w:val="00A27555"/>
    <w:rsid w:val="00A27E35"/>
    <w:rsid w:val="00A303E5"/>
    <w:rsid w:val="00A30594"/>
    <w:rsid w:val="00A30A2E"/>
    <w:rsid w:val="00A32372"/>
    <w:rsid w:val="00A3285C"/>
    <w:rsid w:val="00A32AFB"/>
    <w:rsid w:val="00A33419"/>
    <w:rsid w:val="00A33E89"/>
    <w:rsid w:val="00A342E5"/>
    <w:rsid w:val="00A36042"/>
    <w:rsid w:val="00A36CFF"/>
    <w:rsid w:val="00A37D90"/>
    <w:rsid w:val="00A401D1"/>
    <w:rsid w:val="00A4076A"/>
    <w:rsid w:val="00A40989"/>
    <w:rsid w:val="00A41AD0"/>
    <w:rsid w:val="00A41E49"/>
    <w:rsid w:val="00A41F7A"/>
    <w:rsid w:val="00A42834"/>
    <w:rsid w:val="00A43166"/>
    <w:rsid w:val="00A434F4"/>
    <w:rsid w:val="00A43F2C"/>
    <w:rsid w:val="00A441D4"/>
    <w:rsid w:val="00A4430C"/>
    <w:rsid w:val="00A4436C"/>
    <w:rsid w:val="00A4486B"/>
    <w:rsid w:val="00A44AF9"/>
    <w:rsid w:val="00A451E4"/>
    <w:rsid w:val="00A466CB"/>
    <w:rsid w:val="00A46AA1"/>
    <w:rsid w:val="00A47E4B"/>
    <w:rsid w:val="00A503C5"/>
    <w:rsid w:val="00A508FF"/>
    <w:rsid w:val="00A515F7"/>
    <w:rsid w:val="00A53B22"/>
    <w:rsid w:val="00A543E6"/>
    <w:rsid w:val="00A54C52"/>
    <w:rsid w:val="00A55101"/>
    <w:rsid w:val="00A56980"/>
    <w:rsid w:val="00A56AAC"/>
    <w:rsid w:val="00A56B09"/>
    <w:rsid w:val="00A56D68"/>
    <w:rsid w:val="00A579BD"/>
    <w:rsid w:val="00A60D54"/>
    <w:rsid w:val="00A62504"/>
    <w:rsid w:val="00A62AF8"/>
    <w:rsid w:val="00A643DE"/>
    <w:rsid w:val="00A65688"/>
    <w:rsid w:val="00A65938"/>
    <w:rsid w:val="00A65B5C"/>
    <w:rsid w:val="00A660E3"/>
    <w:rsid w:val="00A668DD"/>
    <w:rsid w:val="00A669BD"/>
    <w:rsid w:val="00A6715B"/>
    <w:rsid w:val="00A671BF"/>
    <w:rsid w:val="00A6756F"/>
    <w:rsid w:val="00A67E01"/>
    <w:rsid w:val="00A7008B"/>
    <w:rsid w:val="00A70F14"/>
    <w:rsid w:val="00A70FD3"/>
    <w:rsid w:val="00A715FA"/>
    <w:rsid w:val="00A71D3F"/>
    <w:rsid w:val="00A71F45"/>
    <w:rsid w:val="00A72D23"/>
    <w:rsid w:val="00A72F7D"/>
    <w:rsid w:val="00A73F74"/>
    <w:rsid w:val="00A7424D"/>
    <w:rsid w:val="00A74E88"/>
    <w:rsid w:val="00A7654F"/>
    <w:rsid w:val="00A77210"/>
    <w:rsid w:val="00A77C0A"/>
    <w:rsid w:val="00A77DF7"/>
    <w:rsid w:val="00A81238"/>
    <w:rsid w:val="00A81BEF"/>
    <w:rsid w:val="00A821FE"/>
    <w:rsid w:val="00A822E0"/>
    <w:rsid w:val="00A8255D"/>
    <w:rsid w:val="00A83A5C"/>
    <w:rsid w:val="00A83C1D"/>
    <w:rsid w:val="00A84230"/>
    <w:rsid w:val="00A846A4"/>
    <w:rsid w:val="00A851A5"/>
    <w:rsid w:val="00A856C9"/>
    <w:rsid w:val="00A8588B"/>
    <w:rsid w:val="00A85D32"/>
    <w:rsid w:val="00A860CF"/>
    <w:rsid w:val="00A86576"/>
    <w:rsid w:val="00A865C0"/>
    <w:rsid w:val="00A86646"/>
    <w:rsid w:val="00A872D2"/>
    <w:rsid w:val="00A872DB"/>
    <w:rsid w:val="00A873CA"/>
    <w:rsid w:val="00A87545"/>
    <w:rsid w:val="00A87835"/>
    <w:rsid w:val="00A87B13"/>
    <w:rsid w:val="00A91BE3"/>
    <w:rsid w:val="00A921C8"/>
    <w:rsid w:val="00A94386"/>
    <w:rsid w:val="00A94CAA"/>
    <w:rsid w:val="00A94D88"/>
    <w:rsid w:val="00A95860"/>
    <w:rsid w:val="00A95B12"/>
    <w:rsid w:val="00A95B67"/>
    <w:rsid w:val="00A96712"/>
    <w:rsid w:val="00A9731D"/>
    <w:rsid w:val="00A976E9"/>
    <w:rsid w:val="00A97B17"/>
    <w:rsid w:val="00AA01DE"/>
    <w:rsid w:val="00AA06EE"/>
    <w:rsid w:val="00AA0CB3"/>
    <w:rsid w:val="00AA0D52"/>
    <w:rsid w:val="00AA0FB4"/>
    <w:rsid w:val="00AA1579"/>
    <w:rsid w:val="00AA1B5B"/>
    <w:rsid w:val="00AA2088"/>
    <w:rsid w:val="00AA2669"/>
    <w:rsid w:val="00AA2969"/>
    <w:rsid w:val="00AA29DA"/>
    <w:rsid w:val="00AA34C6"/>
    <w:rsid w:val="00AA37D6"/>
    <w:rsid w:val="00AA3F74"/>
    <w:rsid w:val="00AA4836"/>
    <w:rsid w:val="00AA5341"/>
    <w:rsid w:val="00AA66EA"/>
    <w:rsid w:val="00AA66F1"/>
    <w:rsid w:val="00AA6E09"/>
    <w:rsid w:val="00AA6FD0"/>
    <w:rsid w:val="00AA71C5"/>
    <w:rsid w:val="00AA75A3"/>
    <w:rsid w:val="00AA7759"/>
    <w:rsid w:val="00AA7E15"/>
    <w:rsid w:val="00AB0C18"/>
    <w:rsid w:val="00AB0DC7"/>
    <w:rsid w:val="00AB11A9"/>
    <w:rsid w:val="00AB1F47"/>
    <w:rsid w:val="00AB2420"/>
    <w:rsid w:val="00AB2AEA"/>
    <w:rsid w:val="00AB2DCD"/>
    <w:rsid w:val="00AB33D0"/>
    <w:rsid w:val="00AB3EC9"/>
    <w:rsid w:val="00AB470A"/>
    <w:rsid w:val="00AB4CED"/>
    <w:rsid w:val="00AB5463"/>
    <w:rsid w:val="00AB5F6B"/>
    <w:rsid w:val="00AB6B86"/>
    <w:rsid w:val="00AB77BF"/>
    <w:rsid w:val="00AB7D59"/>
    <w:rsid w:val="00AB7F52"/>
    <w:rsid w:val="00AC012B"/>
    <w:rsid w:val="00AC01A3"/>
    <w:rsid w:val="00AC05EC"/>
    <w:rsid w:val="00AC0CD0"/>
    <w:rsid w:val="00AC18A3"/>
    <w:rsid w:val="00AC18E2"/>
    <w:rsid w:val="00AC194D"/>
    <w:rsid w:val="00AC1F92"/>
    <w:rsid w:val="00AC235D"/>
    <w:rsid w:val="00AC2950"/>
    <w:rsid w:val="00AC2F64"/>
    <w:rsid w:val="00AC39F6"/>
    <w:rsid w:val="00AC3A10"/>
    <w:rsid w:val="00AC3A20"/>
    <w:rsid w:val="00AC3ECE"/>
    <w:rsid w:val="00AC4469"/>
    <w:rsid w:val="00AC540B"/>
    <w:rsid w:val="00AC54D9"/>
    <w:rsid w:val="00AC781A"/>
    <w:rsid w:val="00AC7B6B"/>
    <w:rsid w:val="00AC7C0B"/>
    <w:rsid w:val="00AD0F59"/>
    <w:rsid w:val="00AD105A"/>
    <w:rsid w:val="00AD10AA"/>
    <w:rsid w:val="00AD14E9"/>
    <w:rsid w:val="00AD1781"/>
    <w:rsid w:val="00AD2CFD"/>
    <w:rsid w:val="00AD3163"/>
    <w:rsid w:val="00AD31C6"/>
    <w:rsid w:val="00AD32C5"/>
    <w:rsid w:val="00AD3702"/>
    <w:rsid w:val="00AD4304"/>
    <w:rsid w:val="00AD4784"/>
    <w:rsid w:val="00AD4BBB"/>
    <w:rsid w:val="00AD531C"/>
    <w:rsid w:val="00AD5932"/>
    <w:rsid w:val="00AD5D26"/>
    <w:rsid w:val="00AD5F87"/>
    <w:rsid w:val="00AD6D72"/>
    <w:rsid w:val="00AD71AC"/>
    <w:rsid w:val="00AD73B0"/>
    <w:rsid w:val="00AD73F8"/>
    <w:rsid w:val="00AE0DFF"/>
    <w:rsid w:val="00AE116A"/>
    <w:rsid w:val="00AE11D7"/>
    <w:rsid w:val="00AE1264"/>
    <w:rsid w:val="00AE13A4"/>
    <w:rsid w:val="00AE16D1"/>
    <w:rsid w:val="00AE1877"/>
    <w:rsid w:val="00AE1CB6"/>
    <w:rsid w:val="00AE266E"/>
    <w:rsid w:val="00AE2FB0"/>
    <w:rsid w:val="00AE4565"/>
    <w:rsid w:val="00AE478B"/>
    <w:rsid w:val="00AE49C3"/>
    <w:rsid w:val="00AE4DB7"/>
    <w:rsid w:val="00AE59B2"/>
    <w:rsid w:val="00AE5A4A"/>
    <w:rsid w:val="00AE5E6E"/>
    <w:rsid w:val="00AE6162"/>
    <w:rsid w:val="00AE72B5"/>
    <w:rsid w:val="00AF088C"/>
    <w:rsid w:val="00AF0AC0"/>
    <w:rsid w:val="00AF0E23"/>
    <w:rsid w:val="00AF2FD9"/>
    <w:rsid w:val="00AF3194"/>
    <w:rsid w:val="00AF32EB"/>
    <w:rsid w:val="00AF3EA9"/>
    <w:rsid w:val="00AF442A"/>
    <w:rsid w:val="00AF5FF5"/>
    <w:rsid w:val="00AF68F5"/>
    <w:rsid w:val="00AF725C"/>
    <w:rsid w:val="00AF7A40"/>
    <w:rsid w:val="00B00173"/>
    <w:rsid w:val="00B0041D"/>
    <w:rsid w:val="00B00532"/>
    <w:rsid w:val="00B00592"/>
    <w:rsid w:val="00B012EE"/>
    <w:rsid w:val="00B013EB"/>
    <w:rsid w:val="00B014F6"/>
    <w:rsid w:val="00B0169D"/>
    <w:rsid w:val="00B02080"/>
    <w:rsid w:val="00B027A4"/>
    <w:rsid w:val="00B032BB"/>
    <w:rsid w:val="00B03538"/>
    <w:rsid w:val="00B035A2"/>
    <w:rsid w:val="00B03E26"/>
    <w:rsid w:val="00B040B2"/>
    <w:rsid w:val="00B04169"/>
    <w:rsid w:val="00B044DE"/>
    <w:rsid w:val="00B051A8"/>
    <w:rsid w:val="00B06781"/>
    <w:rsid w:val="00B067AB"/>
    <w:rsid w:val="00B06A65"/>
    <w:rsid w:val="00B0701D"/>
    <w:rsid w:val="00B07888"/>
    <w:rsid w:val="00B079B0"/>
    <w:rsid w:val="00B100F1"/>
    <w:rsid w:val="00B10928"/>
    <w:rsid w:val="00B10F61"/>
    <w:rsid w:val="00B11A97"/>
    <w:rsid w:val="00B11C02"/>
    <w:rsid w:val="00B12A32"/>
    <w:rsid w:val="00B13228"/>
    <w:rsid w:val="00B13552"/>
    <w:rsid w:val="00B13939"/>
    <w:rsid w:val="00B13CF3"/>
    <w:rsid w:val="00B142DE"/>
    <w:rsid w:val="00B14820"/>
    <w:rsid w:val="00B150BC"/>
    <w:rsid w:val="00B15A8C"/>
    <w:rsid w:val="00B16675"/>
    <w:rsid w:val="00B169C8"/>
    <w:rsid w:val="00B20065"/>
    <w:rsid w:val="00B21153"/>
    <w:rsid w:val="00B216BA"/>
    <w:rsid w:val="00B22B9A"/>
    <w:rsid w:val="00B22D2D"/>
    <w:rsid w:val="00B23D7B"/>
    <w:rsid w:val="00B24A18"/>
    <w:rsid w:val="00B24B92"/>
    <w:rsid w:val="00B2550C"/>
    <w:rsid w:val="00B25540"/>
    <w:rsid w:val="00B26175"/>
    <w:rsid w:val="00B2746F"/>
    <w:rsid w:val="00B27ACC"/>
    <w:rsid w:val="00B302B5"/>
    <w:rsid w:val="00B30582"/>
    <w:rsid w:val="00B30877"/>
    <w:rsid w:val="00B30E94"/>
    <w:rsid w:val="00B31490"/>
    <w:rsid w:val="00B315BA"/>
    <w:rsid w:val="00B31D42"/>
    <w:rsid w:val="00B3261F"/>
    <w:rsid w:val="00B338B3"/>
    <w:rsid w:val="00B34290"/>
    <w:rsid w:val="00B35111"/>
    <w:rsid w:val="00B35D9F"/>
    <w:rsid w:val="00B364EB"/>
    <w:rsid w:val="00B36557"/>
    <w:rsid w:val="00B3725C"/>
    <w:rsid w:val="00B37730"/>
    <w:rsid w:val="00B37761"/>
    <w:rsid w:val="00B37773"/>
    <w:rsid w:val="00B37C41"/>
    <w:rsid w:val="00B40CCD"/>
    <w:rsid w:val="00B40CF6"/>
    <w:rsid w:val="00B4163F"/>
    <w:rsid w:val="00B42A90"/>
    <w:rsid w:val="00B42D65"/>
    <w:rsid w:val="00B4306F"/>
    <w:rsid w:val="00B4357A"/>
    <w:rsid w:val="00B43D70"/>
    <w:rsid w:val="00B43F25"/>
    <w:rsid w:val="00B447CC"/>
    <w:rsid w:val="00B44EB7"/>
    <w:rsid w:val="00B45557"/>
    <w:rsid w:val="00B457CF"/>
    <w:rsid w:val="00B46171"/>
    <w:rsid w:val="00B46826"/>
    <w:rsid w:val="00B4746A"/>
    <w:rsid w:val="00B47C45"/>
    <w:rsid w:val="00B5016B"/>
    <w:rsid w:val="00B50DFD"/>
    <w:rsid w:val="00B5129E"/>
    <w:rsid w:val="00B517C7"/>
    <w:rsid w:val="00B523F0"/>
    <w:rsid w:val="00B52CBD"/>
    <w:rsid w:val="00B53802"/>
    <w:rsid w:val="00B5408F"/>
    <w:rsid w:val="00B5419B"/>
    <w:rsid w:val="00B54228"/>
    <w:rsid w:val="00B54B76"/>
    <w:rsid w:val="00B5552B"/>
    <w:rsid w:val="00B55DF5"/>
    <w:rsid w:val="00B565A5"/>
    <w:rsid w:val="00B56DDA"/>
    <w:rsid w:val="00B56E54"/>
    <w:rsid w:val="00B57159"/>
    <w:rsid w:val="00B57373"/>
    <w:rsid w:val="00B57CC4"/>
    <w:rsid w:val="00B6229C"/>
    <w:rsid w:val="00B622CB"/>
    <w:rsid w:val="00B62D6C"/>
    <w:rsid w:val="00B62E4C"/>
    <w:rsid w:val="00B62F1E"/>
    <w:rsid w:val="00B63123"/>
    <w:rsid w:val="00B634F0"/>
    <w:rsid w:val="00B64926"/>
    <w:rsid w:val="00B66090"/>
    <w:rsid w:val="00B6696A"/>
    <w:rsid w:val="00B67122"/>
    <w:rsid w:val="00B67255"/>
    <w:rsid w:val="00B678AB"/>
    <w:rsid w:val="00B67AED"/>
    <w:rsid w:val="00B67C7A"/>
    <w:rsid w:val="00B67F8B"/>
    <w:rsid w:val="00B702B9"/>
    <w:rsid w:val="00B709D5"/>
    <w:rsid w:val="00B709F9"/>
    <w:rsid w:val="00B71584"/>
    <w:rsid w:val="00B71C5C"/>
    <w:rsid w:val="00B725CA"/>
    <w:rsid w:val="00B732C1"/>
    <w:rsid w:val="00B73322"/>
    <w:rsid w:val="00B7336F"/>
    <w:rsid w:val="00B74C4D"/>
    <w:rsid w:val="00B763E8"/>
    <w:rsid w:val="00B766C4"/>
    <w:rsid w:val="00B767B8"/>
    <w:rsid w:val="00B76FFF"/>
    <w:rsid w:val="00B812EA"/>
    <w:rsid w:val="00B8172E"/>
    <w:rsid w:val="00B8188C"/>
    <w:rsid w:val="00B81EB3"/>
    <w:rsid w:val="00B82381"/>
    <w:rsid w:val="00B824AC"/>
    <w:rsid w:val="00B82CC3"/>
    <w:rsid w:val="00B83265"/>
    <w:rsid w:val="00B83F69"/>
    <w:rsid w:val="00B84949"/>
    <w:rsid w:val="00B851A8"/>
    <w:rsid w:val="00B8680F"/>
    <w:rsid w:val="00B86A90"/>
    <w:rsid w:val="00B87CE4"/>
    <w:rsid w:val="00B90224"/>
    <w:rsid w:val="00B909FB"/>
    <w:rsid w:val="00B91D9E"/>
    <w:rsid w:val="00B91F5B"/>
    <w:rsid w:val="00B922F7"/>
    <w:rsid w:val="00B92350"/>
    <w:rsid w:val="00B93214"/>
    <w:rsid w:val="00B939C3"/>
    <w:rsid w:val="00B93A4C"/>
    <w:rsid w:val="00B95311"/>
    <w:rsid w:val="00B9536C"/>
    <w:rsid w:val="00B9560F"/>
    <w:rsid w:val="00B9594C"/>
    <w:rsid w:val="00B95B3E"/>
    <w:rsid w:val="00B9640F"/>
    <w:rsid w:val="00B974FF"/>
    <w:rsid w:val="00B97C9A"/>
    <w:rsid w:val="00B97E59"/>
    <w:rsid w:val="00BA062F"/>
    <w:rsid w:val="00BA17A7"/>
    <w:rsid w:val="00BA1A1D"/>
    <w:rsid w:val="00BA1F77"/>
    <w:rsid w:val="00BA20A2"/>
    <w:rsid w:val="00BA21AF"/>
    <w:rsid w:val="00BA3419"/>
    <w:rsid w:val="00BA3CD5"/>
    <w:rsid w:val="00BA3EC5"/>
    <w:rsid w:val="00BA4916"/>
    <w:rsid w:val="00BA4EC1"/>
    <w:rsid w:val="00BA4FF4"/>
    <w:rsid w:val="00BA6782"/>
    <w:rsid w:val="00BA68B4"/>
    <w:rsid w:val="00BA6982"/>
    <w:rsid w:val="00BA6B72"/>
    <w:rsid w:val="00BA71FD"/>
    <w:rsid w:val="00BA7246"/>
    <w:rsid w:val="00BA7717"/>
    <w:rsid w:val="00BB015B"/>
    <w:rsid w:val="00BB0909"/>
    <w:rsid w:val="00BB0AD3"/>
    <w:rsid w:val="00BB0B89"/>
    <w:rsid w:val="00BB0EF5"/>
    <w:rsid w:val="00BB185C"/>
    <w:rsid w:val="00BB18E4"/>
    <w:rsid w:val="00BB269C"/>
    <w:rsid w:val="00BB289D"/>
    <w:rsid w:val="00BB2D0F"/>
    <w:rsid w:val="00BB3A9D"/>
    <w:rsid w:val="00BB4921"/>
    <w:rsid w:val="00BB551D"/>
    <w:rsid w:val="00BB5535"/>
    <w:rsid w:val="00BB5AE3"/>
    <w:rsid w:val="00BB663E"/>
    <w:rsid w:val="00BB71DD"/>
    <w:rsid w:val="00BB730E"/>
    <w:rsid w:val="00BB755C"/>
    <w:rsid w:val="00BB7B4D"/>
    <w:rsid w:val="00BC0229"/>
    <w:rsid w:val="00BC0467"/>
    <w:rsid w:val="00BC0C49"/>
    <w:rsid w:val="00BC1554"/>
    <w:rsid w:val="00BC1803"/>
    <w:rsid w:val="00BC23D0"/>
    <w:rsid w:val="00BC29AD"/>
    <w:rsid w:val="00BC341E"/>
    <w:rsid w:val="00BC3460"/>
    <w:rsid w:val="00BC34C8"/>
    <w:rsid w:val="00BC417A"/>
    <w:rsid w:val="00BC44ED"/>
    <w:rsid w:val="00BC4604"/>
    <w:rsid w:val="00BC4958"/>
    <w:rsid w:val="00BC4B56"/>
    <w:rsid w:val="00BC5135"/>
    <w:rsid w:val="00BC57AD"/>
    <w:rsid w:val="00BC5810"/>
    <w:rsid w:val="00BC5BB6"/>
    <w:rsid w:val="00BC5FCC"/>
    <w:rsid w:val="00BC6F59"/>
    <w:rsid w:val="00BC7B9C"/>
    <w:rsid w:val="00BC7C75"/>
    <w:rsid w:val="00BD0668"/>
    <w:rsid w:val="00BD0750"/>
    <w:rsid w:val="00BD1CD0"/>
    <w:rsid w:val="00BD27A6"/>
    <w:rsid w:val="00BD29B7"/>
    <w:rsid w:val="00BD36A3"/>
    <w:rsid w:val="00BD38F9"/>
    <w:rsid w:val="00BD3F93"/>
    <w:rsid w:val="00BD4141"/>
    <w:rsid w:val="00BD4517"/>
    <w:rsid w:val="00BD48B4"/>
    <w:rsid w:val="00BD4DF5"/>
    <w:rsid w:val="00BD5413"/>
    <w:rsid w:val="00BD5D47"/>
    <w:rsid w:val="00BD6204"/>
    <w:rsid w:val="00BD652C"/>
    <w:rsid w:val="00BD672D"/>
    <w:rsid w:val="00BD7030"/>
    <w:rsid w:val="00BD7C4C"/>
    <w:rsid w:val="00BD7FCE"/>
    <w:rsid w:val="00BD7FF9"/>
    <w:rsid w:val="00BE010A"/>
    <w:rsid w:val="00BE0386"/>
    <w:rsid w:val="00BE0577"/>
    <w:rsid w:val="00BE095E"/>
    <w:rsid w:val="00BE0C66"/>
    <w:rsid w:val="00BE0E4F"/>
    <w:rsid w:val="00BE10BE"/>
    <w:rsid w:val="00BE292B"/>
    <w:rsid w:val="00BE2C48"/>
    <w:rsid w:val="00BE413B"/>
    <w:rsid w:val="00BE4537"/>
    <w:rsid w:val="00BE471E"/>
    <w:rsid w:val="00BE4CB5"/>
    <w:rsid w:val="00BE5F86"/>
    <w:rsid w:val="00BE61F3"/>
    <w:rsid w:val="00BE64AE"/>
    <w:rsid w:val="00BE6A3F"/>
    <w:rsid w:val="00BE75D3"/>
    <w:rsid w:val="00BE7891"/>
    <w:rsid w:val="00BF0238"/>
    <w:rsid w:val="00BF13FD"/>
    <w:rsid w:val="00BF1580"/>
    <w:rsid w:val="00BF1891"/>
    <w:rsid w:val="00BF202D"/>
    <w:rsid w:val="00BF2093"/>
    <w:rsid w:val="00BF358F"/>
    <w:rsid w:val="00BF3742"/>
    <w:rsid w:val="00BF3AB8"/>
    <w:rsid w:val="00BF3BFA"/>
    <w:rsid w:val="00BF4B91"/>
    <w:rsid w:val="00BF5A1D"/>
    <w:rsid w:val="00BF5E5C"/>
    <w:rsid w:val="00BF63E7"/>
    <w:rsid w:val="00BF655E"/>
    <w:rsid w:val="00BF6BDB"/>
    <w:rsid w:val="00BF70DB"/>
    <w:rsid w:val="00BF72B2"/>
    <w:rsid w:val="00BF79BE"/>
    <w:rsid w:val="00C016A0"/>
    <w:rsid w:val="00C0177D"/>
    <w:rsid w:val="00C01CE2"/>
    <w:rsid w:val="00C0213E"/>
    <w:rsid w:val="00C021B6"/>
    <w:rsid w:val="00C025B2"/>
    <w:rsid w:val="00C02B41"/>
    <w:rsid w:val="00C039E9"/>
    <w:rsid w:val="00C03A24"/>
    <w:rsid w:val="00C049DF"/>
    <w:rsid w:val="00C04F3B"/>
    <w:rsid w:val="00C04F43"/>
    <w:rsid w:val="00C05052"/>
    <w:rsid w:val="00C05A5F"/>
    <w:rsid w:val="00C07108"/>
    <w:rsid w:val="00C072AF"/>
    <w:rsid w:val="00C07829"/>
    <w:rsid w:val="00C10EE2"/>
    <w:rsid w:val="00C1102C"/>
    <w:rsid w:val="00C11207"/>
    <w:rsid w:val="00C119D5"/>
    <w:rsid w:val="00C11DAD"/>
    <w:rsid w:val="00C120F8"/>
    <w:rsid w:val="00C12232"/>
    <w:rsid w:val="00C12384"/>
    <w:rsid w:val="00C13BB0"/>
    <w:rsid w:val="00C14ABB"/>
    <w:rsid w:val="00C1507A"/>
    <w:rsid w:val="00C16040"/>
    <w:rsid w:val="00C17474"/>
    <w:rsid w:val="00C201AB"/>
    <w:rsid w:val="00C208EB"/>
    <w:rsid w:val="00C20A68"/>
    <w:rsid w:val="00C20D2C"/>
    <w:rsid w:val="00C21CBC"/>
    <w:rsid w:val="00C22473"/>
    <w:rsid w:val="00C23103"/>
    <w:rsid w:val="00C236FE"/>
    <w:rsid w:val="00C23C52"/>
    <w:rsid w:val="00C23DA7"/>
    <w:rsid w:val="00C24267"/>
    <w:rsid w:val="00C24787"/>
    <w:rsid w:val="00C2524A"/>
    <w:rsid w:val="00C256BE"/>
    <w:rsid w:val="00C25DBC"/>
    <w:rsid w:val="00C2606C"/>
    <w:rsid w:val="00C266DF"/>
    <w:rsid w:val="00C326F0"/>
    <w:rsid w:val="00C32858"/>
    <w:rsid w:val="00C33335"/>
    <w:rsid w:val="00C333EC"/>
    <w:rsid w:val="00C3345F"/>
    <w:rsid w:val="00C3485B"/>
    <w:rsid w:val="00C35186"/>
    <w:rsid w:val="00C35588"/>
    <w:rsid w:val="00C35833"/>
    <w:rsid w:val="00C35CE9"/>
    <w:rsid w:val="00C37115"/>
    <w:rsid w:val="00C4061C"/>
    <w:rsid w:val="00C4156C"/>
    <w:rsid w:val="00C41A9A"/>
    <w:rsid w:val="00C420EF"/>
    <w:rsid w:val="00C42D47"/>
    <w:rsid w:val="00C43B1B"/>
    <w:rsid w:val="00C43B39"/>
    <w:rsid w:val="00C43C51"/>
    <w:rsid w:val="00C4493E"/>
    <w:rsid w:val="00C44D7C"/>
    <w:rsid w:val="00C450A2"/>
    <w:rsid w:val="00C460F0"/>
    <w:rsid w:val="00C4684A"/>
    <w:rsid w:val="00C471EE"/>
    <w:rsid w:val="00C477AA"/>
    <w:rsid w:val="00C50154"/>
    <w:rsid w:val="00C508C7"/>
    <w:rsid w:val="00C50D3C"/>
    <w:rsid w:val="00C51000"/>
    <w:rsid w:val="00C5137A"/>
    <w:rsid w:val="00C51935"/>
    <w:rsid w:val="00C51D66"/>
    <w:rsid w:val="00C51F85"/>
    <w:rsid w:val="00C51FA2"/>
    <w:rsid w:val="00C52BE9"/>
    <w:rsid w:val="00C54677"/>
    <w:rsid w:val="00C54F69"/>
    <w:rsid w:val="00C55740"/>
    <w:rsid w:val="00C57669"/>
    <w:rsid w:val="00C6049D"/>
    <w:rsid w:val="00C60939"/>
    <w:rsid w:val="00C60EAB"/>
    <w:rsid w:val="00C61B0F"/>
    <w:rsid w:val="00C62DED"/>
    <w:rsid w:val="00C633C4"/>
    <w:rsid w:val="00C63659"/>
    <w:rsid w:val="00C637CC"/>
    <w:rsid w:val="00C6400B"/>
    <w:rsid w:val="00C64B5B"/>
    <w:rsid w:val="00C653ED"/>
    <w:rsid w:val="00C65EB1"/>
    <w:rsid w:val="00C65F22"/>
    <w:rsid w:val="00C669C3"/>
    <w:rsid w:val="00C66AB3"/>
    <w:rsid w:val="00C67050"/>
    <w:rsid w:val="00C6729E"/>
    <w:rsid w:val="00C674AE"/>
    <w:rsid w:val="00C67512"/>
    <w:rsid w:val="00C67AA2"/>
    <w:rsid w:val="00C67B61"/>
    <w:rsid w:val="00C67E07"/>
    <w:rsid w:val="00C7066B"/>
    <w:rsid w:val="00C70D08"/>
    <w:rsid w:val="00C7104E"/>
    <w:rsid w:val="00C7133E"/>
    <w:rsid w:val="00C716B2"/>
    <w:rsid w:val="00C72471"/>
    <w:rsid w:val="00C7350E"/>
    <w:rsid w:val="00C73780"/>
    <w:rsid w:val="00C73C0B"/>
    <w:rsid w:val="00C749AF"/>
    <w:rsid w:val="00C74CF1"/>
    <w:rsid w:val="00C750E3"/>
    <w:rsid w:val="00C751B7"/>
    <w:rsid w:val="00C75647"/>
    <w:rsid w:val="00C75817"/>
    <w:rsid w:val="00C765D2"/>
    <w:rsid w:val="00C771E3"/>
    <w:rsid w:val="00C80B24"/>
    <w:rsid w:val="00C81154"/>
    <w:rsid w:val="00C81C97"/>
    <w:rsid w:val="00C82156"/>
    <w:rsid w:val="00C824C5"/>
    <w:rsid w:val="00C82E5E"/>
    <w:rsid w:val="00C83C51"/>
    <w:rsid w:val="00C83E23"/>
    <w:rsid w:val="00C852B0"/>
    <w:rsid w:val="00C853FD"/>
    <w:rsid w:val="00C85E30"/>
    <w:rsid w:val="00C866B9"/>
    <w:rsid w:val="00C86729"/>
    <w:rsid w:val="00C86C31"/>
    <w:rsid w:val="00C86C40"/>
    <w:rsid w:val="00C905B8"/>
    <w:rsid w:val="00C9167D"/>
    <w:rsid w:val="00C919D1"/>
    <w:rsid w:val="00C91F56"/>
    <w:rsid w:val="00C91F72"/>
    <w:rsid w:val="00C92137"/>
    <w:rsid w:val="00C928A0"/>
    <w:rsid w:val="00C936F7"/>
    <w:rsid w:val="00C938A6"/>
    <w:rsid w:val="00C939D8"/>
    <w:rsid w:val="00C9405B"/>
    <w:rsid w:val="00C948F5"/>
    <w:rsid w:val="00C9566E"/>
    <w:rsid w:val="00C958AE"/>
    <w:rsid w:val="00C95E05"/>
    <w:rsid w:val="00C96455"/>
    <w:rsid w:val="00C965CB"/>
    <w:rsid w:val="00C972C7"/>
    <w:rsid w:val="00C97F14"/>
    <w:rsid w:val="00CA00EE"/>
    <w:rsid w:val="00CA0827"/>
    <w:rsid w:val="00CA1273"/>
    <w:rsid w:val="00CA1531"/>
    <w:rsid w:val="00CA2DA5"/>
    <w:rsid w:val="00CA3206"/>
    <w:rsid w:val="00CA3336"/>
    <w:rsid w:val="00CA401B"/>
    <w:rsid w:val="00CA5D1E"/>
    <w:rsid w:val="00CA5F65"/>
    <w:rsid w:val="00CA7EE1"/>
    <w:rsid w:val="00CB0030"/>
    <w:rsid w:val="00CB01A6"/>
    <w:rsid w:val="00CB05EA"/>
    <w:rsid w:val="00CB27C1"/>
    <w:rsid w:val="00CB2D27"/>
    <w:rsid w:val="00CB32D6"/>
    <w:rsid w:val="00CB3B0B"/>
    <w:rsid w:val="00CB3C19"/>
    <w:rsid w:val="00CB406A"/>
    <w:rsid w:val="00CB40BB"/>
    <w:rsid w:val="00CB5871"/>
    <w:rsid w:val="00CB5D54"/>
    <w:rsid w:val="00CB6982"/>
    <w:rsid w:val="00CB700E"/>
    <w:rsid w:val="00CB7411"/>
    <w:rsid w:val="00CB75C3"/>
    <w:rsid w:val="00CC0F41"/>
    <w:rsid w:val="00CC15C2"/>
    <w:rsid w:val="00CC15D2"/>
    <w:rsid w:val="00CC2115"/>
    <w:rsid w:val="00CC29A8"/>
    <w:rsid w:val="00CC29F2"/>
    <w:rsid w:val="00CC30EB"/>
    <w:rsid w:val="00CC37CF"/>
    <w:rsid w:val="00CC3DAE"/>
    <w:rsid w:val="00CC413A"/>
    <w:rsid w:val="00CC4E57"/>
    <w:rsid w:val="00CC5CEC"/>
    <w:rsid w:val="00CC5E77"/>
    <w:rsid w:val="00CC5EA5"/>
    <w:rsid w:val="00CC653C"/>
    <w:rsid w:val="00CC6627"/>
    <w:rsid w:val="00CC6E5A"/>
    <w:rsid w:val="00CC7AC1"/>
    <w:rsid w:val="00CC7CE9"/>
    <w:rsid w:val="00CD0290"/>
    <w:rsid w:val="00CD0A50"/>
    <w:rsid w:val="00CD2F86"/>
    <w:rsid w:val="00CD3508"/>
    <w:rsid w:val="00CD3C89"/>
    <w:rsid w:val="00CD3CA7"/>
    <w:rsid w:val="00CD45F3"/>
    <w:rsid w:val="00CD53F4"/>
    <w:rsid w:val="00CD563B"/>
    <w:rsid w:val="00CD56C1"/>
    <w:rsid w:val="00CD5C14"/>
    <w:rsid w:val="00CD6309"/>
    <w:rsid w:val="00CD7924"/>
    <w:rsid w:val="00CD7ACC"/>
    <w:rsid w:val="00CD7CD1"/>
    <w:rsid w:val="00CE10A8"/>
    <w:rsid w:val="00CE1646"/>
    <w:rsid w:val="00CE209B"/>
    <w:rsid w:val="00CE249A"/>
    <w:rsid w:val="00CE37A6"/>
    <w:rsid w:val="00CE424E"/>
    <w:rsid w:val="00CE4FDE"/>
    <w:rsid w:val="00CE577C"/>
    <w:rsid w:val="00CE5EB0"/>
    <w:rsid w:val="00CE729E"/>
    <w:rsid w:val="00CE72A7"/>
    <w:rsid w:val="00CE73B2"/>
    <w:rsid w:val="00CE7A60"/>
    <w:rsid w:val="00CF0BD0"/>
    <w:rsid w:val="00CF2175"/>
    <w:rsid w:val="00CF23BC"/>
    <w:rsid w:val="00CF2856"/>
    <w:rsid w:val="00CF2EAA"/>
    <w:rsid w:val="00CF2FD8"/>
    <w:rsid w:val="00CF34C5"/>
    <w:rsid w:val="00CF3B83"/>
    <w:rsid w:val="00CF3C64"/>
    <w:rsid w:val="00CF57BE"/>
    <w:rsid w:val="00CF6CBC"/>
    <w:rsid w:val="00CF6ECC"/>
    <w:rsid w:val="00CF71E9"/>
    <w:rsid w:val="00CF772D"/>
    <w:rsid w:val="00CF7E9B"/>
    <w:rsid w:val="00D005B6"/>
    <w:rsid w:val="00D0137F"/>
    <w:rsid w:val="00D018F0"/>
    <w:rsid w:val="00D0198B"/>
    <w:rsid w:val="00D01B0C"/>
    <w:rsid w:val="00D01D9C"/>
    <w:rsid w:val="00D0283E"/>
    <w:rsid w:val="00D030BF"/>
    <w:rsid w:val="00D0317A"/>
    <w:rsid w:val="00D03687"/>
    <w:rsid w:val="00D036C3"/>
    <w:rsid w:val="00D045BA"/>
    <w:rsid w:val="00D04603"/>
    <w:rsid w:val="00D046BF"/>
    <w:rsid w:val="00D0533B"/>
    <w:rsid w:val="00D05600"/>
    <w:rsid w:val="00D05BC4"/>
    <w:rsid w:val="00D066C5"/>
    <w:rsid w:val="00D06AC5"/>
    <w:rsid w:val="00D07CB4"/>
    <w:rsid w:val="00D07F89"/>
    <w:rsid w:val="00D104B9"/>
    <w:rsid w:val="00D10930"/>
    <w:rsid w:val="00D10FEE"/>
    <w:rsid w:val="00D113E4"/>
    <w:rsid w:val="00D1189E"/>
    <w:rsid w:val="00D11A10"/>
    <w:rsid w:val="00D1230C"/>
    <w:rsid w:val="00D12449"/>
    <w:rsid w:val="00D12926"/>
    <w:rsid w:val="00D13054"/>
    <w:rsid w:val="00D13A5F"/>
    <w:rsid w:val="00D14AA8"/>
    <w:rsid w:val="00D14B6E"/>
    <w:rsid w:val="00D14BF9"/>
    <w:rsid w:val="00D1503E"/>
    <w:rsid w:val="00D1526E"/>
    <w:rsid w:val="00D15651"/>
    <w:rsid w:val="00D15698"/>
    <w:rsid w:val="00D15F36"/>
    <w:rsid w:val="00D172B6"/>
    <w:rsid w:val="00D179E3"/>
    <w:rsid w:val="00D2059C"/>
    <w:rsid w:val="00D205BA"/>
    <w:rsid w:val="00D20BCC"/>
    <w:rsid w:val="00D20D58"/>
    <w:rsid w:val="00D212AE"/>
    <w:rsid w:val="00D21718"/>
    <w:rsid w:val="00D21842"/>
    <w:rsid w:val="00D219AC"/>
    <w:rsid w:val="00D21A5A"/>
    <w:rsid w:val="00D21B2D"/>
    <w:rsid w:val="00D22671"/>
    <w:rsid w:val="00D2271B"/>
    <w:rsid w:val="00D22B00"/>
    <w:rsid w:val="00D22E03"/>
    <w:rsid w:val="00D23FD7"/>
    <w:rsid w:val="00D2419C"/>
    <w:rsid w:val="00D254EC"/>
    <w:rsid w:val="00D26747"/>
    <w:rsid w:val="00D26B47"/>
    <w:rsid w:val="00D3045F"/>
    <w:rsid w:val="00D30677"/>
    <w:rsid w:val="00D309DE"/>
    <w:rsid w:val="00D31539"/>
    <w:rsid w:val="00D316EC"/>
    <w:rsid w:val="00D31D07"/>
    <w:rsid w:val="00D3262A"/>
    <w:rsid w:val="00D32B79"/>
    <w:rsid w:val="00D32FFF"/>
    <w:rsid w:val="00D3358A"/>
    <w:rsid w:val="00D3386C"/>
    <w:rsid w:val="00D33E5E"/>
    <w:rsid w:val="00D34D7A"/>
    <w:rsid w:val="00D35E89"/>
    <w:rsid w:val="00D365D3"/>
    <w:rsid w:val="00D36D69"/>
    <w:rsid w:val="00D36F58"/>
    <w:rsid w:val="00D4049C"/>
    <w:rsid w:val="00D40D63"/>
    <w:rsid w:val="00D41EF9"/>
    <w:rsid w:val="00D42375"/>
    <w:rsid w:val="00D42D78"/>
    <w:rsid w:val="00D42F93"/>
    <w:rsid w:val="00D432CF"/>
    <w:rsid w:val="00D44278"/>
    <w:rsid w:val="00D44A62"/>
    <w:rsid w:val="00D44DCA"/>
    <w:rsid w:val="00D44ED3"/>
    <w:rsid w:val="00D45209"/>
    <w:rsid w:val="00D45496"/>
    <w:rsid w:val="00D46520"/>
    <w:rsid w:val="00D46D21"/>
    <w:rsid w:val="00D4727C"/>
    <w:rsid w:val="00D472A4"/>
    <w:rsid w:val="00D50698"/>
    <w:rsid w:val="00D50983"/>
    <w:rsid w:val="00D517A9"/>
    <w:rsid w:val="00D518BE"/>
    <w:rsid w:val="00D52451"/>
    <w:rsid w:val="00D52587"/>
    <w:rsid w:val="00D52634"/>
    <w:rsid w:val="00D5285D"/>
    <w:rsid w:val="00D5289D"/>
    <w:rsid w:val="00D533C4"/>
    <w:rsid w:val="00D53FD5"/>
    <w:rsid w:val="00D55062"/>
    <w:rsid w:val="00D55236"/>
    <w:rsid w:val="00D5559D"/>
    <w:rsid w:val="00D560AF"/>
    <w:rsid w:val="00D56306"/>
    <w:rsid w:val="00D566E5"/>
    <w:rsid w:val="00D568E3"/>
    <w:rsid w:val="00D5697B"/>
    <w:rsid w:val="00D56B48"/>
    <w:rsid w:val="00D575E2"/>
    <w:rsid w:val="00D60614"/>
    <w:rsid w:val="00D61126"/>
    <w:rsid w:val="00D61ACE"/>
    <w:rsid w:val="00D61C90"/>
    <w:rsid w:val="00D62452"/>
    <w:rsid w:val="00D62BF6"/>
    <w:rsid w:val="00D63F2D"/>
    <w:rsid w:val="00D64356"/>
    <w:rsid w:val="00D64504"/>
    <w:rsid w:val="00D65197"/>
    <w:rsid w:val="00D652F2"/>
    <w:rsid w:val="00D701A3"/>
    <w:rsid w:val="00D70820"/>
    <w:rsid w:val="00D70AF9"/>
    <w:rsid w:val="00D73417"/>
    <w:rsid w:val="00D7358A"/>
    <w:rsid w:val="00D73B71"/>
    <w:rsid w:val="00D747DD"/>
    <w:rsid w:val="00D74E51"/>
    <w:rsid w:val="00D74F07"/>
    <w:rsid w:val="00D751D9"/>
    <w:rsid w:val="00D7541D"/>
    <w:rsid w:val="00D763F6"/>
    <w:rsid w:val="00D76B1E"/>
    <w:rsid w:val="00D77A22"/>
    <w:rsid w:val="00D77D8A"/>
    <w:rsid w:val="00D77EF5"/>
    <w:rsid w:val="00D8072F"/>
    <w:rsid w:val="00D807B1"/>
    <w:rsid w:val="00D81163"/>
    <w:rsid w:val="00D82271"/>
    <w:rsid w:val="00D823BA"/>
    <w:rsid w:val="00D82772"/>
    <w:rsid w:val="00D83B1F"/>
    <w:rsid w:val="00D84309"/>
    <w:rsid w:val="00D849A8"/>
    <w:rsid w:val="00D84E57"/>
    <w:rsid w:val="00D85EA0"/>
    <w:rsid w:val="00D86151"/>
    <w:rsid w:val="00D86632"/>
    <w:rsid w:val="00D86A1E"/>
    <w:rsid w:val="00D86F79"/>
    <w:rsid w:val="00D871D2"/>
    <w:rsid w:val="00D873E4"/>
    <w:rsid w:val="00D87A0B"/>
    <w:rsid w:val="00D87DC9"/>
    <w:rsid w:val="00D90CC9"/>
    <w:rsid w:val="00D90D12"/>
    <w:rsid w:val="00D91B7D"/>
    <w:rsid w:val="00D91F00"/>
    <w:rsid w:val="00D927FA"/>
    <w:rsid w:val="00D93E5E"/>
    <w:rsid w:val="00D94752"/>
    <w:rsid w:val="00D949C4"/>
    <w:rsid w:val="00D94BB0"/>
    <w:rsid w:val="00D94D5D"/>
    <w:rsid w:val="00D94E9A"/>
    <w:rsid w:val="00D95014"/>
    <w:rsid w:val="00D952FB"/>
    <w:rsid w:val="00D973C1"/>
    <w:rsid w:val="00D97426"/>
    <w:rsid w:val="00D97C0A"/>
    <w:rsid w:val="00DA0102"/>
    <w:rsid w:val="00DA102A"/>
    <w:rsid w:val="00DA139B"/>
    <w:rsid w:val="00DA16D9"/>
    <w:rsid w:val="00DA1E5B"/>
    <w:rsid w:val="00DA23AB"/>
    <w:rsid w:val="00DA2AA3"/>
    <w:rsid w:val="00DA2D0B"/>
    <w:rsid w:val="00DA3066"/>
    <w:rsid w:val="00DA3435"/>
    <w:rsid w:val="00DA3930"/>
    <w:rsid w:val="00DA5340"/>
    <w:rsid w:val="00DA55FB"/>
    <w:rsid w:val="00DA55FC"/>
    <w:rsid w:val="00DA60BB"/>
    <w:rsid w:val="00DA6403"/>
    <w:rsid w:val="00DA6924"/>
    <w:rsid w:val="00DA6992"/>
    <w:rsid w:val="00DA6C97"/>
    <w:rsid w:val="00DA6D85"/>
    <w:rsid w:val="00DA7DE1"/>
    <w:rsid w:val="00DB0227"/>
    <w:rsid w:val="00DB0AF6"/>
    <w:rsid w:val="00DB1514"/>
    <w:rsid w:val="00DB19AD"/>
    <w:rsid w:val="00DB1E80"/>
    <w:rsid w:val="00DB2639"/>
    <w:rsid w:val="00DB2D85"/>
    <w:rsid w:val="00DB349F"/>
    <w:rsid w:val="00DB3521"/>
    <w:rsid w:val="00DB393F"/>
    <w:rsid w:val="00DB3AE1"/>
    <w:rsid w:val="00DB3B3D"/>
    <w:rsid w:val="00DB3D47"/>
    <w:rsid w:val="00DB3EAE"/>
    <w:rsid w:val="00DB4103"/>
    <w:rsid w:val="00DB495E"/>
    <w:rsid w:val="00DB4B27"/>
    <w:rsid w:val="00DB4D1B"/>
    <w:rsid w:val="00DB4D9F"/>
    <w:rsid w:val="00DB508A"/>
    <w:rsid w:val="00DB5348"/>
    <w:rsid w:val="00DB5D79"/>
    <w:rsid w:val="00DB60E0"/>
    <w:rsid w:val="00DB6166"/>
    <w:rsid w:val="00DB789A"/>
    <w:rsid w:val="00DC02D4"/>
    <w:rsid w:val="00DC06D8"/>
    <w:rsid w:val="00DC07C6"/>
    <w:rsid w:val="00DC0D5B"/>
    <w:rsid w:val="00DC12E0"/>
    <w:rsid w:val="00DC28E9"/>
    <w:rsid w:val="00DC36F8"/>
    <w:rsid w:val="00DC39A1"/>
    <w:rsid w:val="00DC439E"/>
    <w:rsid w:val="00DC4518"/>
    <w:rsid w:val="00DC4A1A"/>
    <w:rsid w:val="00DC564D"/>
    <w:rsid w:val="00DC5AC4"/>
    <w:rsid w:val="00DC5AD2"/>
    <w:rsid w:val="00DC68AF"/>
    <w:rsid w:val="00DC7B06"/>
    <w:rsid w:val="00DC7D7F"/>
    <w:rsid w:val="00DC7E27"/>
    <w:rsid w:val="00DC7FFC"/>
    <w:rsid w:val="00DD0E7C"/>
    <w:rsid w:val="00DD1004"/>
    <w:rsid w:val="00DD1761"/>
    <w:rsid w:val="00DD19D4"/>
    <w:rsid w:val="00DD19FC"/>
    <w:rsid w:val="00DD23E4"/>
    <w:rsid w:val="00DD2993"/>
    <w:rsid w:val="00DD29B4"/>
    <w:rsid w:val="00DD3740"/>
    <w:rsid w:val="00DD3BBA"/>
    <w:rsid w:val="00DD442D"/>
    <w:rsid w:val="00DD4822"/>
    <w:rsid w:val="00DD484B"/>
    <w:rsid w:val="00DD4B81"/>
    <w:rsid w:val="00DD5C97"/>
    <w:rsid w:val="00DD5FFC"/>
    <w:rsid w:val="00DD6BCA"/>
    <w:rsid w:val="00DD6C77"/>
    <w:rsid w:val="00DD71B5"/>
    <w:rsid w:val="00DD7434"/>
    <w:rsid w:val="00DD7804"/>
    <w:rsid w:val="00DE05CE"/>
    <w:rsid w:val="00DE0CE8"/>
    <w:rsid w:val="00DE0F46"/>
    <w:rsid w:val="00DE1341"/>
    <w:rsid w:val="00DE1899"/>
    <w:rsid w:val="00DE1F54"/>
    <w:rsid w:val="00DE37DB"/>
    <w:rsid w:val="00DE47F5"/>
    <w:rsid w:val="00DE6782"/>
    <w:rsid w:val="00DE68F7"/>
    <w:rsid w:val="00DE7560"/>
    <w:rsid w:val="00DE79A8"/>
    <w:rsid w:val="00DE7EC3"/>
    <w:rsid w:val="00DF0054"/>
    <w:rsid w:val="00DF0139"/>
    <w:rsid w:val="00DF0D19"/>
    <w:rsid w:val="00DF125D"/>
    <w:rsid w:val="00DF1647"/>
    <w:rsid w:val="00DF2A34"/>
    <w:rsid w:val="00DF2A5A"/>
    <w:rsid w:val="00DF5550"/>
    <w:rsid w:val="00DF5699"/>
    <w:rsid w:val="00DF5EC3"/>
    <w:rsid w:val="00DF6764"/>
    <w:rsid w:val="00DF6921"/>
    <w:rsid w:val="00DF75F4"/>
    <w:rsid w:val="00DF787A"/>
    <w:rsid w:val="00DF789B"/>
    <w:rsid w:val="00DF7A4B"/>
    <w:rsid w:val="00E000DC"/>
    <w:rsid w:val="00E008D1"/>
    <w:rsid w:val="00E00E30"/>
    <w:rsid w:val="00E0113D"/>
    <w:rsid w:val="00E0144A"/>
    <w:rsid w:val="00E01844"/>
    <w:rsid w:val="00E01BCD"/>
    <w:rsid w:val="00E01E85"/>
    <w:rsid w:val="00E021A5"/>
    <w:rsid w:val="00E042A5"/>
    <w:rsid w:val="00E04E43"/>
    <w:rsid w:val="00E05058"/>
    <w:rsid w:val="00E05DE8"/>
    <w:rsid w:val="00E07DF0"/>
    <w:rsid w:val="00E10799"/>
    <w:rsid w:val="00E10C8E"/>
    <w:rsid w:val="00E10F78"/>
    <w:rsid w:val="00E118D8"/>
    <w:rsid w:val="00E119B6"/>
    <w:rsid w:val="00E11B77"/>
    <w:rsid w:val="00E129DA"/>
    <w:rsid w:val="00E12CA1"/>
    <w:rsid w:val="00E13011"/>
    <w:rsid w:val="00E13F81"/>
    <w:rsid w:val="00E13FC6"/>
    <w:rsid w:val="00E1410F"/>
    <w:rsid w:val="00E159C1"/>
    <w:rsid w:val="00E168EF"/>
    <w:rsid w:val="00E169F5"/>
    <w:rsid w:val="00E16C31"/>
    <w:rsid w:val="00E16CF1"/>
    <w:rsid w:val="00E16E8F"/>
    <w:rsid w:val="00E1737D"/>
    <w:rsid w:val="00E1746B"/>
    <w:rsid w:val="00E1780A"/>
    <w:rsid w:val="00E17906"/>
    <w:rsid w:val="00E17DBC"/>
    <w:rsid w:val="00E20433"/>
    <w:rsid w:val="00E20501"/>
    <w:rsid w:val="00E208F8"/>
    <w:rsid w:val="00E20B48"/>
    <w:rsid w:val="00E20E52"/>
    <w:rsid w:val="00E20F29"/>
    <w:rsid w:val="00E21B16"/>
    <w:rsid w:val="00E21C20"/>
    <w:rsid w:val="00E221F0"/>
    <w:rsid w:val="00E22665"/>
    <w:rsid w:val="00E22CDD"/>
    <w:rsid w:val="00E233CF"/>
    <w:rsid w:val="00E260D8"/>
    <w:rsid w:val="00E263C4"/>
    <w:rsid w:val="00E26702"/>
    <w:rsid w:val="00E271DF"/>
    <w:rsid w:val="00E27381"/>
    <w:rsid w:val="00E27703"/>
    <w:rsid w:val="00E27A13"/>
    <w:rsid w:val="00E3000B"/>
    <w:rsid w:val="00E301A0"/>
    <w:rsid w:val="00E3055A"/>
    <w:rsid w:val="00E31985"/>
    <w:rsid w:val="00E31E6E"/>
    <w:rsid w:val="00E31F44"/>
    <w:rsid w:val="00E32983"/>
    <w:rsid w:val="00E32E1A"/>
    <w:rsid w:val="00E3304B"/>
    <w:rsid w:val="00E3344D"/>
    <w:rsid w:val="00E342CE"/>
    <w:rsid w:val="00E35C8E"/>
    <w:rsid w:val="00E35E01"/>
    <w:rsid w:val="00E35FEF"/>
    <w:rsid w:val="00E3648F"/>
    <w:rsid w:val="00E36DB7"/>
    <w:rsid w:val="00E370DE"/>
    <w:rsid w:val="00E37889"/>
    <w:rsid w:val="00E378BD"/>
    <w:rsid w:val="00E408DD"/>
    <w:rsid w:val="00E40DAB"/>
    <w:rsid w:val="00E41688"/>
    <w:rsid w:val="00E41854"/>
    <w:rsid w:val="00E42B01"/>
    <w:rsid w:val="00E42B36"/>
    <w:rsid w:val="00E43611"/>
    <w:rsid w:val="00E45116"/>
    <w:rsid w:val="00E456C7"/>
    <w:rsid w:val="00E46F42"/>
    <w:rsid w:val="00E47884"/>
    <w:rsid w:val="00E47FFC"/>
    <w:rsid w:val="00E50268"/>
    <w:rsid w:val="00E504C1"/>
    <w:rsid w:val="00E509B3"/>
    <w:rsid w:val="00E514FF"/>
    <w:rsid w:val="00E51715"/>
    <w:rsid w:val="00E524E8"/>
    <w:rsid w:val="00E529F6"/>
    <w:rsid w:val="00E52ACA"/>
    <w:rsid w:val="00E55AD7"/>
    <w:rsid w:val="00E56EA5"/>
    <w:rsid w:val="00E5756D"/>
    <w:rsid w:val="00E6056E"/>
    <w:rsid w:val="00E61A7A"/>
    <w:rsid w:val="00E62119"/>
    <w:rsid w:val="00E6223E"/>
    <w:rsid w:val="00E626E3"/>
    <w:rsid w:val="00E630E3"/>
    <w:rsid w:val="00E632DD"/>
    <w:rsid w:val="00E64B20"/>
    <w:rsid w:val="00E66A7A"/>
    <w:rsid w:val="00E66F51"/>
    <w:rsid w:val="00E671CC"/>
    <w:rsid w:val="00E70C91"/>
    <w:rsid w:val="00E70D64"/>
    <w:rsid w:val="00E73144"/>
    <w:rsid w:val="00E739E3"/>
    <w:rsid w:val="00E73D57"/>
    <w:rsid w:val="00E7405E"/>
    <w:rsid w:val="00E752AD"/>
    <w:rsid w:val="00E752DE"/>
    <w:rsid w:val="00E7626B"/>
    <w:rsid w:val="00E76335"/>
    <w:rsid w:val="00E7664F"/>
    <w:rsid w:val="00E77773"/>
    <w:rsid w:val="00E800A1"/>
    <w:rsid w:val="00E80142"/>
    <w:rsid w:val="00E8070A"/>
    <w:rsid w:val="00E80F3C"/>
    <w:rsid w:val="00E81151"/>
    <w:rsid w:val="00E81715"/>
    <w:rsid w:val="00E82582"/>
    <w:rsid w:val="00E828CB"/>
    <w:rsid w:val="00E82C5D"/>
    <w:rsid w:val="00E846FA"/>
    <w:rsid w:val="00E84710"/>
    <w:rsid w:val="00E8495F"/>
    <w:rsid w:val="00E84DA2"/>
    <w:rsid w:val="00E84DC1"/>
    <w:rsid w:val="00E85B02"/>
    <w:rsid w:val="00E85BF7"/>
    <w:rsid w:val="00E863BF"/>
    <w:rsid w:val="00E8696C"/>
    <w:rsid w:val="00E86B40"/>
    <w:rsid w:val="00E8729E"/>
    <w:rsid w:val="00E8762F"/>
    <w:rsid w:val="00E87B65"/>
    <w:rsid w:val="00E90478"/>
    <w:rsid w:val="00E90A40"/>
    <w:rsid w:val="00E91528"/>
    <w:rsid w:val="00E91798"/>
    <w:rsid w:val="00E91A8E"/>
    <w:rsid w:val="00E92E84"/>
    <w:rsid w:val="00E93119"/>
    <w:rsid w:val="00E93727"/>
    <w:rsid w:val="00E9375D"/>
    <w:rsid w:val="00E94CE4"/>
    <w:rsid w:val="00E951CF"/>
    <w:rsid w:val="00E95930"/>
    <w:rsid w:val="00E9598E"/>
    <w:rsid w:val="00E96108"/>
    <w:rsid w:val="00E964AD"/>
    <w:rsid w:val="00E9741F"/>
    <w:rsid w:val="00E976C2"/>
    <w:rsid w:val="00E97AEA"/>
    <w:rsid w:val="00EA0438"/>
    <w:rsid w:val="00EA07DA"/>
    <w:rsid w:val="00EA0909"/>
    <w:rsid w:val="00EA13BE"/>
    <w:rsid w:val="00EA153C"/>
    <w:rsid w:val="00EA1B07"/>
    <w:rsid w:val="00EA2566"/>
    <w:rsid w:val="00EA2B6F"/>
    <w:rsid w:val="00EA320F"/>
    <w:rsid w:val="00EA3E55"/>
    <w:rsid w:val="00EA3ED2"/>
    <w:rsid w:val="00EA55D4"/>
    <w:rsid w:val="00EA5755"/>
    <w:rsid w:val="00EA6E5D"/>
    <w:rsid w:val="00EA72E3"/>
    <w:rsid w:val="00EA76A3"/>
    <w:rsid w:val="00EA7E01"/>
    <w:rsid w:val="00EB10DE"/>
    <w:rsid w:val="00EB155F"/>
    <w:rsid w:val="00EB2040"/>
    <w:rsid w:val="00EB21EA"/>
    <w:rsid w:val="00EB2232"/>
    <w:rsid w:val="00EB23E8"/>
    <w:rsid w:val="00EB2A88"/>
    <w:rsid w:val="00EB2E1F"/>
    <w:rsid w:val="00EB3478"/>
    <w:rsid w:val="00EB4151"/>
    <w:rsid w:val="00EB6059"/>
    <w:rsid w:val="00EB636A"/>
    <w:rsid w:val="00EB68DD"/>
    <w:rsid w:val="00EB7484"/>
    <w:rsid w:val="00EB763A"/>
    <w:rsid w:val="00EB7C4E"/>
    <w:rsid w:val="00EC0964"/>
    <w:rsid w:val="00EC0EF6"/>
    <w:rsid w:val="00EC19BA"/>
    <w:rsid w:val="00EC1B87"/>
    <w:rsid w:val="00EC1CF2"/>
    <w:rsid w:val="00EC1EE4"/>
    <w:rsid w:val="00EC2447"/>
    <w:rsid w:val="00EC2954"/>
    <w:rsid w:val="00EC3405"/>
    <w:rsid w:val="00EC3BC4"/>
    <w:rsid w:val="00EC4288"/>
    <w:rsid w:val="00EC4475"/>
    <w:rsid w:val="00EC4670"/>
    <w:rsid w:val="00EC51C5"/>
    <w:rsid w:val="00EC5653"/>
    <w:rsid w:val="00EC6026"/>
    <w:rsid w:val="00EC68D6"/>
    <w:rsid w:val="00EC78A7"/>
    <w:rsid w:val="00EC7E07"/>
    <w:rsid w:val="00ED1F1E"/>
    <w:rsid w:val="00ED23BE"/>
    <w:rsid w:val="00ED3945"/>
    <w:rsid w:val="00ED4C2E"/>
    <w:rsid w:val="00ED4C43"/>
    <w:rsid w:val="00ED4E40"/>
    <w:rsid w:val="00ED57D6"/>
    <w:rsid w:val="00ED5894"/>
    <w:rsid w:val="00ED5A10"/>
    <w:rsid w:val="00ED6BC3"/>
    <w:rsid w:val="00ED6DAF"/>
    <w:rsid w:val="00ED789F"/>
    <w:rsid w:val="00ED7C1F"/>
    <w:rsid w:val="00EE0EAA"/>
    <w:rsid w:val="00EE1542"/>
    <w:rsid w:val="00EE15E5"/>
    <w:rsid w:val="00EE1A0D"/>
    <w:rsid w:val="00EE1A4F"/>
    <w:rsid w:val="00EE1D87"/>
    <w:rsid w:val="00EE2199"/>
    <w:rsid w:val="00EE21A2"/>
    <w:rsid w:val="00EE2872"/>
    <w:rsid w:val="00EE2BB0"/>
    <w:rsid w:val="00EE2BB6"/>
    <w:rsid w:val="00EE33FF"/>
    <w:rsid w:val="00EE343F"/>
    <w:rsid w:val="00EE4D67"/>
    <w:rsid w:val="00EE50AD"/>
    <w:rsid w:val="00EE6087"/>
    <w:rsid w:val="00EE6AB9"/>
    <w:rsid w:val="00EE7B30"/>
    <w:rsid w:val="00EE7BC5"/>
    <w:rsid w:val="00EF0269"/>
    <w:rsid w:val="00EF040F"/>
    <w:rsid w:val="00EF2887"/>
    <w:rsid w:val="00EF2D27"/>
    <w:rsid w:val="00EF31E3"/>
    <w:rsid w:val="00EF3296"/>
    <w:rsid w:val="00EF3AF6"/>
    <w:rsid w:val="00EF4E79"/>
    <w:rsid w:val="00EF5540"/>
    <w:rsid w:val="00EF55EA"/>
    <w:rsid w:val="00EF56EA"/>
    <w:rsid w:val="00EF5C12"/>
    <w:rsid w:val="00EF6D9C"/>
    <w:rsid w:val="00F004E3"/>
    <w:rsid w:val="00F00877"/>
    <w:rsid w:val="00F00C7E"/>
    <w:rsid w:val="00F0129C"/>
    <w:rsid w:val="00F01D0F"/>
    <w:rsid w:val="00F02B2F"/>
    <w:rsid w:val="00F031EC"/>
    <w:rsid w:val="00F03B08"/>
    <w:rsid w:val="00F03EB6"/>
    <w:rsid w:val="00F05A9D"/>
    <w:rsid w:val="00F05F9A"/>
    <w:rsid w:val="00F07181"/>
    <w:rsid w:val="00F07B51"/>
    <w:rsid w:val="00F107FD"/>
    <w:rsid w:val="00F10EB6"/>
    <w:rsid w:val="00F119F9"/>
    <w:rsid w:val="00F11AE8"/>
    <w:rsid w:val="00F12C78"/>
    <w:rsid w:val="00F12D8B"/>
    <w:rsid w:val="00F1380B"/>
    <w:rsid w:val="00F13BF2"/>
    <w:rsid w:val="00F14CE4"/>
    <w:rsid w:val="00F15049"/>
    <w:rsid w:val="00F15ABF"/>
    <w:rsid w:val="00F15C61"/>
    <w:rsid w:val="00F16165"/>
    <w:rsid w:val="00F178D2"/>
    <w:rsid w:val="00F17DE3"/>
    <w:rsid w:val="00F21349"/>
    <w:rsid w:val="00F236C5"/>
    <w:rsid w:val="00F23A42"/>
    <w:rsid w:val="00F23B93"/>
    <w:rsid w:val="00F23F01"/>
    <w:rsid w:val="00F25654"/>
    <w:rsid w:val="00F25810"/>
    <w:rsid w:val="00F25BA4"/>
    <w:rsid w:val="00F26EA2"/>
    <w:rsid w:val="00F27B8F"/>
    <w:rsid w:val="00F27E8B"/>
    <w:rsid w:val="00F30973"/>
    <w:rsid w:val="00F315D3"/>
    <w:rsid w:val="00F329D8"/>
    <w:rsid w:val="00F32B82"/>
    <w:rsid w:val="00F33076"/>
    <w:rsid w:val="00F33C3D"/>
    <w:rsid w:val="00F3446A"/>
    <w:rsid w:val="00F3487A"/>
    <w:rsid w:val="00F34B50"/>
    <w:rsid w:val="00F34FCB"/>
    <w:rsid w:val="00F352F4"/>
    <w:rsid w:val="00F3659E"/>
    <w:rsid w:val="00F3685E"/>
    <w:rsid w:val="00F36E98"/>
    <w:rsid w:val="00F40D95"/>
    <w:rsid w:val="00F415CC"/>
    <w:rsid w:val="00F416AC"/>
    <w:rsid w:val="00F41D74"/>
    <w:rsid w:val="00F42947"/>
    <w:rsid w:val="00F42D2B"/>
    <w:rsid w:val="00F43404"/>
    <w:rsid w:val="00F43C3C"/>
    <w:rsid w:val="00F44FB6"/>
    <w:rsid w:val="00F4525A"/>
    <w:rsid w:val="00F456B4"/>
    <w:rsid w:val="00F4640E"/>
    <w:rsid w:val="00F466BC"/>
    <w:rsid w:val="00F5071A"/>
    <w:rsid w:val="00F50AC3"/>
    <w:rsid w:val="00F5109C"/>
    <w:rsid w:val="00F51D59"/>
    <w:rsid w:val="00F525FA"/>
    <w:rsid w:val="00F52BDD"/>
    <w:rsid w:val="00F53551"/>
    <w:rsid w:val="00F53668"/>
    <w:rsid w:val="00F53913"/>
    <w:rsid w:val="00F53B9F"/>
    <w:rsid w:val="00F540C7"/>
    <w:rsid w:val="00F542DE"/>
    <w:rsid w:val="00F5462A"/>
    <w:rsid w:val="00F54996"/>
    <w:rsid w:val="00F5532F"/>
    <w:rsid w:val="00F55577"/>
    <w:rsid w:val="00F555D2"/>
    <w:rsid w:val="00F55803"/>
    <w:rsid w:val="00F55B78"/>
    <w:rsid w:val="00F55BD0"/>
    <w:rsid w:val="00F56BCF"/>
    <w:rsid w:val="00F57303"/>
    <w:rsid w:val="00F578E9"/>
    <w:rsid w:val="00F60485"/>
    <w:rsid w:val="00F606AE"/>
    <w:rsid w:val="00F60F46"/>
    <w:rsid w:val="00F61A98"/>
    <w:rsid w:val="00F61F31"/>
    <w:rsid w:val="00F622DE"/>
    <w:rsid w:val="00F6239C"/>
    <w:rsid w:val="00F62497"/>
    <w:rsid w:val="00F6328B"/>
    <w:rsid w:val="00F632F1"/>
    <w:rsid w:val="00F63567"/>
    <w:rsid w:val="00F63A60"/>
    <w:rsid w:val="00F63E4C"/>
    <w:rsid w:val="00F640E8"/>
    <w:rsid w:val="00F64238"/>
    <w:rsid w:val="00F650EC"/>
    <w:rsid w:val="00F65DF6"/>
    <w:rsid w:val="00F6614F"/>
    <w:rsid w:val="00F66E7D"/>
    <w:rsid w:val="00F670D4"/>
    <w:rsid w:val="00F670D9"/>
    <w:rsid w:val="00F6730D"/>
    <w:rsid w:val="00F67F05"/>
    <w:rsid w:val="00F700C7"/>
    <w:rsid w:val="00F704F0"/>
    <w:rsid w:val="00F7082A"/>
    <w:rsid w:val="00F71547"/>
    <w:rsid w:val="00F71898"/>
    <w:rsid w:val="00F71FCB"/>
    <w:rsid w:val="00F72213"/>
    <w:rsid w:val="00F72832"/>
    <w:rsid w:val="00F72ACA"/>
    <w:rsid w:val="00F73223"/>
    <w:rsid w:val="00F73628"/>
    <w:rsid w:val="00F73882"/>
    <w:rsid w:val="00F738F3"/>
    <w:rsid w:val="00F73C1A"/>
    <w:rsid w:val="00F744DC"/>
    <w:rsid w:val="00F75011"/>
    <w:rsid w:val="00F75A19"/>
    <w:rsid w:val="00F75C3E"/>
    <w:rsid w:val="00F762C4"/>
    <w:rsid w:val="00F764B4"/>
    <w:rsid w:val="00F7717A"/>
    <w:rsid w:val="00F773E0"/>
    <w:rsid w:val="00F77552"/>
    <w:rsid w:val="00F77898"/>
    <w:rsid w:val="00F80635"/>
    <w:rsid w:val="00F80C60"/>
    <w:rsid w:val="00F80C71"/>
    <w:rsid w:val="00F811E8"/>
    <w:rsid w:val="00F81CBC"/>
    <w:rsid w:val="00F81E76"/>
    <w:rsid w:val="00F8242F"/>
    <w:rsid w:val="00F82B95"/>
    <w:rsid w:val="00F83573"/>
    <w:rsid w:val="00F83BBB"/>
    <w:rsid w:val="00F83DC5"/>
    <w:rsid w:val="00F84CA4"/>
    <w:rsid w:val="00F8589B"/>
    <w:rsid w:val="00F8738B"/>
    <w:rsid w:val="00F90E6D"/>
    <w:rsid w:val="00F91DD1"/>
    <w:rsid w:val="00F93373"/>
    <w:rsid w:val="00F94AAE"/>
    <w:rsid w:val="00F95465"/>
    <w:rsid w:val="00F95945"/>
    <w:rsid w:val="00F95B08"/>
    <w:rsid w:val="00F95D07"/>
    <w:rsid w:val="00F9611A"/>
    <w:rsid w:val="00F972C3"/>
    <w:rsid w:val="00F97E14"/>
    <w:rsid w:val="00F97F78"/>
    <w:rsid w:val="00FA0179"/>
    <w:rsid w:val="00FA0695"/>
    <w:rsid w:val="00FA07B1"/>
    <w:rsid w:val="00FA0EA3"/>
    <w:rsid w:val="00FA0F7B"/>
    <w:rsid w:val="00FA0FB5"/>
    <w:rsid w:val="00FA190A"/>
    <w:rsid w:val="00FA1EBA"/>
    <w:rsid w:val="00FA1EEC"/>
    <w:rsid w:val="00FA24AF"/>
    <w:rsid w:val="00FA2723"/>
    <w:rsid w:val="00FA294B"/>
    <w:rsid w:val="00FA36B7"/>
    <w:rsid w:val="00FA36C8"/>
    <w:rsid w:val="00FA3FF9"/>
    <w:rsid w:val="00FA4282"/>
    <w:rsid w:val="00FA4286"/>
    <w:rsid w:val="00FA47E5"/>
    <w:rsid w:val="00FA673F"/>
    <w:rsid w:val="00FA7C7B"/>
    <w:rsid w:val="00FA7F64"/>
    <w:rsid w:val="00FA7FC4"/>
    <w:rsid w:val="00FB0023"/>
    <w:rsid w:val="00FB0357"/>
    <w:rsid w:val="00FB0748"/>
    <w:rsid w:val="00FB14E9"/>
    <w:rsid w:val="00FB156E"/>
    <w:rsid w:val="00FB180D"/>
    <w:rsid w:val="00FB1C3B"/>
    <w:rsid w:val="00FB2593"/>
    <w:rsid w:val="00FB2F0E"/>
    <w:rsid w:val="00FB43E6"/>
    <w:rsid w:val="00FB4FB8"/>
    <w:rsid w:val="00FB54F1"/>
    <w:rsid w:val="00FB5C41"/>
    <w:rsid w:val="00FB72FA"/>
    <w:rsid w:val="00FC1B95"/>
    <w:rsid w:val="00FC23D6"/>
    <w:rsid w:val="00FC29E8"/>
    <w:rsid w:val="00FC2CC6"/>
    <w:rsid w:val="00FC3382"/>
    <w:rsid w:val="00FC34AC"/>
    <w:rsid w:val="00FC3875"/>
    <w:rsid w:val="00FC3DD6"/>
    <w:rsid w:val="00FC4C76"/>
    <w:rsid w:val="00FC51F1"/>
    <w:rsid w:val="00FC58C7"/>
    <w:rsid w:val="00FC60EE"/>
    <w:rsid w:val="00FC657D"/>
    <w:rsid w:val="00FC6D4C"/>
    <w:rsid w:val="00FC72A7"/>
    <w:rsid w:val="00FC7EB1"/>
    <w:rsid w:val="00FD0223"/>
    <w:rsid w:val="00FD0CD8"/>
    <w:rsid w:val="00FD0DD3"/>
    <w:rsid w:val="00FD1723"/>
    <w:rsid w:val="00FD1CB7"/>
    <w:rsid w:val="00FD209E"/>
    <w:rsid w:val="00FD298B"/>
    <w:rsid w:val="00FD32F1"/>
    <w:rsid w:val="00FD35F7"/>
    <w:rsid w:val="00FD4E0F"/>
    <w:rsid w:val="00FD5664"/>
    <w:rsid w:val="00FD6B24"/>
    <w:rsid w:val="00FD7C5A"/>
    <w:rsid w:val="00FE186C"/>
    <w:rsid w:val="00FE1A3C"/>
    <w:rsid w:val="00FE239B"/>
    <w:rsid w:val="00FE2482"/>
    <w:rsid w:val="00FE24BF"/>
    <w:rsid w:val="00FE24CC"/>
    <w:rsid w:val="00FE2BE5"/>
    <w:rsid w:val="00FE2D3C"/>
    <w:rsid w:val="00FE3299"/>
    <w:rsid w:val="00FE4008"/>
    <w:rsid w:val="00FE48C0"/>
    <w:rsid w:val="00FE524B"/>
    <w:rsid w:val="00FE56B9"/>
    <w:rsid w:val="00FE6161"/>
    <w:rsid w:val="00FE653F"/>
    <w:rsid w:val="00FE659E"/>
    <w:rsid w:val="00FE6681"/>
    <w:rsid w:val="00FE7019"/>
    <w:rsid w:val="00FE7136"/>
    <w:rsid w:val="00FE7824"/>
    <w:rsid w:val="00FE791A"/>
    <w:rsid w:val="00FE7DF2"/>
    <w:rsid w:val="00FF0228"/>
    <w:rsid w:val="00FF0376"/>
    <w:rsid w:val="00FF148F"/>
    <w:rsid w:val="00FF15F4"/>
    <w:rsid w:val="00FF18DB"/>
    <w:rsid w:val="00FF1DF7"/>
    <w:rsid w:val="00FF2B87"/>
    <w:rsid w:val="00FF3214"/>
    <w:rsid w:val="00FF40CF"/>
    <w:rsid w:val="00FF48AB"/>
    <w:rsid w:val="00FF55C8"/>
    <w:rsid w:val="00FF5ADA"/>
    <w:rsid w:val="00FF5BDF"/>
    <w:rsid w:val="00FF7697"/>
    <w:rsid w:val="00FF7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6F9494"/>
  <w15:docId w15:val="{9344A568-B832-48A6-9264-68B7760E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CB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AC2F6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unhideWhenUsed/>
    <w:qFormat/>
    <w:rsid w:val="00AC2F6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3E3451"/>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AC2F64"/>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AC2F64"/>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AC2F64"/>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C2F64"/>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9"/>
    <w:rsid w:val="00AC2F64"/>
    <w:rPr>
      <w:rFonts w:ascii="Arial" w:eastAsia="Times New Roman" w:hAnsi="Arial" w:cs="Arial"/>
      <w:b/>
      <w:bCs/>
      <w:i/>
      <w:iCs/>
      <w:sz w:val="28"/>
      <w:szCs w:val="28"/>
    </w:rPr>
  </w:style>
  <w:style w:type="character" w:customStyle="1" w:styleId="Heading4Char">
    <w:name w:val="Heading 4 Char"/>
    <w:basedOn w:val="DefaultParagraphFont"/>
    <w:link w:val="Heading4"/>
    <w:uiPriority w:val="9"/>
    <w:rsid w:val="00AC2F64"/>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rsid w:val="00AC2F64"/>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rsid w:val="00AC2F64"/>
    <w:rPr>
      <w:rFonts w:asciiTheme="majorHAnsi" w:eastAsiaTheme="majorEastAsia" w:hAnsiTheme="majorHAnsi" w:cstheme="majorBidi"/>
      <w:i/>
      <w:iCs/>
      <w:color w:val="1F4D78" w:themeColor="accent1" w:themeShade="7F"/>
      <w:sz w:val="24"/>
      <w:szCs w:val="24"/>
    </w:rPr>
  </w:style>
  <w:style w:type="character" w:styleId="Hyperlink">
    <w:name w:val="Hyperlink"/>
    <w:uiPriority w:val="99"/>
    <w:unhideWhenUsed/>
    <w:rsid w:val="00AC2F64"/>
    <w:rPr>
      <w:rFonts w:ascii="Times New Roman" w:hAnsi="Times New Roman" w:cs="Times New Roman" w:hint="default"/>
      <w:color w:val="0000FF"/>
      <w:u w:val="single"/>
    </w:rPr>
  </w:style>
  <w:style w:type="paragraph" w:styleId="HTMLPreformatted">
    <w:name w:val="HTML Preformatted"/>
    <w:basedOn w:val="Normal"/>
    <w:link w:val="HTMLPreformattedChar"/>
    <w:uiPriority w:val="99"/>
    <w:unhideWhenUsed/>
    <w:rsid w:val="00AC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C2F64"/>
    <w:rPr>
      <w:rFonts w:ascii="Courier New" w:eastAsia="Times New Roman" w:hAnsi="Courier New" w:cs="Courier New"/>
      <w:sz w:val="20"/>
      <w:szCs w:val="20"/>
    </w:rPr>
  </w:style>
  <w:style w:type="character" w:customStyle="1" w:styleId="FootnoteTextChar">
    <w:name w:val="Footnote Text Char"/>
    <w:aliases w:val="ft Char,single space Char"/>
    <w:basedOn w:val="DefaultParagraphFont"/>
    <w:link w:val="FootnoteText"/>
    <w:uiPriority w:val="99"/>
    <w:locked/>
    <w:rsid w:val="00AC2F64"/>
    <w:rPr>
      <w:rFonts w:ascii="Book Antiqua" w:eastAsia="Times New Roman" w:hAnsi="Book Antiqua" w:cs="Times New Roman"/>
      <w:sz w:val="16"/>
      <w:szCs w:val="20"/>
    </w:rPr>
  </w:style>
  <w:style w:type="paragraph" w:styleId="FootnoteText">
    <w:name w:val="footnote text"/>
    <w:aliases w:val="ft,single space"/>
    <w:basedOn w:val="Normal"/>
    <w:link w:val="FootnoteTextChar"/>
    <w:uiPriority w:val="99"/>
    <w:unhideWhenUsed/>
    <w:rsid w:val="00AC2F64"/>
    <w:rPr>
      <w:rFonts w:ascii="Book Antiqua" w:hAnsi="Book Antiqua"/>
      <w:sz w:val="16"/>
      <w:szCs w:val="20"/>
    </w:rPr>
  </w:style>
  <w:style w:type="character" w:customStyle="1" w:styleId="FootnoteTextChar1">
    <w:name w:val="Footnote Text Char1"/>
    <w:aliases w:val="ft Char1,single space Char1"/>
    <w:basedOn w:val="DefaultParagraphFont"/>
    <w:uiPriority w:val="99"/>
    <w:semiHidden/>
    <w:rsid w:val="00AC2F64"/>
    <w:rPr>
      <w:rFonts w:ascii="Times New Roman" w:eastAsia="Times New Roman" w:hAnsi="Times New Roman" w:cs="Times New Roman"/>
      <w:sz w:val="20"/>
      <w:szCs w:val="20"/>
    </w:rPr>
  </w:style>
  <w:style w:type="paragraph" w:styleId="CommentText">
    <w:name w:val="annotation text"/>
    <w:basedOn w:val="Normal"/>
    <w:link w:val="CommentTextChar"/>
    <w:uiPriority w:val="99"/>
    <w:unhideWhenUsed/>
    <w:rsid w:val="00AC2F64"/>
    <w:rPr>
      <w:sz w:val="20"/>
      <w:szCs w:val="20"/>
    </w:rPr>
  </w:style>
  <w:style w:type="character" w:customStyle="1" w:styleId="CommentTextChar">
    <w:name w:val="Comment Text Char"/>
    <w:basedOn w:val="DefaultParagraphFont"/>
    <w:link w:val="CommentText"/>
    <w:uiPriority w:val="99"/>
    <w:rsid w:val="00AC2F64"/>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AC2F6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2F64"/>
    <w:pPr>
      <w:tabs>
        <w:tab w:val="center" w:pos="4680"/>
        <w:tab w:val="right" w:pos="9360"/>
      </w:tabs>
    </w:pPr>
  </w:style>
  <w:style w:type="character" w:customStyle="1" w:styleId="HeaderChar1">
    <w:name w:val="Header Char1"/>
    <w:basedOn w:val="DefaultParagraphFont"/>
    <w:uiPriority w:val="99"/>
    <w:semiHidden/>
    <w:rsid w:val="00AC2F6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2F64"/>
    <w:pPr>
      <w:tabs>
        <w:tab w:val="center" w:pos="4680"/>
        <w:tab w:val="right" w:pos="9360"/>
      </w:tabs>
    </w:pPr>
  </w:style>
  <w:style w:type="character" w:customStyle="1" w:styleId="FooterChar">
    <w:name w:val="Footer Char"/>
    <w:basedOn w:val="DefaultParagraphFont"/>
    <w:link w:val="Footer"/>
    <w:uiPriority w:val="99"/>
    <w:rsid w:val="00AC2F64"/>
    <w:rPr>
      <w:rFonts w:ascii="Times New Roman" w:eastAsia="Times New Roman" w:hAnsi="Times New Roman" w:cs="Times New Roman"/>
      <w:sz w:val="24"/>
      <w:szCs w:val="24"/>
    </w:rPr>
  </w:style>
  <w:style w:type="character" w:customStyle="1" w:styleId="EndnoteTextChar">
    <w:name w:val="Endnote Text Char"/>
    <w:basedOn w:val="DefaultParagraphFont"/>
    <w:link w:val="EndnoteText"/>
    <w:uiPriority w:val="99"/>
    <w:semiHidden/>
    <w:rsid w:val="00AC2F64"/>
    <w:rPr>
      <w:rFonts w:ascii="Times New Roman" w:eastAsia="Times New Roman" w:hAnsi="Times New Roman" w:cs="Times New Roman"/>
      <w:sz w:val="20"/>
      <w:szCs w:val="20"/>
    </w:rPr>
  </w:style>
  <w:style w:type="paragraph" w:styleId="EndnoteText">
    <w:name w:val="endnote text"/>
    <w:basedOn w:val="Normal"/>
    <w:link w:val="EndnoteTextChar"/>
    <w:uiPriority w:val="99"/>
    <w:semiHidden/>
    <w:unhideWhenUsed/>
    <w:rsid w:val="00AC2F64"/>
    <w:rPr>
      <w:sz w:val="20"/>
      <w:szCs w:val="20"/>
    </w:rPr>
  </w:style>
  <w:style w:type="character" w:customStyle="1" w:styleId="EndnoteTextChar1">
    <w:name w:val="Endnote Text Char1"/>
    <w:basedOn w:val="DefaultParagraphFont"/>
    <w:uiPriority w:val="99"/>
    <w:semiHidden/>
    <w:rsid w:val="00AC2F64"/>
    <w:rPr>
      <w:rFonts w:ascii="Times New Roman" w:eastAsia="Times New Roman" w:hAnsi="Times New Roman" w:cs="Times New Roman"/>
      <w:sz w:val="20"/>
      <w:szCs w:val="20"/>
    </w:rPr>
  </w:style>
  <w:style w:type="paragraph" w:styleId="BodyText">
    <w:name w:val="Body Text"/>
    <w:basedOn w:val="Normal"/>
    <w:link w:val="BodyTextChar"/>
    <w:uiPriority w:val="99"/>
    <w:unhideWhenUsed/>
    <w:rsid w:val="00AC2F64"/>
    <w:rPr>
      <w:rFonts w:ascii="Arial" w:hAnsi="Arial"/>
      <w:b/>
      <w:bCs/>
      <w:sz w:val="21"/>
      <w:szCs w:val="20"/>
      <w:lang w:val="en-GB"/>
    </w:rPr>
  </w:style>
  <w:style w:type="character" w:customStyle="1" w:styleId="BodyTextChar">
    <w:name w:val="Body Text Char"/>
    <w:basedOn w:val="DefaultParagraphFont"/>
    <w:link w:val="BodyText"/>
    <w:uiPriority w:val="99"/>
    <w:rsid w:val="00AC2F64"/>
    <w:rPr>
      <w:rFonts w:ascii="Arial" w:eastAsia="Times New Roman" w:hAnsi="Arial" w:cs="Times New Roman"/>
      <w:b/>
      <w:bCs/>
      <w:sz w:val="21"/>
      <w:szCs w:val="20"/>
      <w:lang w:val="en-GB"/>
    </w:rPr>
  </w:style>
  <w:style w:type="character" w:customStyle="1" w:styleId="BodyTextIndentChar">
    <w:name w:val="Body Text Indent Char"/>
    <w:basedOn w:val="DefaultParagraphFont"/>
    <w:link w:val="BodyTextIndent"/>
    <w:uiPriority w:val="99"/>
    <w:rsid w:val="00AC2F64"/>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AC2F64"/>
    <w:pPr>
      <w:spacing w:after="120"/>
      <w:ind w:left="360"/>
    </w:pPr>
  </w:style>
  <w:style w:type="character" w:customStyle="1" w:styleId="BodyTextIndentChar1">
    <w:name w:val="Body Text Indent Char1"/>
    <w:basedOn w:val="DefaultParagraphFont"/>
    <w:uiPriority w:val="99"/>
    <w:semiHidden/>
    <w:rsid w:val="00AC2F64"/>
    <w:rPr>
      <w:rFonts w:ascii="Times New Roman" w:eastAsia="Times New Roman" w:hAnsi="Times New Roman" w:cs="Times New Roman"/>
      <w:sz w:val="24"/>
      <w:szCs w:val="24"/>
    </w:rPr>
  </w:style>
  <w:style w:type="character" w:customStyle="1" w:styleId="CommentSubjectChar">
    <w:name w:val="Comment Subject Char"/>
    <w:basedOn w:val="CommentTextChar"/>
    <w:link w:val="CommentSubject"/>
    <w:uiPriority w:val="99"/>
    <w:semiHidden/>
    <w:rsid w:val="00AC2F64"/>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AC2F64"/>
    <w:rPr>
      <w:b/>
      <w:bCs/>
    </w:rPr>
  </w:style>
  <w:style w:type="character" w:customStyle="1" w:styleId="CommentSubjectChar1">
    <w:name w:val="Comment Subject Char1"/>
    <w:basedOn w:val="CommentTextChar"/>
    <w:uiPriority w:val="99"/>
    <w:semiHidden/>
    <w:rsid w:val="00AC2F6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C2F64"/>
    <w:rPr>
      <w:rFonts w:ascii="Tahoma" w:hAnsi="Tahoma" w:cs="Tahoma"/>
      <w:sz w:val="16"/>
      <w:szCs w:val="16"/>
    </w:rPr>
  </w:style>
  <w:style w:type="character" w:customStyle="1" w:styleId="BalloonTextChar">
    <w:name w:val="Balloon Text Char"/>
    <w:basedOn w:val="DefaultParagraphFont"/>
    <w:link w:val="BalloonText"/>
    <w:uiPriority w:val="99"/>
    <w:semiHidden/>
    <w:rsid w:val="00AC2F64"/>
    <w:rPr>
      <w:rFonts w:ascii="Tahoma" w:eastAsia="Times New Roman" w:hAnsi="Tahoma" w:cs="Tahoma"/>
      <w:sz w:val="16"/>
      <w:szCs w:val="16"/>
    </w:rPr>
  </w:style>
  <w:style w:type="paragraph" w:styleId="NoSpacing">
    <w:name w:val="No Spacing"/>
    <w:link w:val="NoSpacingChar"/>
    <w:uiPriority w:val="99"/>
    <w:qFormat/>
    <w:rsid w:val="00AC2F64"/>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99"/>
    <w:rsid w:val="00AC2F64"/>
    <w:rPr>
      <w:rFonts w:ascii="Times New Roman" w:eastAsia="Times New Roman" w:hAnsi="Times New Roman" w:cs="Times New Roman"/>
      <w:sz w:val="24"/>
      <w:szCs w:val="24"/>
    </w:rPr>
  </w:style>
  <w:style w:type="paragraph" w:styleId="ListParagraph">
    <w:name w:val="List Paragraph"/>
    <w:basedOn w:val="Normal"/>
    <w:uiPriority w:val="99"/>
    <w:qFormat/>
    <w:rsid w:val="00AC2F64"/>
    <w:pPr>
      <w:ind w:left="720"/>
      <w:contextualSpacing/>
    </w:pPr>
  </w:style>
  <w:style w:type="paragraph" w:customStyle="1" w:styleId="CABI-ChapterHeading">
    <w:name w:val="CABI - Chapter Heading"/>
    <w:basedOn w:val="Normal"/>
    <w:uiPriority w:val="99"/>
    <w:semiHidden/>
    <w:rsid w:val="00AC2F64"/>
    <w:pPr>
      <w:jc w:val="both"/>
    </w:pPr>
    <w:rPr>
      <w:sz w:val="44"/>
      <w:szCs w:val="44"/>
      <w:lang w:val="en-GB"/>
    </w:rPr>
  </w:style>
  <w:style w:type="character" w:styleId="FootnoteReference">
    <w:name w:val="footnote reference"/>
    <w:unhideWhenUsed/>
    <w:rsid w:val="00AC2F64"/>
    <w:rPr>
      <w:rFonts w:ascii="Times New Roman" w:hAnsi="Times New Roman" w:cs="Times New Roman" w:hint="default"/>
      <w:sz w:val="20"/>
      <w:vertAlign w:val="superscript"/>
    </w:rPr>
  </w:style>
  <w:style w:type="character" w:styleId="CommentReference">
    <w:name w:val="annotation reference"/>
    <w:uiPriority w:val="99"/>
    <w:unhideWhenUsed/>
    <w:rsid w:val="00AC2F64"/>
    <w:rPr>
      <w:rFonts w:ascii="Times New Roman" w:hAnsi="Times New Roman" w:cs="Times New Roman" w:hint="default"/>
      <w:sz w:val="16"/>
      <w:szCs w:val="16"/>
    </w:rPr>
  </w:style>
  <w:style w:type="character" w:styleId="LineNumber">
    <w:name w:val="line number"/>
    <w:uiPriority w:val="99"/>
    <w:semiHidden/>
    <w:unhideWhenUsed/>
    <w:rsid w:val="00AC2F64"/>
    <w:rPr>
      <w:rFonts w:ascii="Times New Roman" w:hAnsi="Times New Roman" w:cs="Times New Roman" w:hint="default"/>
    </w:rPr>
  </w:style>
  <w:style w:type="character" w:customStyle="1" w:styleId="apple-style-span">
    <w:name w:val="apple-style-span"/>
    <w:uiPriority w:val="99"/>
    <w:rsid w:val="00AC2F64"/>
    <w:rPr>
      <w:rFonts w:ascii="Times New Roman" w:hAnsi="Times New Roman" w:cs="Times New Roman" w:hint="default"/>
    </w:rPr>
  </w:style>
  <w:style w:type="character" w:customStyle="1" w:styleId="apple-converted-space">
    <w:name w:val="apple-converted-space"/>
    <w:rsid w:val="00AC2F64"/>
    <w:rPr>
      <w:rFonts w:ascii="Times New Roman" w:hAnsi="Times New Roman" w:cs="Times New Roman" w:hint="default"/>
    </w:rPr>
  </w:style>
  <w:style w:type="paragraph" w:styleId="ListBullet">
    <w:name w:val="List Bullet"/>
    <w:basedOn w:val="Normal"/>
    <w:uiPriority w:val="99"/>
    <w:unhideWhenUsed/>
    <w:rsid w:val="00AC2F64"/>
    <w:pPr>
      <w:numPr>
        <w:numId w:val="9"/>
      </w:numPr>
      <w:contextualSpacing/>
    </w:pPr>
  </w:style>
  <w:style w:type="character" w:customStyle="1" w:styleId="authors">
    <w:name w:val="authors"/>
    <w:basedOn w:val="DefaultParagraphFont"/>
    <w:rsid w:val="00AC2F64"/>
  </w:style>
  <w:style w:type="paragraph" w:customStyle="1" w:styleId="MTDisplayEquation">
    <w:name w:val="MTDisplayEquation"/>
    <w:basedOn w:val="NoSpacing"/>
    <w:next w:val="Normal"/>
    <w:link w:val="MTDisplayEquationChar"/>
    <w:rsid w:val="00AC2F64"/>
    <w:pPr>
      <w:tabs>
        <w:tab w:val="center" w:pos="4320"/>
        <w:tab w:val="right" w:pos="8640"/>
      </w:tabs>
      <w:spacing w:line="480" w:lineRule="auto"/>
      <w:ind w:firstLine="720"/>
    </w:pPr>
  </w:style>
  <w:style w:type="character" w:customStyle="1" w:styleId="MTDisplayEquationChar">
    <w:name w:val="MTDisplayEquation Char"/>
    <w:basedOn w:val="NoSpacingChar"/>
    <w:link w:val="MTDisplayEquation"/>
    <w:rsid w:val="00AC2F64"/>
    <w:rPr>
      <w:rFonts w:ascii="Times New Roman" w:eastAsia="Times New Roman" w:hAnsi="Times New Roman" w:cs="Times New Roman"/>
      <w:sz w:val="24"/>
      <w:szCs w:val="24"/>
    </w:rPr>
  </w:style>
  <w:style w:type="paragraph" w:styleId="NormalWeb">
    <w:name w:val="Normal (Web)"/>
    <w:basedOn w:val="Normal"/>
    <w:uiPriority w:val="99"/>
    <w:semiHidden/>
    <w:unhideWhenUsed/>
    <w:rsid w:val="00AC2F64"/>
    <w:pPr>
      <w:spacing w:before="100" w:beforeAutospacing="1" w:after="100" w:afterAutospacing="1"/>
    </w:pPr>
  </w:style>
  <w:style w:type="table" w:styleId="TableGrid">
    <w:name w:val="Table Grid"/>
    <w:basedOn w:val="TableNormal"/>
    <w:uiPriority w:val="59"/>
    <w:rsid w:val="00AC2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C2F64"/>
    <w:rPr>
      <w:i/>
      <w:iCs/>
    </w:rPr>
  </w:style>
  <w:style w:type="paragraph" w:styleId="List">
    <w:name w:val="List"/>
    <w:basedOn w:val="Normal"/>
    <w:uiPriority w:val="99"/>
    <w:unhideWhenUsed/>
    <w:rsid w:val="00AC2F64"/>
    <w:pPr>
      <w:ind w:left="360" w:hanging="360"/>
      <w:contextualSpacing/>
    </w:pPr>
  </w:style>
  <w:style w:type="paragraph" w:styleId="Title">
    <w:name w:val="Title"/>
    <w:basedOn w:val="Normal"/>
    <w:next w:val="Normal"/>
    <w:link w:val="TitleChar"/>
    <w:uiPriority w:val="10"/>
    <w:qFormat/>
    <w:rsid w:val="00AC2F64"/>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C2F6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C2F64"/>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AC2F64"/>
    <w:rPr>
      <w:rFonts w:asciiTheme="majorHAnsi" w:eastAsiaTheme="majorEastAsia" w:hAnsiTheme="majorHAnsi" w:cstheme="majorBidi"/>
      <w:i/>
      <w:iCs/>
      <w:color w:val="5B9BD5" w:themeColor="accent1"/>
      <w:spacing w:val="15"/>
      <w:sz w:val="24"/>
      <w:szCs w:val="24"/>
    </w:rPr>
  </w:style>
  <w:style w:type="paragraph" w:styleId="BodyTextFirstIndent">
    <w:name w:val="Body Text First Indent"/>
    <w:basedOn w:val="BodyText"/>
    <w:link w:val="BodyTextFirstIndentChar"/>
    <w:uiPriority w:val="99"/>
    <w:unhideWhenUsed/>
    <w:rsid w:val="00AC2F64"/>
    <w:pPr>
      <w:ind w:firstLine="360"/>
    </w:pPr>
    <w:rPr>
      <w:rFonts w:ascii="Times New Roman" w:hAnsi="Times New Roman"/>
      <w:b w:val="0"/>
      <w:bCs w:val="0"/>
      <w:sz w:val="24"/>
      <w:szCs w:val="24"/>
      <w:lang w:val="en-US"/>
    </w:rPr>
  </w:style>
  <w:style w:type="character" w:customStyle="1" w:styleId="BodyTextFirstIndentChar">
    <w:name w:val="Body Text First Indent Char"/>
    <w:basedOn w:val="BodyTextChar"/>
    <w:link w:val="BodyTextFirstIndent"/>
    <w:uiPriority w:val="99"/>
    <w:rsid w:val="00AC2F64"/>
    <w:rPr>
      <w:rFonts w:ascii="Times New Roman" w:eastAsia="Times New Roman" w:hAnsi="Times New Roman" w:cs="Times New Roman"/>
      <w:b w:val="0"/>
      <w:bCs w:val="0"/>
      <w:sz w:val="24"/>
      <w:szCs w:val="24"/>
      <w:lang w:val="en-GB"/>
    </w:rPr>
  </w:style>
  <w:style w:type="paragraph" w:styleId="BodyTextFirstIndent2">
    <w:name w:val="Body Text First Indent 2"/>
    <w:basedOn w:val="BodyTextIndent"/>
    <w:link w:val="BodyTextFirstIndent2Char"/>
    <w:uiPriority w:val="99"/>
    <w:unhideWhenUsed/>
    <w:rsid w:val="00AC2F64"/>
    <w:pPr>
      <w:spacing w:after="0"/>
      <w:ind w:firstLine="360"/>
    </w:pPr>
  </w:style>
  <w:style w:type="character" w:customStyle="1" w:styleId="BodyTextFirstIndent2Char">
    <w:name w:val="Body Text First Indent 2 Char"/>
    <w:basedOn w:val="BodyTextIndentChar1"/>
    <w:link w:val="BodyTextFirstIndent2"/>
    <w:uiPriority w:val="99"/>
    <w:rsid w:val="00AC2F64"/>
    <w:rPr>
      <w:rFonts w:ascii="Times New Roman" w:eastAsia="Times New Roman" w:hAnsi="Times New Roman" w:cs="Times New Roman"/>
      <w:sz w:val="24"/>
      <w:szCs w:val="24"/>
    </w:rPr>
  </w:style>
  <w:style w:type="paragraph" w:styleId="Revision">
    <w:name w:val="Revision"/>
    <w:hidden/>
    <w:uiPriority w:val="99"/>
    <w:semiHidden/>
    <w:rsid w:val="00AC2F64"/>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C2F64"/>
    <w:rPr>
      <w:color w:val="808080"/>
    </w:rPr>
  </w:style>
  <w:style w:type="numbering" w:customStyle="1" w:styleId="NoList1">
    <w:name w:val="No List1"/>
    <w:next w:val="NoList"/>
    <w:uiPriority w:val="99"/>
    <w:semiHidden/>
    <w:unhideWhenUsed/>
    <w:rsid w:val="00AC2F64"/>
  </w:style>
  <w:style w:type="table" w:customStyle="1" w:styleId="TableGrid1">
    <w:name w:val="Table Grid1"/>
    <w:basedOn w:val="TableNormal"/>
    <w:next w:val="TableGrid"/>
    <w:uiPriority w:val="59"/>
    <w:rsid w:val="00AC2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unhideWhenUsed/>
    <w:rsid w:val="00D64356"/>
  </w:style>
  <w:style w:type="character" w:customStyle="1" w:styleId="DateChar">
    <w:name w:val="Date Char"/>
    <w:basedOn w:val="DefaultParagraphFont"/>
    <w:link w:val="Date"/>
    <w:uiPriority w:val="99"/>
    <w:rsid w:val="00D64356"/>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64356"/>
    <w:pPr>
      <w:spacing w:after="200"/>
    </w:pPr>
    <w:rPr>
      <w:b/>
      <w:bCs/>
      <w:color w:val="5B9BD5" w:themeColor="accent1"/>
      <w:sz w:val="18"/>
      <w:szCs w:val="18"/>
    </w:rPr>
  </w:style>
  <w:style w:type="character" w:customStyle="1" w:styleId="Heading3Char">
    <w:name w:val="Heading 3 Char"/>
    <w:basedOn w:val="DefaultParagraphFont"/>
    <w:link w:val="Heading3"/>
    <w:uiPriority w:val="9"/>
    <w:rsid w:val="003E3451"/>
    <w:rPr>
      <w:rFonts w:asciiTheme="majorHAnsi" w:eastAsiaTheme="majorEastAsia" w:hAnsiTheme="majorHAnsi" w:cstheme="majorBidi"/>
      <w:b/>
      <w:bCs/>
      <w:color w:val="5B9BD5" w:themeColor="accent1"/>
      <w:sz w:val="24"/>
      <w:szCs w:val="24"/>
    </w:rPr>
  </w:style>
  <w:style w:type="paragraph" w:styleId="BodyText2">
    <w:name w:val="Body Text 2"/>
    <w:basedOn w:val="Normal"/>
    <w:link w:val="BodyText2Char"/>
    <w:uiPriority w:val="99"/>
    <w:semiHidden/>
    <w:unhideWhenUsed/>
    <w:rsid w:val="003E3451"/>
    <w:pPr>
      <w:spacing w:after="120" w:line="480" w:lineRule="auto"/>
    </w:pPr>
  </w:style>
  <w:style w:type="character" w:customStyle="1" w:styleId="BodyText2Char">
    <w:name w:val="Body Text 2 Char"/>
    <w:basedOn w:val="DefaultParagraphFont"/>
    <w:link w:val="BodyText2"/>
    <w:uiPriority w:val="99"/>
    <w:semiHidden/>
    <w:rsid w:val="003E3451"/>
    <w:rPr>
      <w:rFonts w:ascii="Times New Roman" w:eastAsia="Times New Roman" w:hAnsi="Times New Roman" w:cs="Times New Roman"/>
      <w:sz w:val="24"/>
      <w:szCs w:val="24"/>
    </w:rPr>
  </w:style>
  <w:style w:type="character" w:customStyle="1" w:styleId="HTMLPreformattedChar1">
    <w:name w:val="HTML Preformatted Char1"/>
    <w:basedOn w:val="DefaultParagraphFont"/>
    <w:uiPriority w:val="99"/>
    <w:semiHidden/>
    <w:rsid w:val="003E3451"/>
    <w:rPr>
      <w:rFonts w:ascii="Consolas" w:eastAsia="Times New Roman" w:hAnsi="Consolas" w:cs="Times New Roman"/>
      <w:sz w:val="20"/>
      <w:szCs w:val="20"/>
    </w:rPr>
  </w:style>
  <w:style w:type="character" w:customStyle="1" w:styleId="BodyTextChar1">
    <w:name w:val="Body Text Char1"/>
    <w:basedOn w:val="DefaultParagraphFont"/>
    <w:uiPriority w:val="99"/>
    <w:semiHidden/>
    <w:rsid w:val="003E3451"/>
    <w:rPr>
      <w:rFonts w:ascii="Times New Roman" w:eastAsia="Times New Roman" w:hAnsi="Times New Roman" w:cs="Times New Roman"/>
      <w:sz w:val="24"/>
      <w:szCs w:val="24"/>
    </w:rPr>
  </w:style>
  <w:style w:type="character" w:styleId="Strong">
    <w:name w:val="Strong"/>
    <w:basedOn w:val="DefaultParagraphFont"/>
    <w:uiPriority w:val="22"/>
    <w:qFormat/>
    <w:rsid w:val="000366AC"/>
    <w:rPr>
      <w:b/>
      <w:bCs/>
    </w:rPr>
  </w:style>
  <w:style w:type="paragraph" w:customStyle="1" w:styleId="EndNoteBibliographyTitle">
    <w:name w:val="EndNote Bibliography Title"/>
    <w:basedOn w:val="Normal"/>
    <w:rsid w:val="00D14AA8"/>
    <w:pPr>
      <w:jc w:val="center"/>
    </w:pPr>
  </w:style>
  <w:style w:type="paragraph" w:customStyle="1" w:styleId="EndNoteBibliography">
    <w:name w:val="EndNote Bibliography"/>
    <w:basedOn w:val="Normal"/>
    <w:rsid w:val="00D14AA8"/>
  </w:style>
  <w:style w:type="character" w:styleId="FollowedHyperlink">
    <w:name w:val="FollowedHyperlink"/>
    <w:basedOn w:val="DefaultParagraphFont"/>
    <w:uiPriority w:val="99"/>
    <w:semiHidden/>
    <w:unhideWhenUsed/>
    <w:rsid w:val="00417A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0931">
      <w:bodyDiv w:val="1"/>
      <w:marLeft w:val="0"/>
      <w:marRight w:val="0"/>
      <w:marTop w:val="0"/>
      <w:marBottom w:val="0"/>
      <w:divBdr>
        <w:top w:val="none" w:sz="0" w:space="0" w:color="auto"/>
        <w:left w:val="none" w:sz="0" w:space="0" w:color="auto"/>
        <w:bottom w:val="none" w:sz="0" w:space="0" w:color="auto"/>
        <w:right w:val="none" w:sz="0" w:space="0" w:color="auto"/>
      </w:divBdr>
    </w:div>
    <w:div w:id="48697040">
      <w:bodyDiv w:val="1"/>
      <w:marLeft w:val="0"/>
      <w:marRight w:val="0"/>
      <w:marTop w:val="0"/>
      <w:marBottom w:val="0"/>
      <w:divBdr>
        <w:top w:val="none" w:sz="0" w:space="0" w:color="auto"/>
        <w:left w:val="none" w:sz="0" w:space="0" w:color="auto"/>
        <w:bottom w:val="none" w:sz="0" w:space="0" w:color="auto"/>
        <w:right w:val="none" w:sz="0" w:space="0" w:color="auto"/>
      </w:divBdr>
    </w:div>
    <w:div w:id="74128893">
      <w:bodyDiv w:val="1"/>
      <w:marLeft w:val="0"/>
      <w:marRight w:val="0"/>
      <w:marTop w:val="0"/>
      <w:marBottom w:val="0"/>
      <w:divBdr>
        <w:top w:val="none" w:sz="0" w:space="0" w:color="auto"/>
        <w:left w:val="none" w:sz="0" w:space="0" w:color="auto"/>
        <w:bottom w:val="none" w:sz="0" w:space="0" w:color="auto"/>
        <w:right w:val="none" w:sz="0" w:space="0" w:color="auto"/>
      </w:divBdr>
    </w:div>
    <w:div w:id="79832995">
      <w:bodyDiv w:val="1"/>
      <w:marLeft w:val="0"/>
      <w:marRight w:val="0"/>
      <w:marTop w:val="0"/>
      <w:marBottom w:val="0"/>
      <w:divBdr>
        <w:top w:val="none" w:sz="0" w:space="0" w:color="auto"/>
        <w:left w:val="none" w:sz="0" w:space="0" w:color="auto"/>
        <w:bottom w:val="none" w:sz="0" w:space="0" w:color="auto"/>
        <w:right w:val="none" w:sz="0" w:space="0" w:color="auto"/>
      </w:divBdr>
    </w:div>
    <w:div w:id="308091962">
      <w:bodyDiv w:val="1"/>
      <w:marLeft w:val="0"/>
      <w:marRight w:val="0"/>
      <w:marTop w:val="0"/>
      <w:marBottom w:val="0"/>
      <w:divBdr>
        <w:top w:val="none" w:sz="0" w:space="0" w:color="auto"/>
        <w:left w:val="none" w:sz="0" w:space="0" w:color="auto"/>
        <w:bottom w:val="none" w:sz="0" w:space="0" w:color="auto"/>
        <w:right w:val="none" w:sz="0" w:space="0" w:color="auto"/>
      </w:divBdr>
    </w:div>
    <w:div w:id="334773656">
      <w:bodyDiv w:val="1"/>
      <w:marLeft w:val="0"/>
      <w:marRight w:val="0"/>
      <w:marTop w:val="0"/>
      <w:marBottom w:val="0"/>
      <w:divBdr>
        <w:top w:val="none" w:sz="0" w:space="0" w:color="auto"/>
        <w:left w:val="none" w:sz="0" w:space="0" w:color="auto"/>
        <w:bottom w:val="none" w:sz="0" w:space="0" w:color="auto"/>
        <w:right w:val="none" w:sz="0" w:space="0" w:color="auto"/>
      </w:divBdr>
    </w:div>
    <w:div w:id="732973950">
      <w:bodyDiv w:val="1"/>
      <w:marLeft w:val="0"/>
      <w:marRight w:val="0"/>
      <w:marTop w:val="0"/>
      <w:marBottom w:val="0"/>
      <w:divBdr>
        <w:top w:val="none" w:sz="0" w:space="0" w:color="auto"/>
        <w:left w:val="none" w:sz="0" w:space="0" w:color="auto"/>
        <w:bottom w:val="none" w:sz="0" w:space="0" w:color="auto"/>
        <w:right w:val="none" w:sz="0" w:space="0" w:color="auto"/>
      </w:divBdr>
    </w:div>
    <w:div w:id="933784540">
      <w:bodyDiv w:val="1"/>
      <w:marLeft w:val="0"/>
      <w:marRight w:val="0"/>
      <w:marTop w:val="0"/>
      <w:marBottom w:val="0"/>
      <w:divBdr>
        <w:top w:val="none" w:sz="0" w:space="0" w:color="auto"/>
        <w:left w:val="none" w:sz="0" w:space="0" w:color="auto"/>
        <w:bottom w:val="none" w:sz="0" w:space="0" w:color="auto"/>
        <w:right w:val="none" w:sz="0" w:space="0" w:color="auto"/>
      </w:divBdr>
    </w:div>
    <w:div w:id="949123096">
      <w:bodyDiv w:val="1"/>
      <w:marLeft w:val="0"/>
      <w:marRight w:val="0"/>
      <w:marTop w:val="0"/>
      <w:marBottom w:val="0"/>
      <w:divBdr>
        <w:top w:val="none" w:sz="0" w:space="0" w:color="auto"/>
        <w:left w:val="none" w:sz="0" w:space="0" w:color="auto"/>
        <w:bottom w:val="none" w:sz="0" w:space="0" w:color="auto"/>
        <w:right w:val="none" w:sz="0" w:space="0" w:color="auto"/>
      </w:divBdr>
    </w:div>
    <w:div w:id="959456295">
      <w:bodyDiv w:val="1"/>
      <w:marLeft w:val="0"/>
      <w:marRight w:val="0"/>
      <w:marTop w:val="0"/>
      <w:marBottom w:val="0"/>
      <w:divBdr>
        <w:top w:val="none" w:sz="0" w:space="0" w:color="auto"/>
        <w:left w:val="none" w:sz="0" w:space="0" w:color="auto"/>
        <w:bottom w:val="none" w:sz="0" w:space="0" w:color="auto"/>
        <w:right w:val="none" w:sz="0" w:space="0" w:color="auto"/>
      </w:divBdr>
    </w:div>
    <w:div w:id="1150900537">
      <w:bodyDiv w:val="1"/>
      <w:marLeft w:val="0"/>
      <w:marRight w:val="0"/>
      <w:marTop w:val="0"/>
      <w:marBottom w:val="0"/>
      <w:divBdr>
        <w:top w:val="none" w:sz="0" w:space="0" w:color="auto"/>
        <w:left w:val="none" w:sz="0" w:space="0" w:color="auto"/>
        <w:bottom w:val="none" w:sz="0" w:space="0" w:color="auto"/>
        <w:right w:val="none" w:sz="0" w:space="0" w:color="auto"/>
      </w:divBdr>
    </w:div>
    <w:div w:id="1189684853">
      <w:bodyDiv w:val="1"/>
      <w:marLeft w:val="0"/>
      <w:marRight w:val="0"/>
      <w:marTop w:val="0"/>
      <w:marBottom w:val="0"/>
      <w:divBdr>
        <w:top w:val="none" w:sz="0" w:space="0" w:color="auto"/>
        <w:left w:val="none" w:sz="0" w:space="0" w:color="auto"/>
        <w:bottom w:val="none" w:sz="0" w:space="0" w:color="auto"/>
        <w:right w:val="none" w:sz="0" w:space="0" w:color="auto"/>
      </w:divBdr>
    </w:div>
    <w:div w:id="1342925841">
      <w:bodyDiv w:val="1"/>
      <w:marLeft w:val="0"/>
      <w:marRight w:val="0"/>
      <w:marTop w:val="0"/>
      <w:marBottom w:val="0"/>
      <w:divBdr>
        <w:top w:val="none" w:sz="0" w:space="0" w:color="auto"/>
        <w:left w:val="none" w:sz="0" w:space="0" w:color="auto"/>
        <w:bottom w:val="none" w:sz="0" w:space="0" w:color="auto"/>
        <w:right w:val="none" w:sz="0" w:space="0" w:color="auto"/>
      </w:divBdr>
    </w:div>
    <w:div w:id="1600260983">
      <w:bodyDiv w:val="1"/>
      <w:marLeft w:val="0"/>
      <w:marRight w:val="0"/>
      <w:marTop w:val="0"/>
      <w:marBottom w:val="0"/>
      <w:divBdr>
        <w:top w:val="none" w:sz="0" w:space="0" w:color="auto"/>
        <w:left w:val="none" w:sz="0" w:space="0" w:color="auto"/>
        <w:bottom w:val="none" w:sz="0" w:space="0" w:color="auto"/>
        <w:right w:val="none" w:sz="0" w:space="0" w:color="auto"/>
      </w:divBdr>
    </w:div>
    <w:div w:id="1608584621">
      <w:bodyDiv w:val="1"/>
      <w:marLeft w:val="0"/>
      <w:marRight w:val="0"/>
      <w:marTop w:val="0"/>
      <w:marBottom w:val="0"/>
      <w:divBdr>
        <w:top w:val="none" w:sz="0" w:space="0" w:color="auto"/>
        <w:left w:val="none" w:sz="0" w:space="0" w:color="auto"/>
        <w:bottom w:val="none" w:sz="0" w:space="0" w:color="auto"/>
        <w:right w:val="none" w:sz="0" w:space="0" w:color="auto"/>
      </w:divBdr>
    </w:div>
    <w:div w:id="1750879356">
      <w:bodyDiv w:val="1"/>
      <w:marLeft w:val="0"/>
      <w:marRight w:val="0"/>
      <w:marTop w:val="0"/>
      <w:marBottom w:val="0"/>
      <w:divBdr>
        <w:top w:val="none" w:sz="0" w:space="0" w:color="auto"/>
        <w:left w:val="none" w:sz="0" w:space="0" w:color="auto"/>
        <w:bottom w:val="none" w:sz="0" w:space="0" w:color="auto"/>
        <w:right w:val="none" w:sz="0" w:space="0" w:color="auto"/>
      </w:divBdr>
    </w:div>
    <w:div w:id="1784112722">
      <w:bodyDiv w:val="1"/>
      <w:marLeft w:val="0"/>
      <w:marRight w:val="0"/>
      <w:marTop w:val="0"/>
      <w:marBottom w:val="0"/>
      <w:divBdr>
        <w:top w:val="none" w:sz="0" w:space="0" w:color="auto"/>
        <w:left w:val="none" w:sz="0" w:space="0" w:color="auto"/>
        <w:bottom w:val="none" w:sz="0" w:space="0" w:color="auto"/>
        <w:right w:val="none" w:sz="0" w:space="0" w:color="auto"/>
      </w:divBdr>
    </w:div>
    <w:div w:id="1828084158">
      <w:bodyDiv w:val="1"/>
      <w:marLeft w:val="0"/>
      <w:marRight w:val="0"/>
      <w:marTop w:val="0"/>
      <w:marBottom w:val="0"/>
      <w:divBdr>
        <w:top w:val="none" w:sz="0" w:space="0" w:color="auto"/>
        <w:left w:val="none" w:sz="0" w:space="0" w:color="auto"/>
        <w:bottom w:val="none" w:sz="0" w:space="0" w:color="auto"/>
        <w:right w:val="none" w:sz="0" w:space="0" w:color="auto"/>
      </w:divBdr>
    </w:div>
    <w:div w:id="1947157069">
      <w:bodyDiv w:val="1"/>
      <w:marLeft w:val="0"/>
      <w:marRight w:val="0"/>
      <w:marTop w:val="0"/>
      <w:marBottom w:val="0"/>
      <w:divBdr>
        <w:top w:val="none" w:sz="0" w:space="0" w:color="auto"/>
        <w:left w:val="none" w:sz="0" w:space="0" w:color="auto"/>
        <w:bottom w:val="none" w:sz="0" w:space="0" w:color="auto"/>
        <w:right w:val="none" w:sz="0" w:space="0" w:color="auto"/>
      </w:divBdr>
    </w:div>
    <w:div w:id="207855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2" Type="http://schemas.openxmlformats.org/officeDocument/2006/relationships/hyperlink" Target="http://blogs.worldbank.org/africacan/three-myths-about-aid-to-kenya" TargetMode="External"/><Relationship Id="rId1" Type="http://schemas.openxmlformats.org/officeDocument/2006/relationships/hyperlink" Target="http://www.centralbank.go.ke/securities/bonds/manualresul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009E3-CEDD-4E2A-A44B-380CB6299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32</Pages>
  <Words>10378</Words>
  <Characters>57912</Characters>
  <Application>Microsoft Office Word</Application>
  <DocSecurity>0</DocSecurity>
  <Lines>851</Lines>
  <Paragraphs>204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 Miguel</dc:creator>
  <cp:lastModifiedBy>Edward Andrew MIGUEL</cp:lastModifiedBy>
  <cp:revision>60</cp:revision>
  <cp:lastPrinted>2016-07-09T21:38:00Z</cp:lastPrinted>
  <dcterms:created xsi:type="dcterms:W3CDTF">2018-03-29T20:21:00Z</dcterms:created>
  <dcterms:modified xsi:type="dcterms:W3CDTF">2018-03-30T00:16:00Z</dcterms:modified>
</cp:coreProperties>
</file>