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D2D44"/>
          <w:sz w:val="34"/>
        </w:rPr>
        <w:t>MEMORYCORE: Mitigating Catastrophic Forgetting via Dark Experience Replay &amp; Dynamic Memory Partitioning</w:t>
      </w:r>
    </w:p>
    <w:p>
      <w:pPr>
        <w:spacing w:before="0" w:after="280"/>
        <w:jc w:val="center"/>
      </w:pPr>
      <w:r>
        <w:rPr>
          <w:b/>
          <w:color w:val="650004"/>
          <w:sz w:val="21"/>
        </w:rPr>
        <w:t>Deep Learning Hackathon 2026 — Track 5: Continual Learning</w:t>
        <w:br/>
      </w:r>
      <w:r>
        <w:rPr>
          <w:i/>
          <w:color w:val="555B6E"/>
          <w:sz w:val="19"/>
        </w:rPr>
        <w:t>Repository: https://github.com/adwaithsanthoshh/Memory-Core.git | Evaluation: Split Tiny-ImageNet (200 Classes, ResNet-18)</w:t>
      </w: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Pr>
          <w:p>
            <w:pPr>
              <w:spacing w:before="0" w:after="0"/>
            </w:pPr>
            <w:r>
              <w:rPr>
                <w:b/>
                <w:color w:val="1D2D44"/>
                <w:sz w:val="19"/>
              </w:rPr>
              <w:t xml:space="preserve">EXECUTIVE SUMMARY: </w:t>
            </w:r>
            <w:r>
              <w:rPr>
                <w:sz w:val="19"/>
              </w:rPr>
              <w:t>Sequential fine-tuning of deep convolutional networks leads to rapid degradation of previously acquired visual representations, a phenomenon known as Catastrophic Forgetting. In this project, we introduce MemoryCore, an edge-conscious continual learning system combining Dark Experience Replay (DER++) with a dynamic, class-balanced replay partition. Evaluated on Split Tiny-ImageNet (200 classes partitioned across sequential tasks), MemoryCore achieves 59.60% final average accuracy and restricts backward forgetting to 9.84% under a strict 5,000-exemplar (~5% of dataset) buffer constraint. Crucially, MemoryCore surpasses the offline joint training ceiling (50.36%) and crushes classical parameter-regularization baselines (EWC: 0.95%, LwF: 3.80%, Naive: 1.48%). The complete framework is seed-locked, deterministic, and fully reproducible via a unified single-command CLI.</w:t>
            </w:r>
          </w:p>
        </w:tc>
      </w:tr>
    </w:tbl>
    <w:p>
      <w:pPr>
        <w:spacing w:after="120"/>
      </w:pPr>
    </w:p>
    <w:p>
      <w:pPr>
        <w:spacing w:before="200" w:after="80"/>
      </w:pPr>
      <w:r>
        <w:rPr>
          <w:rFonts w:ascii="Georgia" w:hAnsi="Georgia"/>
          <w:b/>
          <w:color w:val="1D2D44"/>
          <w:sz w:val="26"/>
        </w:rPr>
        <w:t>1. Problem Statement &amp; Theoretical Motivation</w:t>
      </w:r>
    </w:p>
    <w:p>
      <w:pPr>
        <w:spacing w:after="120" w:line="276" w:lineRule="auto"/>
      </w:pPr>
      <w:r>
        <w:t>Modern deep learning assumes Independent and Identically Distributed (I.I.D.) data streams where all classes are accessible simultaneously. However, real-world deployment across robotics, autonomous systems, and edge IoT involves non-stationary data streams: data arrives sequentially in disjoint tasks D_1, D_2, ..., D_T. When a network is sequentially trained on task D_t via standard Empirical Risk Minimization (ERM), the stochastic gradient steps taken to minimize loss on D_t inevitably alter network parameters in directions orthogonal or opposing the optimal manifolds of earlier tasks {D_1, ..., D_{t-1}}. This triggers Catastrophic Forgetting, where past task accuracy plummets to near zero within a single training epoch.</w:t>
      </w:r>
    </w:p>
    <w:p>
      <w:pPr>
        <w:spacing w:after="120" w:line="276" w:lineRule="auto"/>
      </w:pPr>
      <w:r>
        <w:t>The fundamental challenge lies in the Stability-Plasticity Dilemma under Strict Memory Constraints:</w:t>
        <w:br/>
      </w:r>
    </w:p>
    <w:p>
      <w:pPr>
        <w:pStyle w:val="ListBullet"/>
        <w:spacing w:after="40"/>
      </w:pPr>
      <w:r>
        <w:rPr>
          <w:b/>
        </w:rPr>
        <w:t xml:space="preserve">Plasticity vs. Stability Trade-off: </w:t>
      </w:r>
      <w:r>
        <w:t>Weight-regularization techniques like Elastic Weight Consolidation (EWC) penalize shifts in important parameters using Fisher Information diagonals. However, as task count grows, parameter constraints accumulate quadratically, freezing the network into an over-constrained regime that destroys plasticity for future tasks.</w:t>
      </w:r>
    </w:p>
    <w:p>
      <w:pPr>
        <w:pStyle w:val="ListBullet"/>
        <w:spacing w:after="40"/>
      </w:pPr>
      <w:r>
        <w:rPr>
          <w:b/>
        </w:rPr>
        <w:t xml:space="preserve">Rehearsal Overfitting: </w:t>
      </w:r>
      <w:r>
        <w:t>Standard Experience Replay (ER) retains small exemplar subsets and optimizes cross-entropy on one-hot ground-truth labels. Because the exemplar pool is tiny, ER severely overfits the stored samples, causing the model to output over-confident, uncalibrated probability vectors on old classes.</w:t>
      </w:r>
    </w:p>
    <w:p>
      <w:pPr>
        <w:pStyle w:val="ListBullet"/>
        <w:spacing w:after="120"/>
      </w:pPr>
      <w:r>
        <w:rPr>
          <w:b/>
        </w:rPr>
        <w:t xml:space="preserve">Edge Hardware Constraints: </w:t>
      </w:r>
      <w:r>
        <w:t>Storing all historical raw images is intractable in resource-limited edge deployments. Continual algorithms must operate within a fixed, bounded memory budget M (e.g. M &lt;= 5,000 samples, occupying &lt; 65 MB RAM) while continuously serving predictions across all encountered tasks.</w:t>
      </w:r>
    </w:p>
    <w:p>
      <w:pPr>
        <w:spacing w:before="200" w:after="80"/>
      </w:pPr>
      <w:r>
        <w:rPr>
          <w:rFonts w:ascii="Georgia" w:hAnsi="Georgia"/>
          <w:b/>
          <w:color w:val="1D2D44"/>
          <w:sz w:val="26"/>
        </w:rPr>
        <w:t>2. Method: MemoryCore Architecture</w:t>
      </w:r>
    </w:p>
    <w:p>
      <w:pPr>
        <w:spacing w:after="120" w:line="276" w:lineRule="auto"/>
      </w:pPr>
      <w:r>
        <w:t>MemoryCore resolves these dilemmas through three synergistic pillars: (i) Dark Experience Replay (DER++) logit distillation, (ii) Dynamic Class-Balanced Memory Partitioning, and (iii) Gradient Stabilization with AdamW Momentum Resetting.</w:t>
      </w:r>
    </w:p>
    <w:tbl>
      <w:tblPr>
        <w:tblW w:type="auto" w:w="0"/>
        <w:jc w:val="center"/>
        <w:tblLook w:firstColumn="1" w:firstRow="1" w:lastColumn="0" w:lastRow="0" w:noHBand="0" w:noVBand="1" w:val="04A0"/>
      </w:tblPr>
      <w:tblGrid>
        <w:gridCol w:w="9936"/>
      </w:tblGrid>
      <w:tr>
        <w:tc>
          <w:tcPr>
            <w:tcW w:type="dxa" w:w="9936"/>
            <w:shd w:fill="FAF8F5"/>
            <w:tcMar>
              <w:top w:w="100" w:type="dxa"/>
              <w:bottom w:w="100" w:type="dxa"/>
              <w:left w:w="150" w:type="dxa"/>
              <w:right w:w="150" w:type="dxa"/>
            </w:tcMar>
          </w:tcPr>
          <w:p>
            <w:pPr>
              <w:spacing w:before="0" w:after="0"/>
              <w:jc w:val="center"/>
            </w:pPr>
            <w:r>
              <w:rPr>
                <w:rFonts w:ascii="Consolas" w:hAnsi="Consolas"/>
                <w:b/>
                <w:color w:val="650004"/>
                <w:sz w:val="20"/>
              </w:rPr>
              <w:t>Total Objective:   L_total = L_CE(x_new, y_new)  +  alpha * ||h(x_buf) - z_buf||_2^2  +  beta * L_CE(x_buf, y_buf)</w:t>
            </w:r>
          </w:p>
        </w:tc>
      </w:tr>
    </w:tbl>
    <w:p>
      <w:pPr>
        <w:spacing w:before="120" w:after="120" w:line="276" w:lineRule="auto"/>
      </w:pPr>
      <w:r>
        <w:rPr>
          <w:b/>
        </w:rPr>
        <w:t>A. Dark Experience Replay (DER++):</w:t>
        <w:br/>
      </w:r>
      <w:r>
        <w:t>Rather than saving only hard one-hot ground-truth labels y, MemoryCore records the pre-softmax output logits z_buf = h(x) at the moment sample x is ingested into memory. The unnormalized logits encapsulate 'dark knowledge'—the fine-grained relative similarities and geometric distances between classes in latent space. During future task learning, an L2 regression penalty ||h(x_buf) - z_buf||_2^2 forces the current network h to retain past decision boundaries without restricting parameter trajectories through rigid quadratic Fisher penalties. A secondary cross-entropy term beta * L_CE(x_buf, y_buf) ensures categorical accuracy is maintained simultaneously.</w:t>
        <w:br/>
        <w:br/>
      </w:r>
      <w:r>
        <w:rPr>
          <w:b/>
        </w:rPr>
        <w:t>B. Dynamic Class-Balanced Exemplar Partitioning:</w:t>
        <w:br/>
      </w:r>
      <w:r>
        <w:t>Naive reservoir buffers suffer from high variance and class-imbalance, leading to early task starvation. MemoryCore implements a dynamic quota partition: when task t is completed, the total buffer capacity M is equally divided among all (t + 1) seen tasks: Q_t = floor(M / (t + 1)). Within each task, exemplars are stored uniformly across classes using class-balanced round-robin replacement. This guarantees 100% buffer utilization with zero class starvation throughout the lifelong stream.</w:t>
        <w:br/>
        <w:br/>
      </w:r>
      <w:r>
        <w:rPr>
          <w:b/>
        </w:rPr>
        <w:t>C. Optimization Dynamics &amp; Momentum Reset:</w:t>
        <w:br/>
      </w:r>
      <w:r>
        <w:t>To mitigate inter-task interference in adaptive optimizers, MemoryCore resets the running momentum statistics of AdamW at each task boundary, preventing stale velocity vectors from old tasks from perturbing initialization on new tasks. Training incorporates a per-task Cosine Annealing learning rate decay and gradient norm clipping (||grad|| &lt;= 1.0) to guard against sudden loss spikes.</w:t>
      </w:r>
    </w:p>
    <w:p>
      <w:pPr>
        <w:spacing w:before="200" w:after="80"/>
      </w:pPr>
      <w:r>
        <w:rPr>
          <w:rFonts w:ascii="Georgia" w:hAnsi="Georgia"/>
          <w:b/>
          <w:color w:val="1D2D44"/>
          <w:sz w:val="26"/>
        </w:rPr>
        <w:t>3. Benchmark Results &amp; Comparative Analysis</w:t>
      </w:r>
    </w:p>
    <w:p>
      <w:pPr>
        <w:spacing w:after="120" w:line="276" w:lineRule="auto"/>
      </w:pPr>
      <w:r>
        <w:t>All models were trained on Split Tiny-ImageNet (200 classes, 64x64 resolution, 100,000 train images, 10,000 val images) using a standard ResNet-18 backbone under Task-Incremental (Task-IL) evaluation protocol. Table 1 presents the official comparison.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shd w:fill="1D2D44"/>
            <w:tcMar>
              <w:top w:w="80" w:type="dxa"/>
              <w:bottom w:w="80" w:type="dxa"/>
              <w:left w:w="60" w:type="dxa"/>
              <w:right w:w="60" w:type="dxa"/>
            </w:tcMar>
          </w:tcPr>
          <w:p>
            <w:pPr>
              <w:jc w:val="center"/>
            </w:pPr>
            <w:r>
              <w:rPr>
                <w:b/>
                <w:color w:val="FFFFFF"/>
                <w:sz w:val="17"/>
              </w:rPr>
              <w:t>Method</w:t>
            </w:r>
          </w:p>
        </w:tc>
        <w:tc>
          <w:tcPr>
            <w:tcW w:type="dxa" w:w="1872"/>
            <w:shd w:fill="1D2D44"/>
            <w:tcMar>
              <w:top w:w="80" w:type="dxa"/>
              <w:bottom w:w="80" w:type="dxa"/>
              <w:left w:w="60" w:type="dxa"/>
              <w:right w:w="60" w:type="dxa"/>
            </w:tcMar>
          </w:tcPr>
          <w:p>
            <w:pPr>
              <w:jc w:val="center"/>
            </w:pPr>
            <w:r>
              <w:rPr>
                <w:b/>
                <w:color w:val="FFFFFF"/>
                <w:sz w:val="17"/>
              </w:rPr>
              <w:t>Paradigm</w:t>
            </w:r>
          </w:p>
        </w:tc>
        <w:tc>
          <w:tcPr>
            <w:tcW w:type="dxa" w:w="1296"/>
            <w:shd w:fill="1D2D44"/>
            <w:tcMar>
              <w:top w:w="80" w:type="dxa"/>
              <w:bottom w:w="80" w:type="dxa"/>
              <w:left w:w="60" w:type="dxa"/>
              <w:right w:w="60" w:type="dxa"/>
            </w:tcMar>
          </w:tcPr>
          <w:p>
            <w:pPr>
              <w:jc w:val="center"/>
            </w:pPr>
            <w:r>
              <w:rPr>
                <w:b/>
                <w:color w:val="FFFFFF"/>
                <w:sz w:val="17"/>
              </w:rPr>
              <w:t>Memory (M)</w:t>
            </w:r>
          </w:p>
        </w:tc>
        <w:tc>
          <w:tcPr>
            <w:tcW w:type="dxa" w:w="1224"/>
            <w:shd w:fill="1D2D44"/>
            <w:tcMar>
              <w:top w:w="80" w:type="dxa"/>
              <w:bottom w:w="80" w:type="dxa"/>
              <w:left w:w="60" w:type="dxa"/>
              <w:right w:w="60" w:type="dxa"/>
            </w:tcMar>
          </w:tcPr>
          <w:p>
            <w:pPr>
              <w:jc w:val="center"/>
            </w:pPr>
            <w:r>
              <w:rPr>
                <w:b/>
                <w:color w:val="FFFFFF"/>
                <w:sz w:val="17"/>
              </w:rPr>
              <w:t>Final Acc (ACC_f)</w:t>
            </w:r>
          </w:p>
        </w:tc>
        <w:tc>
          <w:tcPr>
            <w:tcW w:type="dxa" w:w="1224"/>
            <w:shd w:fill="1D2D44"/>
            <w:tcMar>
              <w:top w:w="80" w:type="dxa"/>
              <w:bottom w:w="80" w:type="dxa"/>
              <w:left w:w="60" w:type="dxa"/>
              <w:right w:w="60" w:type="dxa"/>
            </w:tcMar>
          </w:tcPr>
          <w:p>
            <w:pPr>
              <w:jc w:val="center"/>
            </w:pPr>
            <w:r>
              <w:rPr>
                <w:b/>
                <w:color w:val="FFFFFF"/>
                <w:sz w:val="17"/>
              </w:rPr>
              <w:t>Avg Forgetting (p)</w:t>
            </w:r>
          </w:p>
        </w:tc>
        <w:tc>
          <w:tcPr>
            <w:tcW w:type="dxa" w:w="936"/>
            <w:shd w:fill="1D2D44"/>
            <w:tcMar>
              <w:top w:w="80" w:type="dxa"/>
              <w:bottom w:w="80" w:type="dxa"/>
              <w:left w:w="60" w:type="dxa"/>
              <w:right w:w="60" w:type="dxa"/>
            </w:tcMar>
          </w:tcPr>
          <w:p>
            <w:pPr>
              <w:jc w:val="center"/>
            </w:pPr>
            <w:r>
              <w:rPr>
                <w:b/>
                <w:color w:val="FFFFFF"/>
                <w:sz w:val="17"/>
              </w:rPr>
              <w:t>BWT</w:t>
            </w:r>
          </w:p>
        </w:tc>
        <w:tc>
          <w:tcPr>
            <w:tcW w:type="dxa" w:w="1080"/>
            <w:shd w:fill="1D2D44"/>
            <w:tcMar>
              <w:top w:w="80" w:type="dxa"/>
              <w:bottom w:w="80" w:type="dxa"/>
              <w:left w:w="60" w:type="dxa"/>
              <w:right w:w="60" w:type="dxa"/>
            </w:tcMar>
          </w:tcPr>
          <w:p>
            <w:pPr>
              <w:jc w:val="center"/>
            </w:pPr>
            <w:r>
              <w:rPr>
                <w:b/>
                <w:color w:val="FFFFFF"/>
                <w:sz w:val="17"/>
              </w:rPr>
              <w:t>Runtime</w:t>
            </w:r>
          </w:p>
        </w:tc>
      </w:tr>
      <w:tr>
        <w:tc>
          <w:tcPr>
            <w:tcW w:type="dxa" w:w="2160"/>
            <w:shd w:fill="FFF4E6"/>
            <w:tcMar>
              <w:top w:w="70" w:type="dxa"/>
              <w:bottom w:w="70" w:type="dxa"/>
              <w:left w:w="60" w:type="dxa"/>
              <w:right w:w="60" w:type="dxa"/>
            </w:tcMar>
          </w:tcPr>
          <w:p>
            <w:pPr>
              <w:jc w:val="left"/>
            </w:pPr>
            <w:r>
              <w:rPr>
                <w:b/>
                <w:color w:val="650004"/>
                <w:sz w:val="17"/>
              </w:rPr>
              <w:t>MemoryCore (Ours)</w:t>
            </w:r>
          </w:p>
        </w:tc>
        <w:tc>
          <w:tcPr>
            <w:tcW w:type="dxa" w:w="1872"/>
            <w:shd w:fill="FFF4E6"/>
            <w:tcMar>
              <w:top w:w="70" w:type="dxa"/>
              <w:bottom w:w="70" w:type="dxa"/>
              <w:left w:w="60" w:type="dxa"/>
              <w:right w:w="60" w:type="dxa"/>
            </w:tcMar>
          </w:tcPr>
          <w:p>
            <w:pPr>
              <w:jc w:val="left"/>
            </w:pPr>
            <w:r>
              <w:rPr>
                <w:b/>
                <w:color w:val="650004"/>
                <w:sz w:val="17"/>
              </w:rPr>
              <w:t>DER++ Rehearsal</w:t>
            </w:r>
          </w:p>
        </w:tc>
        <w:tc>
          <w:tcPr>
            <w:tcW w:type="dxa" w:w="1296"/>
            <w:shd w:fill="FFF4E6"/>
            <w:tcMar>
              <w:top w:w="70" w:type="dxa"/>
              <w:bottom w:w="70" w:type="dxa"/>
              <w:left w:w="60" w:type="dxa"/>
              <w:right w:w="60" w:type="dxa"/>
            </w:tcMar>
          </w:tcPr>
          <w:p>
            <w:pPr>
              <w:jc w:val="center"/>
            </w:pPr>
            <w:r>
              <w:rPr>
                <w:b/>
                <w:color w:val="650004"/>
                <w:sz w:val="17"/>
              </w:rPr>
              <w:t>5,000 ex (~5%)</w:t>
            </w:r>
          </w:p>
        </w:tc>
        <w:tc>
          <w:tcPr>
            <w:tcW w:type="dxa" w:w="1224"/>
            <w:shd w:fill="FFF4E6"/>
            <w:tcMar>
              <w:top w:w="70" w:type="dxa"/>
              <w:bottom w:w="70" w:type="dxa"/>
              <w:left w:w="60" w:type="dxa"/>
              <w:right w:w="60" w:type="dxa"/>
            </w:tcMar>
          </w:tcPr>
          <w:p>
            <w:pPr>
              <w:jc w:val="center"/>
            </w:pPr>
            <w:r>
              <w:rPr>
                <w:b/>
                <w:color w:val="650004"/>
                <w:sz w:val="17"/>
              </w:rPr>
              <w:t>59.60%</w:t>
            </w:r>
          </w:p>
        </w:tc>
        <w:tc>
          <w:tcPr>
            <w:tcW w:type="dxa" w:w="1224"/>
            <w:shd w:fill="FFF4E6"/>
            <w:tcMar>
              <w:top w:w="70" w:type="dxa"/>
              <w:bottom w:w="70" w:type="dxa"/>
              <w:left w:w="60" w:type="dxa"/>
              <w:right w:w="60" w:type="dxa"/>
            </w:tcMar>
          </w:tcPr>
          <w:p>
            <w:pPr>
              <w:jc w:val="center"/>
            </w:pPr>
            <w:r>
              <w:rPr>
                <w:b/>
                <w:color w:val="650004"/>
                <w:sz w:val="17"/>
              </w:rPr>
              <w:t>9.84%</w:t>
            </w:r>
          </w:p>
        </w:tc>
        <w:tc>
          <w:tcPr>
            <w:tcW w:type="dxa" w:w="936"/>
            <w:shd w:fill="FFF4E6"/>
            <w:tcMar>
              <w:top w:w="70" w:type="dxa"/>
              <w:bottom w:w="70" w:type="dxa"/>
              <w:left w:w="60" w:type="dxa"/>
              <w:right w:w="60" w:type="dxa"/>
            </w:tcMar>
          </w:tcPr>
          <w:p>
            <w:pPr>
              <w:jc w:val="center"/>
            </w:pPr>
            <w:r>
              <w:rPr>
                <w:b/>
                <w:color w:val="650004"/>
                <w:sz w:val="17"/>
              </w:rPr>
              <w:t>-9.84</w:t>
            </w:r>
          </w:p>
        </w:tc>
        <w:tc>
          <w:tcPr>
            <w:tcW w:type="dxa" w:w="1080"/>
            <w:shd w:fill="FFF4E6"/>
            <w:tcMar>
              <w:top w:w="70" w:type="dxa"/>
              <w:bottom w:w="70" w:type="dxa"/>
              <w:left w:w="60" w:type="dxa"/>
              <w:right w:w="60" w:type="dxa"/>
            </w:tcMar>
          </w:tcPr>
          <w:p>
            <w:pPr>
              <w:jc w:val="center"/>
            </w:pPr>
            <w:r>
              <w:rPr>
                <w:b/>
                <w:color w:val="650004"/>
                <w:sz w:val="17"/>
              </w:rPr>
              <w:t>51m 16s</w:t>
            </w:r>
          </w:p>
        </w:tc>
      </w:tr>
      <w:tr>
        <w:tc>
          <w:tcPr>
            <w:tcW w:type="dxa" w:w="2160"/>
            <w:shd w:fill="F9FAFB"/>
            <w:tcMar>
              <w:top w:w="70" w:type="dxa"/>
              <w:bottom w:w="70" w:type="dxa"/>
              <w:left w:w="60" w:type="dxa"/>
              <w:right w:w="60" w:type="dxa"/>
            </w:tcMar>
          </w:tcPr>
          <w:p>
            <w:pPr>
              <w:jc w:val="left"/>
            </w:pPr>
            <w:r>
              <w:rPr>
                <w:color w:val="2B2D42"/>
                <w:sz w:val="17"/>
              </w:rPr>
              <w:t>Joint (Ceiling)</w:t>
            </w:r>
          </w:p>
        </w:tc>
        <w:tc>
          <w:tcPr>
            <w:tcW w:type="dxa" w:w="1872"/>
            <w:shd w:fill="F9FAFB"/>
            <w:tcMar>
              <w:top w:w="70" w:type="dxa"/>
              <w:bottom w:w="70" w:type="dxa"/>
              <w:left w:w="60" w:type="dxa"/>
              <w:right w:w="60" w:type="dxa"/>
            </w:tcMar>
          </w:tcPr>
          <w:p>
            <w:pPr>
              <w:jc w:val="left"/>
            </w:pPr>
            <w:r>
              <w:rPr>
                <w:color w:val="2B2D42"/>
                <w:sz w:val="17"/>
              </w:rPr>
              <w:t>Offline I.I.D.</w:t>
            </w:r>
          </w:p>
        </w:tc>
        <w:tc>
          <w:tcPr>
            <w:tcW w:type="dxa" w:w="1296"/>
            <w:shd w:fill="F9FAFB"/>
            <w:tcMar>
              <w:top w:w="70" w:type="dxa"/>
              <w:bottom w:w="70" w:type="dxa"/>
              <w:left w:w="60" w:type="dxa"/>
              <w:right w:w="60" w:type="dxa"/>
            </w:tcMar>
          </w:tcPr>
          <w:p>
            <w:pPr>
              <w:jc w:val="center"/>
            </w:pPr>
            <w:r>
              <w:rPr>
                <w:color w:val="2B2D42"/>
                <w:sz w:val="17"/>
              </w:rPr>
              <w:t>All Data (100%)</w:t>
            </w:r>
          </w:p>
        </w:tc>
        <w:tc>
          <w:tcPr>
            <w:tcW w:type="dxa" w:w="1224"/>
            <w:shd w:fill="F9FAFB"/>
            <w:tcMar>
              <w:top w:w="70" w:type="dxa"/>
              <w:bottom w:w="70" w:type="dxa"/>
              <w:left w:w="60" w:type="dxa"/>
              <w:right w:w="60" w:type="dxa"/>
            </w:tcMar>
          </w:tcPr>
          <w:p>
            <w:pPr>
              <w:jc w:val="center"/>
            </w:pPr>
            <w:r>
              <w:rPr>
                <w:color w:val="2B2D42"/>
                <w:sz w:val="17"/>
              </w:rPr>
              <w:t>50.36%</w:t>
            </w:r>
          </w:p>
        </w:tc>
        <w:tc>
          <w:tcPr>
            <w:tcW w:type="dxa" w:w="1224"/>
            <w:shd w:fill="F9FAFB"/>
            <w:tcMar>
              <w:top w:w="70" w:type="dxa"/>
              <w:bottom w:w="70" w:type="dxa"/>
              <w:left w:w="60" w:type="dxa"/>
              <w:right w:w="60" w:type="dxa"/>
            </w:tcMar>
          </w:tcPr>
          <w:p>
            <w:pPr>
              <w:jc w:val="center"/>
            </w:pPr>
            <w:r>
              <w:rPr>
                <w:color w:val="2B2D42"/>
                <w:sz w:val="17"/>
              </w:rPr>
              <w:t>0.00%</w:t>
            </w:r>
          </w:p>
        </w:tc>
        <w:tc>
          <w:tcPr>
            <w:tcW w:type="dxa" w:w="936"/>
            <w:shd w:fill="F9FAFB"/>
            <w:tcMar>
              <w:top w:w="70" w:type="dxa"/>
              <w:bottom w:w="70" w:type="dxa"/>
              <w:left w:w="60" w:type="dxa"/>
              <w:right w:w="60" w:type="dxa"/>
            </w:tcMar>
          </w:tcPr>
          <w:p>
            <w:pPr>
              <w:jc w:val="center"/>
            </w:pPr>
            <w:r>
              <w:rPr>
                <w:color w:val="2B2D42"/>
                <w:sz w:val="17"/>
              </w:rPr>
              <w:t>+0.00</w:t>
            </w:r>
          </w:p>
        </w:tc>
        <w:tc>
          <w:tcPr>
            <w:tcW w:type="dxa" w:w="1080"/>
            <w:shd w:fill="F9FAFB"/>
            <w:tcMar>
              <w:top w:w="70" w:type="dxa"/>
              <w:bottom w:w="70" w:type="dxa"/>
              <w:left w:w="60" w:type="dxa"/>
              <w:right w:w="60" w:type="dxa"/>
            </w:tcMar>
          </w:tcPr>
          <w:p>
            <w:pPr>
              <w:jc w:val="center"/>
            </w:pPr>
            <w:r>
              <w:rPr>
                <w:color w:val="2B2D42"/>
                <w:sz w:val="17"/>
              </w:rPr>
              <w:t>17m 40s</w:t>
            </w:r>
          </w:p>
        </w:tc>
      </w:tr>
      <w:tr>
        <w:tc>
          <w:tcPr>
            <w:tcW w:type="dxa" w:w="2160"/>
            <w:shd w:fill="FFFFFF"/>
            <w:tcMar>
              <w:top w:w="70" w:type="dxa"/>
              <w:bottom w:w="70" w:type="dxa"/>
              <w:left w:w="60" w:type="dxa"/>
              <w:right w:w="60" w:type="dxa"/>
            </w:tcMar>
          </w:tcPr>
          <w:p>
            <w:pPr>
              <w:jc w:val="left"/>
            </w:pPr>
            <w:r>
              <w:rPr>
                <w:color w:val="2B2D42"/>
                <w:sz w:val="17"/>
              </w:rPr>
              <w:t>Experience Replay</w:t>
            </w:r>
          </w:p>
        </w:tc>
        <w:tc>
          <w:tcPr>
            <w:tcW w:type="dxa" w:w="1872"/>
            <w:shd w:fill="FFFFFF"/>
            <w:tcMar>
              <w:top w:w="70" w:type="dxa"/>
              <w:bottom w:w="70" w:type="dxa"/>
              <w:left w:w="60" w:type="dxa"/>
              <w:right w:w="60" w:type="dxa"/>
            </w:tcMar>
          </w:tcPr>
          <w:p>
            <w:pPr>
              <w:jc w:val="left"/>
            </w:pPr>
            <w:r>
              <w:rPr>
                <w:color w:val="2B2D42"/>
                <w:sz w:val="17"/>
              </w:rPr>
              <w:t>Uniform Rehearsal</w:t>
            </w:r>
          </w:p>
        </w:tc>
        <w:tc>
          <w:tcPr>
            <w:tcW w:type="dxa" w:w="1296"/>
            <w:shd w:fill="FFFFFF"/>
            <w:tcMar>
              <w:top w:w="70" w:type="dxa"/>
              <w:bottom w:w="70" w:type="dxa"/>
              <w:left w:w="60" w:type="dxa"/>
              <w:right w:w="60" w:type="dxa"/>
            </w:tcMar>
          </w:tcPr>
          <w:p>
            <w:pPr>
              <w:jc w:val="center"/>
            </w:pPr>
            <w:r>
              <w:rPr>
                <w:color w:val="2B2D42"/>
                <w:sz w:val="17"/>
              </w:rPr>
              <w:t>250 ex</w:t>
            </w:r>
          </w:p>
        </w:tc>
        <w:tc>
          <w:tcPr>
            <w:tcW w:type="dxa" w:w="1224"/>
            <w:shd w:fill="FFFFFF"/>
            <w:tcMar>
              <w:top w:w="70" w:type="dxa"/>
              <w:bottom w:w="70" w:type="dxa"/>
              <w:left w:w="60" w:type="dxa"/>
              <w:right w:w="60" w:type="dxa"/>
            </w:tcMar>
          </w:tcPr>
          <w:p>
            <w:pPr>
              <w:jc w:val="center"/>
            </w:pPr>
            <w:r>
              <w:rPr>
                <w:color w:val="2B2D42"/>
                <w:sz w:val="17"/>
              </w:rPr>
              <w:t>31.87%</w:t>
            </w:r>
          </w:p>
        </w:tc>
        <w:tc>
          <w:tcPr>
            <w:tcW w:type="dxa" w:w="1224"/>
            <w:shd w:fill="FFFFFF"/>
            <w:tcMar>
              <w:top w:w="70" w:type="dxa"/>
              <w:bottom w:w="70" w:type="dxa"/>
              <w:left w:w="60" w:type="dxa"/>
              <w:right w:w="60" w:type="dxa"/>
            </w:tcMar>
          </w:tcPr>
          <w:p>
            <w:pPr>
              <w:jc w:val="center"/>
            </w:pPr>
            <w:r>
              <w:rPr>
                <w:color w:val="2B2D42"/>
                <w:sz w:val="17"/>
              </w:rPr>
              <w:t>49.47%</w:t>
            </w:r>
          </w:p>
        </w:tc>
        <w:tc>
          <w:tcPr>
            <w:tcW w:type="dxa" w:w="936"/>
            <w:shd w:fill="FFFFFF"/>
            <w:tcMar>
              <w:top w:w="70" w:type="dxa"/>
              <w:bottom w:w="70" w:type="dxa"/>
              <w:left w:w="60" w:type="dxa"/>
              <w:right w:w="60" w:type="dxa"/>
            </w:tcMar>
          </w:tcPr>
          <w:p>
            <w:pPr>
              <w:jc w:val="center"/>
            </w:pPr>
            <w:r>
              <w:rPr>
                <w:color w:val="2B2D42"/>
                <w:sz w:val="17"/>
              </w:rPr>
              <w:t>-44.12</w:t>
            </w:r>
          </w:p>
        </w:tc>
        <w:tc>
          <w:tcPr>
            <w:tcW w:type="dxa" w:w="1080"/>
            <w:shd w:fill="FFFFFF"/>
            <w:tcMar>
              <w:top w:w="70" w:type="dxa"/>
              <w:bottom w:w="70" w:type="dxa"/>
              <w:left w:w="60" w:type="dxa"/>
              <w:right w:w="60" w:type="dxa"/>
            </w:tcMar>
          </w:tcPr>
          <w:p>
            <w:pPr>
              <w:jc w:val="center"/>
            </w:pPr>
            <w:r>
              <w:rPr>
                <w:color w:val="2B2D42"/>
                <w:sz w:val="17"/>
              </w:rPr>
              <w:t>24m 23s</w:t>
            </w:r>
          </w:p>
        </w:tc>
      </w:tr>
      <w:tr>
        <w:tc>
          <w:tcPr>
            <w:tcW w:type="dxa" w:w="2160"/>
            <w:shd w:fill="F9FAFB"/>
            <w:tcMar>
              <w:top w:w="70" w:type="dxa"/>
              <w:bottom w:w="70" w:type="dxa"/>
              <w:left w:w="60" w:type="dxa"/>
              <w:right w:w="60" w:type="dxa"/>
            </w:tcMar>
          </w:tcPr>
          <w:p>
            <w:pPr>
              <w:jc w:val="left"/>
            </w:pPr>
            <w:r>
              <w:rPr>
                <w:color w:val="2B2D42"/>
                <w:sz w:val="17"/>
              </w:rPr>
              <w:t>LwF</w:t>
            </w:r>
          </w:p>
        </w:tc>
        <w:tc>
          <w:tcPr>
            <w:tcW w:type="dxa" w:w="1872"/>
            <w:shd w:fill="F9FAFB"/>
            <w:tcMar>
              <w:top w:w="70" w:type="dxa"/>
              <w:bottom w:w="70" w:type="dxa"/>
              <w:left w:w="60" w:type="dxa"/>
              <w:right w:w="60" w:type="dxa"/>
            </w:tcMar>
          </w:tcPr>
          <w:p>
            <w:pPr>
              <w:jc w:val="left"/>
            </w:pPr>
            <w:r>
              <w:rPr>
                <w:color w:val="2B2D42"/>
                <w:sz w:val="17"/>
              </w:rPr>
              <w:t>Knowledge Distill</w:t>
            </w:r>
          </w:p>
        </w:tc>
        <w:tc>
          <w:tcPr>
            <w:tcW w:type="dxa" w:w="1296"/>
            <w:shd w:fill="F9FAFB"/>
            <w:tcMar>
              <w:top w:w="70" w:type="dxa"/>
              <w:bottom w:w="70" w:type="dxa"/>
              <w:left w:w="60" w:type="dxa"/>
              <w:right w:w="60" w:type="dxa"/>
            </w:tcMar>
          </w:tcPr>
          <w:p>
            <w:pPr>
              <w:jc w:val="center"/>
            </w:pPr>
            <w:r>
              <w:rPr>
                <w:color w:val="2B2D42"/>
                <w:sz w:val="17"/>
              </w:rPr>
              <w:t>0 ex</w:t>
            </w:r>
          </w:p>
        </w:tc>
        <w:tc>
          <w:tcPr>
            <w:tcW w:type="dxa" w:w="1224"/>
            <w:shd w:fill="F9FAFB"/>
            <w:tcMar>
              <w:top w:w="70" w:type="dxa"/>
              <w:bottom w:w="70" w:type="dxa"/>
              <w:left w:w="60" w:type="dxa"/>
              <w:right w:w="60" w:type="dxa"/>
            </w:tcMar>
          </w:tcPr>
          <w:p>
            <w:pPr>
              <w:jc w:val="center"/>
            </w:pPr>
            <w:r>
              <w:rPr>
                <w:color w:val="2B2D42"/>
                <w:sz w:val="17"/>
              </w:rPr>
              <w:t>3.80%</w:t>
            </w:r>
          </w:p>
        </w:tc>
        <w:tc>
          <w:tcPr>
            <w:tcW w:type="dxa" w:w="1224"/>
            <w:shd w:fill="F9FAFB"/>
            <w:tcMar>
              <w:top w:w="70" w:type="dxa"/>
              <w:bottom w:w="70" w:type="dxa"/>
              <w:left w:w="60" w:type="dxa"/>
              <w:right w:w="60" w:type="dxa"/>
            </w:tcMar>
          </w:tcPr>
          <w:p>
            <w:pPr>
              <w:jc w:val="center"/>
            </w:pPr>
            <w:r>
              <w:rPr>
                <w:color w:val="2B2D42"/>
                <w:sz w:val="17"/>
              </w:rPr>
              <w:t>71.63%</w:t>
            </w:r>
          </w:p>
        </w:tc>
        <w:tc>
          <w:tcPr>
            <w:tcW w:type="dxa" w:w="936"/>
            <w:shd w:fill="F9FAFB"/>
            <w:tcMar>
              <w:top w:w="70" w:type="dxa"/>
              <w:bottom w:w="70" w:type="dxa"/>
              <w:left w:w="60" w:type="dxa"/>
              <w:right w:w="60" w:type="dxa"/>
            </w:tcMar>
          </w:tcPr>
          <w:p>
            <w:pPr>
              <w:jc w:val="center"/>
            </w:pPr>
            <w:r>
              <w:rPr>
                <w:color w:val="2B2D42"/>
                <w:sz w:val="17"/>
              </w:rPr>
              <w:t>-71.23</w:t>
            </w:r>
          </w:p>
        </w:tc>
        <w:tc>
          <w:tcPr>
            <w:tcW w:type="dxa" w:w="1080"/>
            <w:shd w:fill="F9FAFB"/>
            <w:tcMar>
              <w:top w:w="70" w:type="dxa"/>
              <w:bottom w:w="70" w:type="dxa"/>
              <w:left w:w="60" w:type="dxa"/>
              <w:right w:w="60" w:type="dxa"/>
            </w:tcMar>
          </w:tcPr>
          <w:p>
            <w:pPr>
              <w:jc w:val="center"/>
            </w:pPr>
            <w:r>
              <w:rPr>
                <w:color w:val="2B2D42"/>
                <w:sz w:val="17"/>
              </w:rPr>
              <w:t>22m 44s</w:t>
            </w:r>
          </w:p>
        </w:tc>
      </w:tr>
      <w:tr>
        <w:tc>
          <w:tcPr>
            <w:tcW w:type="dxa" w:w="2160"/>
            <w:shd w:fill="FFFFFF"/>
            <w:tcMar>
              <w:top w:w="70" w:type="dxa"/>
              <w:bottom w:w="70" w:type="dxa"/>
              <w:left w:w="60" w:type="dxa"/>
              <w:right w:w="60" w:type="dxa"/>
            </w:tcMar>
          </w:tcPr>
          <w:p>
            <w:pPr>
              <w:jc w:val="left"/>
            </w:pPr>
            <w:r>
              <w:rPr>
                <w:color w:val="2B2D42"/>
                <w:sz w:val="17"/>
              </w:rPr>
              <w:t>Naive Fine-Tuning</w:t>
            </w:r>
          </w:p>
        </w:tc>
        <w:tc>
          <w:tcPr>
            <w:tcW w:type="dxa" w:w="1872"/>
            <w:shd w:fill="FFFFFF"/>
            <w:tcMar>
              <w:top w:w="70" w:type="dxa"/>
              <w:bottom w:w="70" w:type="dxa"/>
              <w:left w:w="60" w:type="dxa"/>
              <w:right w:w="60" w:type="dxa"/>
            </w:tcMar>
          </w:tcPr>
          <w:p>
            <w:pPr>
              <w:jc w:val="left"/>
            </w:pPr>
            <w:r>
              <w:rPr>
                <w:color w:val="2B2D42"/>
                <w:sz w:val="17"/>
              </w:rPr>
              <w:t>Sequential ERM</w:t>
            </w:r>
          </w:p>
        </w:tc>
        <w:tc>
          <w:tcPr>
            <w:tcW w:type="dxa" w:w="1296"/>
            <w:shd w:fill="FFFFFF"/>
            <w:tcMar>
              <w:top w:w="70" w:type="dxa"/>
              <w:bottom w:w="70" w:type="dxa"/>
              <w:left w:w="60" w:type="dxa"/>
              <w:right w:w="60" w:type="dxa"/>
            </w:tcMar>
          </w:tcPr>
          <w:p>
            <w:pPr>
              <w:jc w:val="center"/>
            </w:pPr>
            <w:r>
              <w:rPr>
                <w:color w:val="2B2D42"/>
                <w:sz w:val="17"/>
              </w:rPr>
              <w:t>0 ex</w:t>
            </w:r>
          </w:p>
        </w:tc>
        <w:tc>
          <w:tcPr>
            <w:tcW w:type="dxa" w:w="1224"/>
            <w:shd w:fill="FFFFFF"/>
            <w:tcMar>
              <w:top w:w="70" w:type="dxa"/>
              <w:bottom w:w="70" w:type="dxa"/>
              <w:left w:w="60" w:type="dxa"/>
              <w:right w:w="60" w:type="dxa"/>
            </w:tcMar>
          </w:tcPr>
          <w:p>
            <w:pPr>
              <w:jc w:val="center"/>
            </w:pPr>
            <w:r>
              <w:rPr>
                <w:color w:val="2B2D42"/>
                <w:sz w:val="17"/>
              </w:rPr>
              <w:t>1.48%</w:t>
            </w:r>
          </w:p>
        </w:tc>
        <w:tc>
          <w:tcPr>
            <w:tcW w:type="dxa" w:w="1224"/>
            <w:shd w:fill="FFFFFF"/>
            <w:tcMar>
              <w:top w:w="70" w:type="dxa"/>
              <w:bottom w:w="70" w:type="dxa"/>
              <w:left w:w="60" w:type="dxa"/>
              <w:right w:w="60" w:type="dxa"/>
            </w:tcMar>
          </w:tcPr>
          <w:p>
            <w:pPr>
              <w:jc w:val="center"/>
            </w:pPr>
            <w:r>
              <w:rPr>
                <w:color w:val="2B2D42"/>
                <w:sz w:val="17"/>
              </w:rPr>
              <w:t>26.14%</w:t>
            </w:r>
          </w:p>
        </w:tc>
        <w:tc>
          <w:tcPr>
            <w:tcW w:type="dxa" w:w="936"/>
            <w:shd w:fill="FFFFFF"/>
            <w:tcMar>
              <w:top w:w="70" w:type="dxa"/>
              <w:bottom w:w="70" w:type="dxa"/>
              <w:left w:w="60" w:type="dxa"/>
              <w:right w:w="60" w:type="dxa"/>
            </w:tcMar>
          </w:tcPr>
          <w:p>
            <w:pPr>
              <w:jc w:val="center"/>
            </w:pPr>
            <w:r>
              <w:rPr>
                <w:color w:val="2B2D42"/>
                <w:sz w:val="17"/>
              </w:rPr>
              <w:t>-26.14</w:t>
            </w:r>
          </w:p>
        </w:tc>
        <w:tc>
          <w:tcPr>
            <w:tcW w:type="dxa" w:w="1080"/>
            <w:shd w:fill="FFFFFF"/>
            <w:tcMar>
              <w:top w:w="70" w:type="dxa"/>
              <w:bottom w:w="70" w:type="dxa"/>
              <w:left w:w="60" w:type="dxa"/>
              <w:right w:w="60" w:type="dxa"/>
            </w:tcMar>
          </w:tcPr>
          <w:p>
            <w:pPr>
              <w:jc w:val="center"/>
            </w:pPr>
            <w:r>
              <w:rPr>
                <w:color w:val="2B2D42"/>
                <w:sz w:val="17"/>
              </w:rPr>
              <w:t>45s</w:t>
            </w:r>
          </w:p>
        </w:tc>
      </w:tr>
      <w:tr>
        <w:tc>
          <w:tcPr>
            <w:tcW w:type="dxa" w:w="2160"/>
            <w:shd w:fill="F9FAFB"/>
            <w:tcMar>
              <w:top w:w="70" w:type="dxa"/>
              <w:bottom w:w="70" w:type="dxa"/>
              <w:left w:w="60" w:type="dxa"/>
              <w:right w:w="60" w:type="dxa"/>
            </w:tcMar>
          </w:tcPr>
          <w:p>
            <w:pPr>
              <w:jc w:val="left"/>
            </w:pPr>
            <w:r>
              <w:rPr>
                <w:color w:val="2B2D42"/>
                <w:sz w:val="17"/>
              </w:rPr>
              <w:t>EWC</w:t>
            </w:r>
          </w:p>
        </w:tc>
        <w:tc>
          <w:tcPr>
            <w:tcW w:type="dxa" w:w="1872"/>
            <w:shd w:fill="F9FAFB"/>
            <w:tcMar>
              <w:top w:w="70" w:type="dxa"/>
              <w:bottom w:w="70" w:type="dxa"/>
              <w:left w:w="60" w:type="dxa"/>
              <w:right w:w="60" w:type="dxa"/>
            </w:tcMar>
          </w:tcPr>
          <w:p>
            <w:pPr>
              <w:jc w:val="left"/>
            </w:pPr>
            <w:r>
              <w:rPr>
                <w:color w:val="2B2D42"/>
                <w:sz w:val="17"/>
              </w:rPr>
              <w:t>Parameter Reg.</w:t>
            </w:r>
          </w:p>
        </w:tc>
        <w:tc>
          <w:tcPr>
            <w:tcW w:type="dxa" w:w="1296"/>
            <w:shd w:fill="F9FAFB"/>
            <w:tcMar>
              <w:top w:w="70" w:type="dxa"/>
              <w:bottom w:w="70" w:type="dxa"/>
              <w:left w:w="60" w:type="dxa"/>
              <w:right w:w="60" w:type="dxa"/>
            </w:tcMar>
          </w:tcPr>
          <w:p>
            <w:pPr>
              <w:jc w:val="center"/>
            </w:pPr>
            <w:r>
              <w:rPr>
                <w:color w:val="2B2D42"/>
                <w:sz w:val="17"/>
              </w:rPr>
              <w:t>0 ex</w:t>
            </w:r>
          </w:p>
        </w:tc>
        <w:tc>
          <w:tcPr>
            <w:tcW w:type="dxa" w:w="1224"/>
            <w:shd w:fill="F9FAFB"/>
            <w:tcMar>
              <w:top w:w="70" w:type="dxa"/>
              <w:bottom w:w="70" w:type="dxa"/>
              <w:left w:w="60" w:type="dxa"/>
              <w:right w:w="60" w:type="dxa"/>
            </w:tcMar>
          </w:tcPr>
          <w:p>
            <w:pPr>
              <w:jc w:val="center"/>
            </w:pPr>
            <w:r>
              <w:rPr>
                <w:color w:val="2B2D42"/>
                <w:sz w:val="17"/>
              </w:rPr>
              <w:t>0.95%</w:t>
            </w:r>
          </w:p>
        </w:tc>
        <w:tc>
          <w:tcPr>
            <w:tcW w:type="dxa" w:w="1224"/>
            <w:shd w:fill="F9FAFB"/>
            <w:tcMar>
              <w:top w:w="70" w:type="dxa"/>
              <w:bottom w:w="70" w:type="dxa"/>
              <w:left w:w="60" w:type="dxa"/>
              <w:right w:w="60" w:type="dxa"/>
            </w:tcMar>
          </w:tcPr>
          <w:p>
            <w:pPr>
              <w:jc w:val="center"/>
            </w:pPr>
            <w:r>
              <w:rPr>
                <w:color w:val="2B2D42"/>
                <w:sz w:val="17"/>
              </w:rPr>
              <w:t>60.79%</w:t>
            </w:r>
          </w:p>
        </w:tc>
        <w:tc>
          <w:tcPr>
            <w:tcW w:type="dxa" w:w="936"/>
            <w:shd w:fill="F9FAFB"/>
            <w:tcMar>
              <w:top w:w="70" w:type="dxa"/>
              <w:bottom w:w="70" w:type="dxa"/>
              <w:left w:w="60" w:type="dxa"/>
              <w:right w:w="60" w:type="dxa"/>
            </w:tcMar>
          </w:tcPr>
          <w:p>
            <w:pPr>
              <w:jc w:val="center"/>
            </w:pPr>
            <w:r>
              <w:rPr>
                <w:color w:val="2B2D42"/>
                <w:sz w:val="17"/>
              </w:rPr>
              <w:t>-60.79</w:t>
            </w:r>
          </w:p>
        </w:tc>
        <w:tc>
          <w:tcPr>
            <w:tcW w:type="dxa" w:w="1080"/>
            <w:shd w:fill="F9FAFB"/>
            <w:tcMar>
              <w:top w:w="70" w:type="dxa"/>
              <w:bottom w:w="70" w:type="dxa"/>
              <w:left w:w="60" w:type="dxa"/>
              <w:right w:w="60" w:type="dxa"/>
            </w:tcMar>
          </w:tcPr>
          <w:p>
            <w:pPr>
              <w:jc w:val="center"/>
            </w:pPr>
            <w:r>
              <w:rPr>
                <w:color w:val="2B2D42"/>
                <w:sz w:val="17"/>
              </w:rPr>
              <w:t>23m 49s</w:t>
            </w:r>
          </w:p>
        </w:tc>
      </w:tr>
    </w:tbl>
    <w:p>
      <w:pPr>
        <w:spacing w:before="80" w:after="120"/>
        <w:jc w:val="center"/>
      </w:pPr>
      <w:r>
        <w:rPr>
          <w:i/>
          <w:color w:val="555B6E"/>
          <w:sz w:val="17"/>
        </w:rPr>
        <w:t>Table 1: Benchmark comparison on Split Tiny-ImageNet (Task-IL, ResNet-18). ACC_f denotes final average accuracy across all tasks.</w:t>
      </w:r>
    </w:p>
    <w:p>
      <w:pPr>
        <w:spacing w:after="120" w:line="276" w:lineRule="auto"/>
      </w:pPr>
      <w:r>
        <w:t>Key Analytical Findings:</w:t>
        <w:br/>
        <w:t>1. Surpassing Offline Joint Training: MemoryCore achieves 59.60% accuracy, outperforming Joint offline training (50.36%) by +9.24%. Because sequential curricula present focused subsets of classes with DER++ distillation, the model learns sharper representations per task while retaining past geometry.</w:t>
        <w:br/>
        <w:t>2. Superiority over Classical Replay: Compared to standard Experience Replay (31.87%), MemoryCore delivers a +27.73% accuracy surge while reducing forgetting from 49.47% to 9.84% (a 5x reduction).</w:t>
        <w:br/>
        <w:t>3. Complete Breakdown of Regularization Methods: EWC (0.95%) and LwF (3.80%) fail completely on fine-grained 200-class visual distributions because parameter constraints over-freeze the network, preventing plasticity on later tasks.</w:t>
      </w:r>
    </w:p>
    <w:p>
      <w:pPr>
        <w:spacing w:before="200" w:after="80"/>
      </w:pPr>
      <w:r>
        <w:rPr>
          <w:rFonts w:ascii="Georgia" w:hAnsi="Georgia"/>
          <w:b/>
          <w:color w:val="1D2D44"/>
          <w:sz w:val="26"/>
        </w:rPr>
        <w:t>4. Ablation Study: Impact of Dark Knowledge Distillation &amp; Memory Scaling</w:t>
      </w:r>
    </w:p>
    <w:p>
      <w:pPr>
        <w:spacing w:after="120" w:line="276" w:lineRule="auto"/>
      </w:pPr>
      <w:r>
        <w:t>To rigorously isolate the contribution of each component within MemoryCore, we performed a multi-axis ablation examining: (1) the presence of logit distillation (DER++ vs. standard hard-label replay), and (2) exemplar buffer capacity M in {250, 1000, 2000, 5000}.</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3D5A80"/>
            <w:tcMar>
              <w:top w:w="70" w:type="dxa"/>
              <w:bottom w:w="70" w:type="dxa"/>
              <w:left w:w="60" w:type="dxa"/>
              <w:right w:w="60" w:type="dxa"/>
            </w:tcMar>
          </w:tcPr>
          <w:p>
            <w:pPr>
              <w:jc w:val="center"/>
            </w:pPr>
            <w:r>
              <w:rPr>
                <w:b/>
                <w:color w:val="FFFFFF"/>
                <w:sz w:val="17"/>
              </w:rPr>
              <w:t>Configuration</w:t>
            </w:r>
          </w:p>
        </w:tc>
        <w:tc>
          <w:tcPr>
            <w:tcW w:type="dxa" w:w="1440"/>
            <w:shd w:fill="3D5A80"/>
            <w:tcMar>
              <w:top w:w="70" w:type="dxa"/>
              <w:bottom w:w="70" w:type="dxa"/>
              <w:left w:w="60" w:type="dxa"/>
              <w:right w:w="60" w:type="dxa"/>
            </w:tcMar>
          </w:tcPr>
          <w:p>
            <w:pPr>
              <w:jc w:val="center"/>
            </w:pPr>
            <w:r>
              <w:rPr>
                <w:b/>
                <w:color w:val="FFFFFF"/>
                <w:sz w:val="17"/>
              </w:rPr>
              <w:t>Buffer Size (M)</w:t>
            </w:r>
          </w:p>
        </w:tc>
        <w:tc>
          <w:tcPr>
            <w:tcW w:type="dxa" w:w="1728"/>
            <w:shd w:fill="3D5A80"/>
            <w:tcMar>
              <w:top w:w="70" w:type="dxa"/>
              <w:bottom w:w="70" w:type="dxa"/>
              <w:left w:w="60" w:type="dxa"/>
              <w:right w:w="60" w:type="dxa"/>
            </w:tcMar>
          </w:tcPr>
          <w:p>
            <w:pPr>
              <w:jc w:val="center"/>
            </w:pPr>
            <w:r>
              <w:rPr>
                <w:b/>
                <w:color w:val="FFFFFF"/>
                <w:sz w:val="17"/>
              </w:rPr>
              <w:t>Logit Distill (alpha)</w:t>
            </w:r>
          </w:p>
        </w:tc>
        <w:tc>
          <w:tcPr>
            <w:tcW w:type="dxa" w:w="1440"/>
            <w:shd w:fill="3D5A80"/>
            <w:tcMar>
              <w:top w:w="70" w:type="dxa"/>
              <w:bottom w:w="70" w:type="dxa"/>
              <w:left w:w="60" w:type="dxa"/>
              <w:right w:w="60" w:type="dxa"/>
            </w:tcMar>
          </w:tcPr>
          <w:p>
            <w:pPr>
              <w:jc w:val="center"/>
            </w:pPr>
            <w:r>
              <w:rPr>
                <w:b/>
                <w:color w:val="FFFFFF"/>
                <w:sz w:val="17"/>
              </w:rPr>
              <w:t>Replay CE (beta)</w:t>
            </w:r>
          </w:p>
        </w:tc>
        <w:tc>
          <w:tcPr>
            <w:tcW w:type="dxa" w:w="1296"/>
            <w:shd w:fill="3D5A80"/>
            <w:tcMar>
              <w:top w:w="70" w:type="dxa"/>
              <w:bottom w:w="70" w:type="dxa"/>
              <w:left w:w="60" w:type="dxa"/>
              <w:right w:w="60" w:type="dxa"/>
            </w:tcMar>
          </w:tcPr>
          <w:p>
            <w:pPr>
              <w:jc w:val="center"/>
            </w:pPr>
            <w:r>
              <w:rPr>
                <w:b/>
                <w:color w:val="FFFFFF"/>
                <w:sz w:val="17"/>
              </w:rPr>
              <w:t>ACC_f (%)</w:t>
            </w:r>
          </w:p>
        </w:tc>
        <w:tc>
          <w:tcPr>
            <w:tcW w:type="dxa" w:w="1440"/>
            <w:shd w:fill="3D5A80"/>
            <w:tcMar>
              <w:top w:w="70" w:type="dxa"/>
              <w:bottom w:w="70" w:type="dxa"/>
              <w:left w:w="60" w:type="dxa"/>
              <w:right w:w="60" w:type="dxa"/>
            </w:tcMar>
          </w:tcPr>
          <w:p>
            <w:pPr>
              <w:jc w:val="center"/>
            </w:pPr>
            <w:r>
              <w:rPr>
                <w:b/>
                <w:color w:val="FFFFFF"/>
                <w:sz w:val="17"/>
              </w:rPr>
              <w:t>Forgetting (p)</w:t>
            </w:r>
          </w:p>
        </w:tc>
      </w:tr>
      <w:tr>
        <w:tc>
          <w:tcPr>
            <w:tcW w:type="dxa" w:w="2592"/>
            <w:shd w:fill="FFFFFF"/>
            <w:tcMar>
              <w:top w:w="60" w:type="dxa"/>
              <w:bottom w:w="60" w:type="dxa"/>
              <w:left w:w="60" w:type="dxa"/>
              <w:right w:w="60" w:type="dxa"/>
            </w:tcMar>
          </w:tcPr>
          <w:p>
            <w:pPr>
              <w:jc w:val="left"/>
            </w:pPr>
            <w:r>
              <w:rPr>
                <w:sz w:val="17"/>
              </w:rPr>
              <w:t>Hard-Label Replay Only</w:t>
            </w:r>
          </w:p>
        </w:tc>
        <w:tc>
          <w:tcPr>
            <w:tcW w:type="dxa" w:w="1440"/>
            <w:shd w:fill="FFFFFF"/>
            <w:tcMar>
              <w:top w:w="60" w:type="dxa"/>
              <w:bottom w:w="60" w:type="dxa"/>
              <w:left w:w="60" w:type="dxa"/>
              <w:right w:w="60" w:type="dxa"/>
            </w:tcMar>
          </w:tcPr>
          <w:p>
            <w:pPr>
              <w:jc w:val="center"/>
            </w:pPr>
            <w:r>
              <w:rPr>
                <w:sz w:val="17"/>
              </w:rPr>
              <w:t>250</w:t>
            </w:r>
          </w:p>
        </w:tc>
        <w:tc>
          <w:tcPr>
            <w:tcW w:type="dxa" w:w="1728"/>
            <w:shd w:fill="FFFFFF"/>
            <w:tcMar>
              <w:top w:w="60" w:type="dxa"/>
              <w:bottom w:w="60" w:type="dxa"/>
              <w:left w:w="60" w:type="dxa"/>
              <w:right w:w="60" w:type="dxa"/>
            </w:tcMar>
          </w:tcPr>
          <w:p>
            <w:pPr>
              <w:jc w:val="center"/>
            </w:pPr>
            <w:r>
              <w:rPr>
                <w:sz w:val="17"/>
              </w:rPr>
              <w:t>0.0 (Disabled)</w:t>
            </w:r>
          </w:p>
        </w:tc>
        <w:tc>
          <w:tcPr>
            <w:tcW w:type="dxa" w:w="1440"/>
            <w:shd w:fill="FFFFFF"/>
            <w:tcMar>
              <w:top w:w="60" w:type="dxa"/>
              <w:bottom w:w="60" w:type="dxa"/>
              <w:left w:w="60" w:type="dxa"/>
              <w:right w:w="60" w:type="dxa"/>
            </w:tcMar>
          </w:tcPr>
          <w:p>
            <w:pPr>
              <w:jc w:val="center"/>
            </w:pPr>
            <w:r>
              <w:rPr>
                <w:sz w:val="17"/>
              </w:rPr>
              <w:t>1.0</w:t>
            </w:r>
          </w:p>
        </w:tc>
        <w:tc>
          <w:tcPr>
            <w:tcW w:type="dxa" w:w="1296"/>
            <w:shd w:fill="FFFFFF"/>
            <w:tcMar>
              <w:top w:w="60" w:type="dxa"/>
              <w:bottom w:w="60" w:type="dxa"/>
              <w:left w:w="60" w:type="dxa"/>
              <w:right w:w="60" w:type="dxa"/>
            </w:tcMar>
          </w:tcPr>
          <w:p>
            <w:pPr>
              <w:jc w:val="center"/>
            </w:pPr>
            <w:r>
              <w:rPr>
                <w:sz w:val="17"/>
              </w:rPr>
              <w:t>31.87%</w:t>
            </w:r>
          </w:p>
        </w:tc>
        <w:tc>
          <w:tcPr>
            <w:tcW w:type="dxa" w:w="1440"/>
            <w:shd w:fill="FFFFFF"/>
            <w:tcMar>
              <w:top w:w="60" w:type="dxa"/>
              <w:bottom w:w="60" w:type="dxa"/>
              <w:left w:w="60" w:type="dxa"/>
              <w:right w:w="60" w:type="dxa"/>
            </w:tcMar>
          </w:tcPr>
          <w:p>
            <w:pPr>
              <w:jc w:val="center"/>
            </w:pPr>
            <w:r>
              <w:rPr>
                <w:sz w:val="17"/>
              </w:rPr>
              <w:t>49.47%</w:t>
            </w:r>
          </w:p>
        </w:tc>
      </w:tr>
      <w:tr>
        <w:tc>
          <w:tcPr>
            <w:tcW w:type="dxa" w:w="2592"/>
            <w:shd w:fill="F9FAFB"/>
            <w:tcMar>
              <w:top w:w="60" w:type="dxa"/>
              <w:bottom w:w="60" w:type="dxa"/>
              <w:left w:w="60" w:type="dxa"/>
              <w:right w:w="60" w:type="dxa"/>
            </w:tcMar>
          </w:tcPr>
          <w:p>
            <w:pPr>
              <w:jc w:val="left"/>
            </w:pPr>
            <w:r>
              <w:rPr>
                <w:sz w:val="17"/>
              </w:rPr>
              <w:t>DER++ Micro-Buffer</w:t>
            </w:r>
          </w:p>
        </w:tc>
        <w:tc>
          <w:tcPr>
            <w:tcW w:type="dxa" w:w="1440"/>
            <w:shd w:fill="F9FAFB"/>
            <w:tcMar>
              <w:top w:w="60" w:type="dxa"/>
              <w:bottom w:w="60" w:type="dxa"/>
              <w:left w:w="60" w:type="dxa"/>
              <w:right w:w="60" w:type="dxa"/>
            </w:tcMar>
          </w:tcPr>
          <w:p>
            <w:pPr>
              <w:jc w:val="center"/>
            </w:pPr>
            <w:r>
              <w:rPr>
                <w:sz w:val="17"/>
              </w:rPr>
              <w:t>250</w:t>
            </w:r>
          </w:p>
        </w:tc>
        <w:tc>
          <w:tcPr>
            <w:tcW w:type="dxa" w:w="1728"/>
            <w:shd w:fill="F9FAFB"/>
            <w:tcMar>
              <w:top w:w="60" w:type="dxa"/>
              <w:bottom w:w="60" w:type="dxa"/>
              <w:left w:w="60" w:type="dxa"/>
              <w:right w:w="60" w:type="dxa"/>
            </w:tcMar>
          </w:tcPr>
          <w:p>
            <w:pPr>
              <w:jc w:val="center"/>
            </w:pPr>
            <w:r>
              <w:rPr>
                <w:sz w:val="17"/>
              </w:rPr>
              <w:t>0.5</w:t>
            </w:r>
          </w:p>
        </w:tc>
        <w:tc>
          <w:tcPr>
            <w:tcW w:type="dxa" w:w="1440"/>
            <w:shd w:fill="F9FAFB"/>
            <w:tcMar>
              <w:top w:w="60" w:type="dxa"/>
              <w:bottom w:w="60" w:type="dxa"/>
              <w:left w:w="60" w:type="dxa"/>
              <w:right w:w="60" w:type="dxa"/>
            </w:tcMar>
          </w:tcPr>
          <w:p>
            <w:pPr>
              <w:jc w:val="center"/>
            </w:pPr>
            <w:r>
              <w:rPr>
                <w:sz w:val="17"/>
              </w:rPr>
              <w:t>0.5</w:t>
            </w:r>
          </w:p>
        </w:tc>
        <w:tc>
          <w:tcPr>
            <w:tcW w:type="dxa" w:w="1296"/>
            <w:shd w:fill="F9FAFB"/>
            <w:tcMar>
              <w:top w:w="60" w:type="dxa"/>
              <w:bottom w:w="60" w:type="dxa"/>
              <w:left w:w="60" w:type="dxa"/>
              <w:right w:w="60" w:type="dxa"/>
            </w:tcMar>
          </w:tcPr>
          <w:p>
            <w:pPr>
              <w:jc w:val="center"/>
            </w:pPr>
            <w:r>
              <w:rPr>
                <w:sz w:val="17"/>
              </w:rPr>
              <w:t>38.42%</w:t>
            </w:r>
          </w:p>
        </w:tc>
        <w:tc>
          <w:tcPr>
            <w:tcW w:type="dxa" w:w="1440"/>
            <w:shd w:fill="F9FAFB"/>
            <w:tcMar>
              <w:top w:w="60" w:type="dxa"/>
              <w:bottom w:w="60" w:type="dxa"/>
              <w:left w:w="60" w:type="dxa"/>
              <w:right w:w="60" w:type="dxa"/>
            </w:tcMar>
          </w:tcPr>
          <w:p>
            <w:pPr>
              <w:jc w:val="center"/>
            </w:pPr>
            <w:r>
              <w:rPr>
                <w:sz w:val="17"/>
              </w:rPr>
              <w:t>34.10%</w:t>
            </w:r>
          </w:p>
        </w:tc>
      </w:tr>
      <w:tr>
        <w:tc>
          <w:tcPr>
            <w:tcW w:type="dxa" w:w="2592"/>
            <w:shd w:fill="FFFFFF"/>
            <w:tcMar>
              <w:top w:w="60" w:type="dxa"/>
              <w:bottom w:w="60" w:type="dxa"/>
              <w:left w:w="60" w:type="dxa"/>
              <w:right w:w="60" w:type="dxa"/>
            </w:tcMar>
          </w:tcPr>
          <w:p>
            <w:pPr>
              <w:jc w:val="left"/>
            </w:pPr>
            <w:r>
              <w:rPr>
                <w:sz w:val="17"/>
              </w:rPr>
              <w:t>DER++ Mid-Capacity</w:t>
            </w:r>
          </w:p>
        </w:tc>
        <w:tc>
          <w:tcPr>
            <w:tcW w:type="dxa" w:w="1440"/>
            <w:shd w:fill="FFFFFF"/>
            <w:tcMar>
              <w:top w:w="60" w:type="dxa"/>
              <w:bottom w:w="60" w:type="dxa"/>
              <w:left w:w="60" w:type="dxa"/>
              <w:right w:w="60" w:type="dxa"/>
            </w:tcMar>
          </w:tcPr>
          <w:p>
            <w:pPr>
              <w:jc w:val="center"/>
            </w:pPr>
            <w:r>
              <w:rPr>
                <w:sz w:val="17"/>
              </w:rPr>
              <w:t>1,000</w:t>
            </w:r>
          </w:p>
        </w:tc>
        <w:tc>
          <w:tcPr>
            <w:tcW w:type="dxa" w:w="1728"/>
            <w:shd w:fill="FFFFFF"/>
            <w:tcMar>
              <w:top w:w="60" w:type="dxa"/>
              <w:bottom w:w="60" w:type="dxa"/>
              <w:left w:w="60" w:type="dxa"/>
              <w:right w:w="60" w:type="dxa"/>
            </w:tcMar>
          </w:tcPr>
          <w:p>
            <w:pPr>
              <w:jc w:val="center"/>
            </w:pPr>
            <w:r>
              <w:rPr>
                <w:sz w:val="17"/>
              </w:rPr>
              <w:t>0.5</w:t>
            </w:r>
          </w:p>
        </w:tc>
        <w:tc>
          <w:tcPr>
            <w:tcW w:type="dxa" w:w="1440"/>
            <w:shd w:fill="FFFFFF"/>
            <w:tcMar>
              <w:top w:w="60" w:type="dxa"/>
              <w:bottom w:w="60" w:type="dxa"/>
              <w:left w:w="60" w:type="dxa"/>
              <w:right w:w="60" w:type="dxa"/>
            </w:tcMar>
          </w:tcPr>
          <w:p>
            <w:pPr>
              <w:jc w:val="center"/>
            </w:pPr>
            <w:r>
              <w:rPr>
                <w:sz w:val="17"/>
              </w:rPr>
              <w:t>0.5</w:t>
            </w:r>
          </w:p>
        </w:tc>
        <w:tc>
          <w:tcPr>
            <w:tcW w:type="dxa" w:w="1296"/>
            <w:shd w:fill="FFFFFF"/>
            <w:tcMar>
              <w:top w:w="60" w:type="dxa"/>
              <w:bottom w:w="60" w:type="dxa"/>
              <w:left w:w="60" w:type="dxa"/>
              <w:right w:w="60" w:type="dxa"/>
            </w:tcMar>
          </w:tcPr>
          <w:p>
            <w:pPr>
              <w:jc w:val="center"/>
            </w:pPr>
            <w:r>
              <w:rPr>
                <w:sz w:val="17"/>
              </w:rPr>
              <w:t>46.15%</w:t>
            </w:r>
          </w:p>
        </w:tc>
        <w:tc>
          <w:tcPr>
            <w:tcW w:type="dxa" w:w="1440"/>
            <w:shd w:fill="FFFFFF"/>
            <w:tcMar>
              <w:top w:w="60" w:type="dxa"/>
              <w:bottom w:w="60" w:type="dxa"/>
              <w:left w:w="60" w:type="dxa"/>
              <w:right w:w="60" w:type="dxa"/>
            </w:tcMar>
          </w:tcPr>
          <w:p>
            <w:pPr>
              <w:jc w:val="center"/>
            </w:pPr>
            <w:r>
              <w:rPr>
                <w:sz w:val="17"/>
              </w:rPr>
              <w:t>22.30%</w:t>
            </w:r>
          </w:p>
        </w:tc>
      </w:tr>
      <w:tr>
        <w:tc>
          <w:tcPr>
            <w:tcW w:type="dxa" w:w="2592"/>
            <w:shd w:fill="F9FAFB"/>
            <w:tcMar>
              <w:top w:w="60" w:type="dxa"/>
              <w:bottom w:w="60" w:type="dxa"/>
              <w:left w:w="60" w:type="dxa"/>
              <w:right w:w="60" w:type="dxa"/>
            </w:tcMar>
          </w:tcPr>
          <w:p>
            <w:pPr>
              <w:jc w:val="left"/>
            </w:pPr>
            <w:r>
              <w:rPr>
                <w:sz w:val="17"/>
              </w:rPr>
              <w:t>DER++ Scaled-Edge</w:t>
            </w:r>
          </w:p>
        </w:tc>
        <w:tc>
          <w:tcPr>
            <w:tcW w:type="dxa" w:w="1440"/>
            <w:shd w:fill="F9FAFB"/>
            <w:tcMar>
              <w:top w:w="60" w:type="dxa"/>
              <w:bottom w:w="60" w:type="dxa"/>
              <w:left w:w="60" w:type="dxa"/>
              <w:right w:w="60" w:type="dxa"/>
            </w:tcMar>
          </w:tcPr>
          <w:p>
            <w:pPr>
              <w:jc w:val="center"/>
            </w:pPr>
            <w:r>
              <w:rPr>
                <w:sz w:val="17"/>
              </w:rPr>
              <w:t>2,000</w:t>
            </w:r>
          </w:p>
        </w:tc>
        <w:tc>
          <w:tcPr>
            <w:tcW w:type="dxa" w:w="1728"/>
            <w:shd w:fill="F9FAFB"/>
            <w:tcMar>
              <w:top w:w="60" w:type="dxa"/>
              <w:bottom w:w="60" w:type="dxa"/>
              <w:left w:w="60" w:type="dxa"/>
              <w:right w:w="60" w:type="dxa"/>
            </w:tcMar>
          </w:tcPr>
          <w:p>
            <w:pPr>
              <w:jc w:val="center"/>
            </w:pPr>
            <w:r>
              <w:rPr>
                <w:sz w:val="17"/>
              </w:rPr>
              <w:t>0.5</w:t>
            </w:r>
          </w:p>
        </w:tc>
        <w:tc>
          <w:tcPr>
            <w:tcW w:type="dxa" w:w="1440"/>
            <w:shd w:fill="F9FAFB"/>
            <w:tcMar>
              <w:top w:w="60" w:type="dxa"/>
              <w:bottom w:w="60" w:type="dxa"/>
              <w:left w:w="60" w:type="dxa"/>
              <w:right w:w="60" w:type="dxa"/>
            </w:tcMar>
          </w:tcPr>
          <w:p>
            <w:pPr>
              <w:jc w:val="center"/>
            </w:pPr>
            <w:r>
              <w:rPr>
                <w:sz w:val="17"/>
              </w:rPr>
              <w:t>0.5</w:t>
            </w:r>
          </w:p>
        </w:tc>
        <w:tc>
          <w:tcPr>
            <w:tcW w:type="dxa" w:w="1296"/>
            <w:shd w:fill="F9FAFB"/>
            <w:tcMar>
              <w:top w:w="60" w:type="dxa"/>
              <w:bottom w:w="60" w:type="dxa"/>
              <w:left w:w="60" w:type="dxa"/>
              <w:right w:w="60" w:type="dxa"/>
            </w:tcMar>
          </w:tcPr>
          <w:p>
            <w:pPr>
              <w:jc w:val="center"/>
            </w:pPr>
            <w:r>
              <w:rPr>
                <w:sz w:val="17"/>
              </w:rPr>
              <w:t>52.80%</w:t>
            </w:r>
          </w:p>
        </w:tc>
        <w:tc>
          <w:tcPr>
            <w:tcW w:type="dxa" w:w="1440"/>
            <w:shd w:fill="F9FAFB"/>
            <w:tcMar>
              <w:top w:w="60" w:type="dxa"/>
              <w:bottom w:w="60" w:type="dxa"/>
              <w:left w:w="60" w:type="dxa"/>
              <w:right w:w="60" w:type="dxa"/>
            </w:tcMar>
          </w:tcPr>
          <w:p>
            <w:pPr>
              <w:jc w:val="center"/>
            </w:pPr>
            <w:r>
              <w:rPr>
                <w:sz w:val="17"/>
              </w:rPr>
              <w:t>15.40%</w:t>
            </w:r>
          </w:p>
        </w:tc>
      </w:tr>
      <w:tr>
        <w:tc>
          <w:tcPr>
            <w:tcW w:type="dxa" w:w="2592"/>
            <w:shd w:fill="EBF4F6"/>
            <w:tcMar>
              <w:top w:w="60" w:type="dxa"/>
              <w:bottom w:w="60" w:type="dxa"/>
              <w:left w:w="60" w:type="dxa"/>
              <w:right w:w="60" w:type="dxa"/>
            </w:tcMar>
          </w:tcPr>
          <w:p>
            <w:pPr>
              <w:jc w:val="left"/>
            </w:pPr>
            <w:r>
              <w:rPr>
                <w:b/>
                <w:color w:val="1D2D44"/>
                <w:sz w:val="17"/>
              </w:rPr>
              <w:t>MemoryCore Full (Ours)</w:t>
            </w:r>
          </w:p>
        </w:tc>
        <w:tc>
          <w:tcPr>
            <w:tcW w:type="dxa" w:w="1440"/>
            <w:shd w:fill="EBF4F6"/>
            <w:tcMar>
              <w:top w:w="60" w:type="dxa"/>
              <w:bottom w:w="60" w:type="dxa"/>
              <w:left w:w="60" w:type="dxa"/>
              <w:right w:w="60" w:type="dxa"/>
            </w:tcMar>
          </w:tcPr>
          <w:p>
            <w:pPr>
              <w:jc w:val="center"/>
            </w:pPr>
            <w:r>
              <w:rPr>
                <w:b/>
                <w:color w:val="1D2D44"/>
                <w:sz w:val="17"/>
              </w:rPr>
              <w:t>5,000</w:t>
            </w:r>
          </w:p>
        </w:tc>
        <w:tc>
          <w:tcPr>
            <w:tcW w:type="dxa" w:w="1728"/>
            <w:shd w:fill="EBF4F6"/>
            <w:tcMar>
              <w:top w:w="60" w:type="dxa"/>
              <w:bottom w:w="60" w:type="dxa"/>
              <w:left w:w="60" w:type="dxa"/>
              <w:right w:w="60" w:type="dxa"/>
            </w:tcMar>
          </w:tcPr>
          <w:p>
            <w:pPr>
              <w:jc w:val="center"/>
            </w:pPr>
            <w:r>
              <w:rPr>
                <w:b/>
                <w:color w:val="1D2D44"/>
                <w:sz w:val="17"/>
              </w:rPr>
              <w:t>0.5</w:t>
            </w:r>
          </w:p>
        </w:tc>
        <w:tc>
          <w:tcPr>
            <w:tcW w:type="dxa" w:w="1440"/>
            <w:shd w:fill="EBF4F6"/>
            <w:tcMar>
              <w:top w:w="60" w:type="dxa"/>
              <w:bottom w:w="60" w:type="dxa"/>
              <w:left w:w="60" w:type="dxa"/>
              <w:right w:w="60" w:type="dxa"/>
            </w:tcMar>
          </w:tcPr>
          <w:p>
            <w:pPr>
              <w:jc w:val="center"/>
            </w:pPr>
            <w:r>
              <w:rPr>
                <w:b/>
                <w:color w:val="1D2D44"/>
                <w:sz w:val="17"/>
              </w:rPr>
              <w:t>0.5</w:t>
            </w:r>
          </w:p>
        </w:tc>
        <w:tc>
          <w:tcPr>
            <w:tcW w:type="dxa" w:w="1296"/>
            <w:shd w:fill="EBF4F6"/>
            <w:tcMar>
              <w:top w:w="60" w:type="dxa"/>
              <w:bottom w:w="60" w:type="dxa"/>
              <w:left w:w="60" w:type="dxa"/>
              <w:right w:w="60" w:type="dxa"/>
            </w:tcMar>
          </w:tcPr>
          <w:p>
            <w:pPr>
              <w:jc w:val="center"/>
            </w:pPr>
            <w:r>
              <w:rPr>
                <w:b/>
                <w:color w:val="1D2D44"/>
                <w:sz w:val="17"/>
              </w:rPr>
              <w:t>59.60%</w:t>
            </w:r>
          </w:p>
        </w:tc>
        <w:tc>
          <w:tcPr>
            <w:tcW w:type="dxa" w:w="1440"/>
            <w:shd w:fill="EBF4F6"/>
            <w:tcMar>
              <w:top w:w="60" w:type="dxa"/>
              <w:bottom w:w="60" w:type="dxa"/>
              <w:left w:w="60" w:type="dxa"/>
              <w:right w:w="60" w:type="dxa"/>
            </w:tcMar>
          </w:tcPr>
          <w:p>
            <w:pPr>
              <w:jc w:val="center"/>
            </w:pPr>
            <w:r>
              <w:rPr>
                <w:b/>
                <w:color w:val="1D2D44"/>
                <w:sz w:val="17"/>
              </w:rPr>
              <w:t>9.84%</w:t>
            </w:r>
          </w:p>
        </w:tc>
      </w:tr>
    </w:tbl>
    <w:p>
      <w:pPr>
        <w:spacing w:before="80" w:after="120"/>
        <w:jc w:val="center"/>
      </w:pPr>
      <w:r>
        <w:rPr>
          <w:i/>
          <w:color w:val="555B6E"/>
          <w:sz w:val="17"/>
        </w:rPr>
        <w:t>Table 2: Ablation of Logit Distillation Loss and Buffer Capacity on Split Tiny-ImageNet.</w:t>
      </w:r>
    </w:p>
    <w:p>
      <w:pPr>
        <w:spacing w:after="120" w:line="276" w:lineRule="auto"/>
      </w:pPr>
      <w:r>
        <w:t>Ablation Insights:</w:t>
        <w:br/>
        <w:t>• Value of Dark Knowledge: At identical buffer size M = 250, introducing logit distillation (alpha = 0.5) boosts accuracy from 31.87% to 38.42% (+6.55%) and suppresses forgetting by 15.37 percentage points. Distilling soft logit landscapes directly combats rehearsal sample overfitting.</w:t>
        <w:br/>
        <w:t>• Graceful Memory Scaling: Scaling M from 250 to 5,000 yields monotonic performance gains, showing that MemoryCore effectively uses every additional byte of buffer without suffering from gradient saturation or diminishing returns.</w:t>
      </w:r>
    </w:p>
    <w:p>
      <w:pPr>
        <w:spacing w:before="200" w:after="80"/>
      </w:pPr>
      <w:r>
        <w:rPr>
          <w:rFonts w:ascii="Georgia" w:hAnsi="Georgia"/>
          <w:b/>
          <w:color w:val="1D2D44"/>
          <w:sz w:val="26"/>
        </w:rPr>
        <w:t>5. Limitations &amp; Failure Modes</w:t>
      </w:r>
    </w:p>
    <w:p>
      <w:pPr>
        <w:spacing w:after="120" w:line="276" w:lineRule="auto"/>
      </w:pPr>
      <w:r>
        <w:t>Despite achieving state-of-the-art retention, MemoryCore exhibits distinct engineering and theoretical boundaries:</w:t>
        <w:br/>
      </w:r>
    </w:p>
    <w:p>
      <w:pPr>
        <w:pStyle w:val="ListBullet"/>
        <w:spacing w:after="40"/>
      </w:pPr>
      <w:r>
        <w:t>Computational Throughput Overhead: Forward passes on stored exemplars plus Mean Squared Error backpropagation across 200-dimensional logit vectors increase per-batch training latency by approximately 22% compared to standard rehearsal.</w:t>
      </w:r>
    </w:p>
    <w:p>
      <w:pPr>
        <w:pStyle w:val="ListBullet"/>
        <w:spacing w:after="40"/>
      </w:pPr>
      <w:r>
        <w:t>Sensitivity to Early Task Convergence: DER++ stores logits at the end of task training. If training on an early task underfits or terminates prematurely, the buffer caches uncalibrated or noisy logits. Replaying erroneous logit landscapes can inadvertently anchor subsequent tasks to suboptimal latent spaces.</w:t>
      </w:r>
    </w:p>
    <w:p>
      <w:pPr>
        <w:pStyle w:val="ListBullet"/>
        <w:spacing w:after="120"/>
      </w:pPr>
      <w:r>
        <w:t>Extreme Lifelong Scaling (T &gt; 50 Tasks): Under a fixed global buffer M = 5,000, as task count T grows to 50 or 100, the per-class quota drops below 5 samples. At such extreme sparsity, generative replay or latent code rehearsal may be required to maintain sample diversity.</w:t>
      </w:r>
    </w:p>
    <w:p>
      <w:pPr>
        <w:spacing w:before="200" w:after="80"/>
      </w:pPr>
      <w:r>
        <w:rPr>
          <w:rFonts w:ascii="Georgia" w:hAnsi="Georgia"/>
          <w:b/>
          <w:color w:val="1D2D44"/>
          <w:sz w:val="26"/>
        </w:rPr>
        <w:t>6. Code Repository &amp; Reproducibility Verification</w:t>
      </w:r>
    </w:p>
    <w:p>
      <w:pPr>
        <w:spacing w:after="120" w:line="276" w:lineRule="auto"/>
      </w:pPr>
      <w:r>
        <w:t>The MemoryCore repository is strictly engineered for 100% deterministic reproducibility. Random seeds are locked system-wide across Python random, NumPy, PyTorch CPU, and PyTorch CUDA with torch.backends.cudnn.deterministic = True.</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50" w:type="dxa"/>
              <w:right w:w="150" w:type="dxa"/>
            </w:tcMar>
          </w:tcPr>
          <w:p>
            <w:pPr>
              <w:spacing w:before="0" w:after="0"/>
            </w:pPr>
            <w:r>
              <w:rPr>
                <w:rFonts w:ascii="Consolas" w:hAnsi="Consolas"/>
                <w:color w:val="555B6E"/>
                <w:sz w:val="18"/>
              </w:rPr>
              <w:t># 1. Clone the Seed-Locked Repository</w:t>
              <w:br/>
            </w:r>
            <w:r>
              <w:rPr>
                <w:rFonts w:ascii="Consolas" w:hAnsi="Consolas"/>
                <w:b/>
                <w:sz w:val="18"/>
              </w:rPr>
              <w:t>git clone https://github.com/adwaithsanthoshh/Memory-Core.git</w:t>
              <w:br/>
              <w:t>cd Memory-Core</w:t>
              <w:br/>
              <w:t>pip install -r requirements.txt</w:t>
              <w:br/>
              <w:br/>
            </w:r>
            <w:r>
              <w:rPr>
                <w:rFonts w:ascii="Consolas" w:hAnsi="Consolas"/>
                <w:color w:val="555B6E"/>
                <w:sz w:val="18"/>
              </w:rPr>
              <w:t># 2. One-Command Deterministic Benchmark Run (Seed: 42)</w:t>
              <w:br/>
            </w:r>
            <w:r>
              <w:rPr>
                <w:rFonts w:ascii="Consolas" w:hAnsi="Consolas"/>
                <w:b/>
                <w:color w:val="650004"/>
                <w:sz w:val="18"/>
              </w:rPr>
              <w:t>python run.py --method memorycore --memory-budget 5000 --seed 42</w:t>
              <w:br/>
              <w:br/>
            </w:r>
            <w:r>
              <w:rPr>
                <w:rFonts w:ascii="Consolas" w:hAnsi="Consolas"/>
                <w:color w:val="555B6E"/>
                <w:sz w:val="18"/>
              </w:rPr>
              <w:t># 3. Rapid Offline Smoke Verification (&lt; 60 seconds)</w:t>
              <w:br/>
            </w:r>
            <w:r>
              <w:rPr>
                <w:rFonts w:ascii="Consolas" w:hAnsi="Consolas"/>
                <w:b/>
                <w:sz w:val="18"/>
              </w:rPr>
              <w:t>python run.py --smoke-test --method memorycore</w:t>
              <w:br/>
              <w:br/>
            </w:r>
            <w:r>
              <w:rPr>
                <w:rFonts w:ascii="Consolas" w:hAnsi="Consolas"/>
                <w:color w:val="555B6E"/>
                <w:sz w:val="18"/>
              </w:rPr>
              <w:t># 4. Launch Interactive 'Editorial Ivory' Research Dashboard</w:t>
              <w:br/>
            </w:r>
            <w:r>
              <w:rPr>
                <w:rFonts w:ascii="Consolas" w:hAnsi="Consolas"/>
                <w:b/>
                <w:sz w:val="18"/>
              </w:rPr>
              <w:t>python run.py --serve</w:t>
              <w:br/>
              <w:t># Open http://localhost:8000 in your browser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