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E3A8A"/>
          <w:sz w:val="32"/>
        </w:rPr>
        <w:t>BRIHANMUMBAI POLICE DEPARTMENT — SIH 26</w:t>
        <w:br/>
        <w:t>COMMAND CENTER DASHBOARD METRICS GUIDE</w:t>
      </w:r>
    </w:p>
    <w:p>
      <w:pPr>
        <w:jc w:val="center"/>
      </w:pPr>
      <w:r>
        <w:rPr>
          <w:rFonts w:ascii="Calibri" w:hAnsi="Calibri"/>
          <w:b/>
          <w:color w:val="0F172A"/>
          <w:sz w:val="24"/>
        </w:rPr>
        <w:t>Detailed Definitions, Calculation Formulas &amp; Data Sources for Top 6 Dashboard Metric Cards</w:t>
      </w:r>
    </w:p>
    <w:p>
      <w:pPr>
        <w:jc w:val="center"/>
      </w:pPr>
      <w:r>
        <w:rPr>
          <w:i/>
          <w:color w:val="64748B"/>
          <w:sz w:val="20"/>
        </w:rPr>
        <w:t>Prepared for Mentor Review &amp; Evaluation | Date: September 10, 2026</w:t>
      </w:r>
    </w:p>
    <w:p>
      <w:pPr>
        <w:spacing w:after="200"/>
      </w:pPr>
    </w:p>
    <w:p>
      <w:pPr>
        <w:pStyle w:val="Heading1"/>
      </w:pPr>
      <w:r>
        <w:rPr>
          <w:color w:val="1E3A8A"/>
        </w:rPr>
        <w:t>1. Executive Overview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3A8A"/>
          </w:tcPr>
          <w:p>
            <w:r>
              <w:rPr>
                <w:b/>
                <w:color w:val="FFFFFF"/>
              </w:rPr>
              <w:t>Metric Card Name</w:t>
            </w:r>
          </w:p>
        </w:tc>
        <w:tc>
          <w:tcPr>
            <w:tcW w:type="dxa" w:w="2484"/>
            <w:shd w:fill="1E3A8A"/>
          </w:tcPr>
          <w:p>
            <w:r>
              <w:rPr>
                <w:b/>
                <w:color w:val="FFFFFF"/>
              </w:rPr>
              <w:t>Displayed Value</w:t>
            </w:r>
          </w:p>
        </w:tc>
        <w:tc>
          <w:tcPr>
            <w:tcW w:type="dxa" w:w="2484"/>
            <w:shd w:fill="1E3A8A"/>
          </w:tcPr>
          <w:p>
            <w:r>
              <w:rPr>
                <w:b/>
                <w:color w:val="FFFFFF"/>
              </w:rPr>
              <w:t>What It Represents</w:t>
            </w:r>
          </w:p>
        </w:tc>
        <w:tc>
          <w:tcPr>
            <w:tcW w:type="dxa" w:w="2484"/>
            <w:shd w:fill="1E3A8A"/>
          </w:tcPr>
          <w:p>
            <w:r>
              <w:rPr>
                <w:b/>
                <w:color w:val="FFFFFF"/>
              </w:rPr>
              <w:t>Calculation Method</w:t>
            </w:r>
          </w:p>
        </w:tc>
      </w:tr>
      <w:tr>
        <w:tc>
          <w:tcPr>
            <w:tcW w:type="dxa" w:w="2484"/>
            <w:shd w:fill="F8FAFC"/>
          </w:tcPr>
          <w:p>
            <w:r>
              <w:t>1. Active Subjects</w:t>
            </w:r>
          </w:p>
        </w:tc>
        <w:tc>
          <w:tcPr>
            <w:tcW w:type="dxa" w:w="2484"/>
            <w:shd w:fill="F8FAFC"/>
          </w:tcPr>
          <w:p>
            <w:r>
              <w:t>1,284 (+8.4%)</w:t>
            </w:r>
          </w:p>
        </w:tc>
        <w:tc>
          <w:tcPr>
            <w:tcW w:type="dxa" w:w="2484"/>
            <w:shd w:fill="F8FAFC"/>
          </w:tcPr>
          <w:p>
            <w:r>
              <w:t>Total unique monitored suspects across all 6 data streams.</w:t>
            </w:r>
          </w:p>
        </w:tc>
        <w:tc>
          <w:tcPr>
            <w:tcW w:type="dxa" w:w="2484"/>
            <w:shd w:fill="F8FAFC"/>
          </w:tcPr>
          <w:p>
            <w:r>
              <w:t>Count distinct suspect IDs from IntelligenceEngine.all_suspects.</w:t>
            </w:r>
          </w:p>
        </w:tc>
      </w:tr>
      <w:tr>
        <w:tc>
          <w:tcPr>
            <w:tcW w:type="dxa" w:w="2484"/>
            <w:shd w:fill="FFFFFF"/>
          </w:tcPr>
          <w:p>
            <w:r>
              <w:t>2. Critical Review Queue</w:t>
            </w:r>
          </w:p>
        </w:tc>
        <w:tc>
          <w:tcPr>
            <w:tcW w:type="dxa" w:w="2484"/>
            <w:shd w:fill="FFFFFF"/>
          </w:tcPr>
          <w:p>
            <w:r>
              <w:t>38 (+6)</w:t>
            </w:r>
          </w:p>
        </w:tc>
        <w:tc>
          <w:tcPr>
            <w:tcW w:type="dxa" w:w="2484"/>
            <w:shd w:fill="FFFFFF"/>
          </w:tcPr>
          <w:p>
            <w:r>
              <w:t>High-threat suspects requiring human officer disposition.</w:t>
            </w:r>
          </w:p>
        </w:tc>
        <w:tc>
          <w:tcPr>
            <w:tcW w:type="dxa" w:w="2484"/>
            <w:shd w:fill="FFFFFF"/>
          </w:tcPr>
          <w:p>
            <w:r>
              <w:t>Filter calculate_threat_scores() where Composite Score &gt;= 75.0.</w:t>
            </w:r>
          </w:p>
        </w:tc>
      </w:tr>
      <w:tr>
        <w:tc>
          <w:tcPr>
            <w:tcW w:type="dxa" w:w="2484"/>
            <w:shd w:fill="F8FAFC"/>
          </w:tcPr>
          <w:p>
            <w:r>
              <w:t>3. Open Associations</w:t>
            </w:r>
          </w:p>
        </w:tc>
        <w:tc>
          <w:tcPr>
            <w:tcW w:type="dxa" w:w="2484"/>
            <w:shd w:fill="F8FAFC"/>
          </w:tcPr>
          <w:p>
            <w:r>
              <w:t>214 (+12.1%)</w:t>
            </w:r>
          </w:p>
        </w:tc>
        <w:tc>
          <w:tcPr>
            <w:tcW w:type="dxa" w:w="2484"/>
            <w:shd w:fill="F8FAFC"/>
          </w:tcPr>
          <w:p>
            <w:r>
              <w:t>Cross-domain links between suspect pairs across &gt;=2 data sources.</w:t>
            </w:r>
          </w:p>
        </w:tc>
        <w:tc>
          <w:tcPr>
            <w:tcW w:type="dxa" w:w="2484"/>
            <w:shd w:fill="F8FAFC"/>
          </w:tcPr>
          <w:p>
            <w:r>
              <w:t>Graph edge intersection across CDR, CCTV, and Financial transfer logs.</w:t>
            </w:r>
          </w:p>
        </w:tc>
      </w:tr>
      <w:tr>
        <w:tc>
          <w:tcPr>
            <w:tcW w:type="dxa" w:w="2484"/>
            <w:shd w:fill="FFFFFF"/>
          </w:tcPr>
          <w:p>
            <w:r>
              <w:t>4. CCTV Matches</w:t>
            </w:r>
          </w:p>
        </w:tc>
        <w:tc>
          <w:tcPr>
            <w:tcW w:type="dxa" w:w="2484"/>
            <w:shd w:fill="FFFFFF"/>
          </w:tcPr>
          <w:p>
            <w:r>
              <w:t>672 (+18.7%)</w:t>
            </w:r>
          </w:p>
        </w:tc>
        <w:tc>
          <w:tcPr>
            <w:tcW w:type="dxa" w:w="2484"/>
            <w:shd w:fill="FFFFFF"/>
          </w:tcPr>
          <w:p>
            <w:r>
              <w:t>High-confidence camera facial recognition sightings.</w:t>
            </w:r>
          </w:p>
        </w:tc>
        <w:tc>
          <w:tcPr>
            <w:tcW w:type="dxa" w:w="2484"/>
            <w:shd w:fill="FFFFFF"/>
          </w:tcPr>
          <w:p>
            <w:r>
              <w:t>Filter nearest_cctv_sightings.csv where match_confidence &gt;= 0.82.</w:t>
            </w:r>
          </w:p>
        </w:tc>
      </w:tr>
      <w:tr>
        <w:tc>
          <w:tcPr>
            <w:tcW w:type="dxa" w:w="2484"/>
            <w:shd w:fill="F8FAFC"/>
          </w:tcPr>
          <w:p>
            <w:r>
              <w:t>5. Financial Flags</w:t>
            </w:r>
          </w:p>
        </w:tc>
        <w:tc>
          <w:tcPr>
            <w:tcW w:type="dxa" w:w="2484"/>
            <w:shd w:fill="F8FAFC"/>
          </w:tcPr>
          <w:p>
            <w:r>
              <w:t>91 (-4.2%)</w:t>
            </w:r>
          </w:p>
        </w:tc>
        <w:tc>
          <w:tcPr>
            <w:tcW w:type="dxa" w:w="2484"/>
            <w:shd w:fill="F8FAFC"/>
          </w:tcPr>
          <w:p>
            <w:r>
              <w:t>Suspicious UPI, Hawala, and failed ATM cashout alerts.</w:t>
            </w:r>
          </w:p>
        </w:tc>
        <w:tc>
          <w:tcPr>
            <w:tcW w:type="dxa" w:w="2484"/>
            <w:shd w:fill="F8FAFC"/>
          </w:tcPr>
          <w:p>
            <w:r>
              <w:t>IQR statistical outlier detection on financial_transaction_records.csv.</w:t>
            </w:r>
          </w:p>
        </w:tc>
      </w:tr>
      <w:tr>
        <w:tc>
          <w:tcPr>
            <w:tcW w:type="dxa" w:w="2484"/>
            <w:shd w:fill="FFFFFF"/>
          </w:tcPr>
          <w:p>
            <w:r>
              <w:t>6. Night Anomalies</w:t>
            </w:r>
          </w:p>
        </w:tc>
        <w:tc>
          <w:tcPr>
            <w:tcW w:type="dxa" w:w="2484"/>
            <w:shd w:fill="FFFFFF"/>
          </w:tcPr>
          <w:p>
            <w:r>
              <w:t>47 (+11.6%)</w:t>
            </w:r>
          </w:p>
        </w:tc>
        <w:tc>
          <w:tcPr>
            <w:tcW w:type="dxa" w:w="2484"/>
            <w:shd w:fill="FFFFFF"/>
          </w:tcPr>
          <w:p>
            <w:r>
              <w:t>Late-night communication spikes (00:00–06:00 IST).</w:t>
            </w:r>
          </w:p>
        </w:tc>
        <w:tc>
          <w:tcPr>
            <w:tcW w:type="dxa" w:w="2484"/>
            <w:shd w:fill="FFFFFF"/>
          </w:tcPr>
          <w:p>
            <w:r>
              <w:t>Gaussian Z-score threshold (Z &gt; 2.0) on midnight CDR call logs.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E3A8A"/>
        </w:rPr>
        <w:t>2. Detailed Breakdown of Each Metric Card</w:t>
      </w:r>
    </w:p>
    <w:p>
      <w:pPr>
        <w:spacing w:before="200"/>
      </w:pPr>
      <w:r>
        <w:rPr>
          <w:b/>
          <w:color w:val="C2410C"/>
          <w:sz w:val="22"/>
        </w:rPr>
        <w:t>1. Active Subjects (Value: 1,284 | Delta: +8.4%)</w:t>
      </w:r>
    </w:p>
    <w:p>
      <w:pPr>
        <w:spacing w:after="120"/>
      </w:pPr>
      <w:r>
        <w:t>What It Is: Represents the total count of active criminal suspects currently under active monitoring across all 6 integrated data streams (CDR, CCTV, FIR, Criminal records, Financial transactions, Surveillance).</w:t>
        <w:br/>
        <w:br/>
        <w:t>How It Is Calculated:</w:t>
        <w:br/>
        <w:t>• The backend queries the master suspect registry (IntelligenceEngine.all_suspects) and counts unique entities: len(all_suspects) = 1,284.</w:t>
        <w:br/>
        <w:t>• The +8.4% trend compares current active count (1,284) against 30 days prior (1,185):</w:t>
        <w:br/>
        <w:t xml:space="preserve">  Delta = ((1,284 - 1,185) / 1,185) * 100 = +8.4%</w:t>
      </w:r>
    </w:p>
    <w:p>
      <w:pPr>
        <w:spacing w:before="200"/>
      </w:pPr>
      <w:r>
        <w:rPr>
          <w:b/>
          <w:color w:val="C2410C"/>
          <w:sz w:val="22"/>
        </w:rPr>
        <w:t>2. Critical Review Queue (Value: 38 | Delta: +6)</w:t>
      </w:r>
    </w:p>
    <w:p>
      <w:pPr>
        <w:spacing w:after="120"/>
      </w:pPr>
      <w:r>
        <w:t>What It Is: The priority action queue containing high-threat suspects whose composite risk score has crossed into the Critical Risk Tier (&gt;= 75/100), requiring urgent review by a human Investigating Officer.</w:t>
        <w:br/>
        <w:br/>
        <w:t>How It Is Calculated:</w:t>
        <w:br/>
        <w:t>• Executes calculate_threat_scores() combining CCTV (30), CDR (20), FIR (15), Criminal (15), Financial (10), and Surveillance (10).</w:t>
        <w:br/>
        <w:t>• Filters for suspects where Composite Score &gt;= 75.0: count = len(scores_df[score &gt;= 75.0]) = 38.</w:t>
        <w:br/>
        <w:t>• The +6 badge indicates 6 new suspects entered this critical threshold in the last 24 hours.</w:t>
      </w:r>
    </w:p>
    <w:p>
      <w:pPr>
        <w:spacing w:before="200"/>
      </w:pPr>
      <w:r>
        <w:rPr>
          <w:b/>
          <w:color w:val="C2410C"/>
          <w:sz w:val="22"/>
        </w:rPr>
        <w:t>3. Open Associations (Value: 214 | Delta: +12.1%)</w:t>
      </w:r>
    </w:p>
    <w:p>
      <w:pPr>
        <w:spacing w:after="120"/>
      </w:pPr>
      <w:r>
        <w:t>What It Is: The total number of cross-domain criminal links detected between pairs of suspects across 2 or more separate data sources (e.g. sharing phone calls AND CCTV meetings AND financial UPI transfers).</w:t>
        <w:br/>
        <w:br/>
        <w:t>How It Is Calculated:</w:t>
        <w:br/>
        <w:t>• Performs graph edge intersection analysis across NetworkX CDR call graphs, CCTV co-location spatial logs, and UPI peer transfers.</w:t>
        <w:br/>
        <w:t>• An "Open Association" is created whenever Connected Domains &gt;= 2 between Suspect A and Suspect B.</w:t>
        <w:br/>
        <w:t>• Total count of active multi-domain links = 214. The +12.1% measures growth in cross-domain links.</w:t>
      </w:r>
    </w:p>
    <w:p>
      <w:pPr>
        <w:spacing w:before="200"/>
      </w:pPr>
      <w:r>
        <w:rPr>
          <w:b/>
          <w:color w:val="C2410C"/>
          <w:sz w:val="22"/>
        </w:rPr>
        <w:t>4. CCTV Matches (Value: 672 | Delta: +18.7%)</w:t>
      </w:r>
    </w:p>
    <w:p>
      <w:pPr>
        <w:spacing w:after="120"/>
      </w:pPr>
      <w:r>
        <w:t>What It Is: Total confirmed facial recognition camera sightings captured across municipal CCTV grids in Mumbai meeting the minimum AI match confidence threshold.</w:t>
        <w:br/>
        <w:br/>
        <w:t>How It Is Calculated:</w:t>
        <w:br/>
        <w:t>• Queries nearest_cctv_sightings.csv and filters for sightings where facial match_confidence &gt;= 0.82 (82%).</w:t>
        <w:br/>
        <w:t>• Total matching camera records = 672.</w:t>
        <w:br/>
        <w:t>• The +18.7% delta represents the percentage increase in high-confidence camera sightings compared to the previous monitoring cycle.</w:t>
      </w:r>
    </w:p>
    <w:p>
      <w:pPr>
        <w:spacing w:before="200"/>
      </w:pPr>
      <w:r>
        <w:rPr>
          <w:b/>
          <w:color w:val="C2410C"/>
          <w:sz w:val="22"/>
        </w:rPr>
        <w:t>5. Financial Flags (Value: 91 | Delta: -4.2%)</w:t>
      </w:r>
    </w:p>
    <w:p>
      <w:pPr>
        <w:spacing w:after="120"/>
      </w:pPr>
      <w:r>
        <w:t>What It Is: Suspicious financial transaction alerts, including split money transfers (smurfing), payments to liquor/Hawala merchant categories, and failed ATM cashout attempts.</w:t>
        <w:br/>
        <w:br/>
        <w:t>How It Is Calculated:</w:t>
        <w:br/>
        <w:t>• StatisticalAnomalyEngine analyzes financial_transaction_records.csv using Interquartile Range (IQR) outlier detection.</w:t>
        <w:br/>
        <w:t>• Flags accounts exceeding velocity limits, &gt;2 failed ATM attempts, or payments to flagged merchant categories.</w:t>
        <w:br/>
        <w:t>• Total active settled + pending financial alerts = 91. The -4.2% indicates a slight decrease in financial anomalies.</w:t>
      </w:r>
    </w:p>
    <w:p>
      <w:pPr>
        <w:spacing w:before="200"/>
      </w:pPr>
      <w:r>
        <w:rPr>
          <w:b/>
          <w:color w:val="C2410C"/>
          <w:sz w:val="22"/>
        </w:rPr>
        <w:t>6. Night Anomalies (Value: 47 | Delta: +11.6%)</w:t>
      </w:r>
    </w:p>
    <w:p>
      <w:pPr>
        <w:spacing w:after="120"/>
      </w:pPr>
      <w:r>
        <w:t>What It Is: Flagged nocturnal (midnight) communication and cell tower transition anomalies occurring between 12:00 AM midnight and 6:00 AM IST.</w:t>
        <w:br/>
        <w:br/>
        <w:t>How It Is Calculated:</w:t>
        <w:br/>
        <w:t>• Filters Call Detail Records (call_detail_records.csv) for timestamps between 00:00 and 06:00 IST.</w:t>
        <w:br/>
        <w:t>• Applies Gaussian Z-score threshold (Z &gt; 2.0) comparing a suspect pair's midnight call volume against their daytime baseline average.</w:t>
        <w:br/>
        <w:t>• Suspect pairs exceeding Z = 2.0 are flagged: count = 47. The +11.6% tracks late-night call volume surge.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