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4ED8"/>
          <w:sz w:val="22"/>
        </w:rPr>
        <w:t>TACTICAL INTELLIGENCE COMMAND CENTER</w:t>
        <w:br/>
      </w:r>
      <w:r>
        <w:rPr>
          <w:rFonts w:ascii="Arial" w:hAnsi="Arial"/>
          <w:b/>
          <w:color w:val="0F172A"/>
          <w:sz w:val="44"/>
        </w:rPr>
        <w:t>PROJECT FLOWCHART &amp; SYSTEM ARCHITECTURE GUIDE</w:t>
        <w:br/>
      </w:r>
      <w:r>
        <w:rPr>
          <w:rFonts w:ascii="Calibri" w:hAnsi="Calibri"/>
          <w:i/>
          <w:color w:val="64748B"/>
          <w:sz w:val="24"/>
        </w:rPr>
        <w:t>Problem Analysis, Proposed Solution, Layered System Architecture &amp; Flowchart Breakdown</w:t>
      </w:r>
    </w:p>
    <w:p>
      <w:pPr>
        <w:spacing w:after="240"/>
      </w:pPr>
    </w:p>
    <w:tbl>
      <w:tblPr>
        <w:tblW w:type="auto" w:w="0"/>
        <w:jc w:val="center"/>
        <w:tblLook w:firstColumn="1" w:firstRow="1" w:lastColumn="0" w:lastRow="0" w:noHBand="0" w:noVBand="1" w:val="04A0"/>
      </w:tblPr>
      <w:tblGrid>
        <w:gridCol w:w="9936"/>
      </w:tblGrid>
      <w:tr>
        <w:tc>
          <w:tcPr>
            <w:tcW w:type="dxa" w:w="9936"/>
            <w:shd w:fill="F0F4FF"/>
            <w:tcMar>
              <w:top w:w="140" w:type="dxa"/>
              <w:bottom w:w="140" w:type="dxa"/>
              <w:left w:w="200" w:type="dxa"/>
              <w:right w:w="200" w:type="dxa"/>
            </w:tcMar>
          </w:tcPr>
          <w:p>
            <w:r>
              <w:rPr>
                <w:rFonts w:ascii="Arial" w:hAnsi="Arial"/>
                <w:b/>
                <w:color w:val="1E3A8A"/>
                <w:sz w:val="24"/>
              </w:rPr>
              <w:t>📌 EXECUTIVE SUMMARY</w:t>
              <w:br/>
            </w:r>
            <w:r>
              <w:rPr>
                <w:rFonts w:ascii="Calibri" w:hAnsi="Calibri"/>
                <w:color w:val="334155"/>
                <w:sz w:val="22"/>
              </w:rPr>
              <w:t>The Tactical Intelligence Command &amp; Evidence Attribution Engine is an enterprise law-enforcement platform designed to solve critical bottlenecks in police criminal investigations. By unifying disconnected streams (CDR telecom records, CCTV visual surveillance, FIR police complaints, financial logs, and social media networks) into a single 100-Point Dynamic Threat Classifier and Explainable AI (XAI) engine, the system delivers court-admissible mathematical proofs, counterfactual evidence lineage, and spatiotemporal tracking for high-priority syndicates.</w:t>
            </w:r>
          </w:p>
        </w:tc>
      </w:tr>
    </w:tbl>
    <w:p>
      <w:pPr>
        <w:spacing w:after="320"/>
      </w:pPr>
    </w:p>
    <w:p>
      <w:pPr>
        <w:pStyle w:val="Heading1"/>
      </w:pPr>
      <w:r>
        <w:rPr>
          <w:rFonts w:ascii="Arial" w:hAnsi="Arial"/>
          <w:b/>
          <w:color w:val="0F172A"/>
          <w:sz w:val="28"/>
        </w:rPr>
        <w:t>1. PROBLEM STATEMENT: CHALLENGES IN MODERN LAW ENFORCEMENT</w:t>
      </w:r>
    </w:p>
    <w:p>
      <w:pPr>
        <w:spacing w:after="120"/>
        <w:ind w:left="288"/>
      </w:pPr>
      <w:r>
        <w:rPr>
          <w:rFonts w:ascii="Arial" w:hAnsi="Arial"/>
          <w:b/>
          <w:color w:val="1E3A8A"/>
          <w:sz w:val="22"/>
        </w:rPr>
        <w:t xml:space="preserve">• Data Fragmentation &amp; Intelligence Silos: </w:t>
      </w:r>
      <w:r>
        <w:rPr>
          <w:rFonts w:ascii="Calibri" w:hAnsi="Calibri"/>
          <w:color w:val="334155"/>
          <w:sz w:val="22"/>
        </w:rPr>
        <w:t>Police departments process huge volumes of data across completely isolated formats: telecom Call Detail Records (CDRs), CCTV camera feeds, PDF FIR complaint archives, bank transaction ledgers, and social media footprints. Without automated correlation, cross-referencing suspects across jurisdictions takes weeks or months.</w:t>
      </w:r>
    </w:p>
    <w:p>
      <w:pPr>
        <w:spacing w:after="120"/>
        <w:ind w:left="288"/>
      </w:pPr>
      <w:r>
        <w:rPr>
          <w:rFonts w:ascii="Arial" w:hAnsi="Arial"/>
          <w:b/>
          <w:color w:val="1E3A8A"/>
          <w:sz w:val="22"/>
        </w:rPr>
        <w:t xml:space="preserve">• Manual Analysis &amp; Information Overload: </w:t>
      </w:r>
      <w:r>
        <w:rPr>
          <w:rFonts w:ascii="Calibri" w:hAnsi="Calibri"/>
          <w:color w:val="334155"/>
          <w:sz w:val="22"/>
        </w:rPr>
        <w:t>Investigating officers manually compare thousands of phone tower ping logs and video recordings. High-priority criminal syndicates exploit these delay windows to change locations, discard SIM cards, or obscure evidence trail.</w:t>
      </w:r>
    </w:p>
    <w:p>
      <w:pPr>
        <w:spacing w:after="120"/>
        <w:ind w:left="288"/>
      </w:pPr>
      <w:r>
        <w:rPr>
          <w:rFonts w:ascii="Arial" w:hAnsi="Arial"/>
          <w:b/>
          <w:color w:val="1E3A8A"/>
          <w:sz w:val="22"/>
        </w:rPr>
        <w:t xml:space="preserve">• Lack of Legal Admissibility &amp; 'Black-Box' AI Risks: </w:t>
      </w:r>
      <w:r>
        <w:rPr>
          <w:rFonts w:ascii="Calibri" w:hAnsi="Calibri"/>
          <w:color w:val="334155"/>
          <w:sz w:val="22"/>
        </w:rPr>
        <w:t>Standard machine learning models generate threat alerts without transparent mathematical justifications. Courts (under statutory frameworks like MCOCA / IPC Sec 120B) reject 'black-box' predictions unless investigators present clear, step-by-step feature attribution and evidence lineage.</w:t>
      </w:r>
    </w:p>
    <w:p>
      <w:pPr>
        <w:spacing w:after="120"/>
        <w:ind w:left="288"/>
      </w:pPr>
      <w:r>
        <w:rPr>
          <w:rFonts w:ascii="Arial" w:hAnsi="Arial"/>
          <w:b/>
          <w:color w:val="1E3A8A"/>
          <w:sz w:val="22"/>
        </w:rPr>
        <w:t xml:space="preserve">• Evidence Tampering &amp; Chain-of-Custody Gaps: </w:t>
      </w:r>
      <w:r>
        <w:rPr>
          <w:rFonts w:ascii="Calibri" w:hAnsi="Calibri"/>
          <w:color w:val="334155"/>
          <w:sz w:val="22"/>
        </w:rPr>
        <w:t>Digital evidence logs stored in conventional spreadsheets or databases lack cryptographic protection, leaving them vulnerable to defense challenges regarding authenticity, modifications, or chain-of-custody breaks.</w:t>
      </w:r>
    </w:p>
    <w:p>
      <w:pPr>
        <w:spacing w:after="240"/>
      </w:pPr>
    </w:p>
    <w:p>
      <w:pPr>
        <w:pStyle w:val="Heading1"/>
      </w:pPr>
      <w:r>
        <w:rPr>
          <w:rFonts w:ascii="Arial" w:hAnsi="Arial"/>
          <w:b/>
          <w:color w:val="0F172A"/>
          <w:sz w:val="28"/>
        </w:rPr>
        <w:t>2. SOLUTION PROVIDED: TACTICAL INTELLIGENCE PLATFORM</w:t>
      </w:r>
    </w:p>
    <w:p>
      <w:pPr>
        <w:spacing w:after="120"/>
        <w:ind w:left="288"/>
      </w:pPr>
      <w:r>
        <w:rPr>
          <w:rFonts w:ascii="Arial" w:hAnsi="Arial"/>
          <w:b/>
          <w:color w:val="1D4ED8"/>
          <w:sz w:val="22"/>
        </w:rPr>
        <w:t xml:space="preserve">✔ Multi-Source Automated Ingestion Engine: </w:t>
      </w:r>
      <w:r>
        <w:rPr>
          <w:rFonts w:ascii="Calibri" w:hAnsi="Calibri"/>
          <w:color w:val="334155"/>
          <w:sz w:val="22"/>
        </w:rPr>
        <w:t>In-built parsers digest CDR telecom logs, FIR text PDFs, CCTV video streams, bank financial files, and social media handles into a standardized relational and graph model.</w:t>
      </w:r>
    </w:p>
    <w:p>
      <w:pPr>
        <w:spacing w:after="120"/>
        <w:ind w:left="288"/>
      </w:pPr>
      <w:r>
        <w:rPr>
          <w:rFonts w:ascii="Arial" w:hAnsi="Arial"/>
          <w:b/>
          <w:color w:val="1D4ED8"/>
          <w:sz w:val="22"/>
        </w:rPr>
        <w:t xml:space="preserve">✔ 100-Point Dynamic Threat Indexing System: </w:t>
      </w:r>
      <w:r>
        <w:rPr>
          <w:rFonts w:ascii="Calibri" w:hAnsi="Calibri"/>
          <w:color w:val="334155"/>
          <w:sz w:val="22"/>
        </w:rPr>
        <w:t>An algorithmic scoring engine evaluates suspects across 6 quantitative crime vectors (CCTV Sighting, Nocturnal CDR Interceptions, FIR Severity, Criminal History, Financial Risk, and Social Media Association) to calculate a unified 0-100 Threat Score with color-coded risk tiers (Critical Red, Elevated Orange, Standard Blue).</w:t>
      </w:r>
    </w:p>
    <w:p>
      <w:pPr>
        <w:spacing w:after="120"/>
        <w:ind w:left="288"/>
      </w:pPr>
      <w:r>
        <w:rPr>
          <w:rFonts w:ascii="Arial" w:hAnsi="Arial"/>
          <w:b/>
          <w:color w:val="1D4ED8"/>
          <w:sz w:val="22"/>
        </w:rPr>
        <w:t xml:space="preserve">✔ Explainable AI (XAI) &amp; Counterfactual Evidence Attribution: </w:t>
      </w:r>
      <w:r>
        <w:rPr>
          <w:rFonts w:ascii="Calibri" w:hAnsi="Calibri"/>
          <w:color w:val="334155"/>
          <w:sz w:val="22"/>
        </w:rPr>
        <w:t>Breakdown of exact mathematical contributions (+28.6 pts CCTV, +20 pts CDR, +15 pts FIR) paired with interactive counterfactual simulation ('What if phone was switched off at 02:15 AM?') to generate court-proof prosecution dossiers.</w:t>
      </w:r>
    </w:p>
    <w:p>
      <w:pPr>
        <w:spacing w:after="120"/>
        <w:ind w:left="288"/>
      </w:pPr>
      <w:r>
        <w:rPr>
          <w:rFonts w:ascii="Arial" w:hAnsi="Arial"/>
          <w:b/>
          <w:color w:val="1D4ED8"/>
          <w:sz w:val="22"/>
        </w:rPr>
        <w:t xml:space="preserve">✔ Spatiotemporal Timeline &amp; CCTV Playback: </w:t>
      </w:r>
      <w:r>
        <w:rPr>
          <w:rFonts w:ascii="Calibri" w:hAnsi="Calibri"/>
          <w:color w:val="334155"/>
          <w:sz w:val="22"/>
        </w:rPr>
        <w:t>Interactive video player synchronized with cell-tower location hops, placing visual face-match captures on geographical maps in real time.</w:t>
      </w:r>
    </w:p>
    <w:p>
      <w:pPr>
        <w:spacing w:after="120"/>
        <w:ind w:left="288"/>
      </w:pPr>
      <w:r>
        <w:rPr>
          <w:rFonts w:ascii="Arial" w:hAnsi="Arial"/>
          <w:b/>
          <w:color w:val="1D4ED8"/>
          <w:sz w:val="22"/>
        </w:rPr>
        <w:t xml:space="preserve">✔ Graph Centrality &amp; Syndicate Discovery: </w:t>
      </w:r>
      <w:r>
        <w:rPr>
          <w:rFonts w:ascii="Calibri" w:hAnsi="Calibri"/>
          <w:color w:val="334155"/>
          <w:sz w:val="22"/>
        </w:rPr>
        <w:t>Automated network analysis algorithms (Degree Centrality, Betweenness, Gephi GEXF exports) identify hidden gang leaders, kingpins, and intermediary contacts.</w:t>
      </w:r>
    </w:p>
    <w:p>
      <w:pPr>
        <w:spacing w:after="120"/>
        <w:ind w:left="288"/>
      </w:pPr>
      <w:r>
        <w:rPr>
          <w:rFonts w:ascii="Arial" w:hAnsi="Arial"/>
          <w:b/>
          <w:color w:val="1D4ED8"/>
          <w:sz w:val="22"/>
        </w:rPr>
        <w:t xml:space="preserve">✔ Tamper-Evident Cryptographic SHA-256 Audit Trail: </w:t>
      </w:r>
      <w:r>
        <w:rPr>
          <w:rFonts w:ascii="Calibri" w:hAnsi="Calibri"/>
          <w:color w:val="334155"/>
          <w:sz w:val="22"/>
        </w:rPr>
        <w:t>Every search, record update, and AI risk prediction is hashed sequentially into a SHA-256 forensic log ledger, guaranteeing unalterable chain-of-custody for judicial scrutiny.</w:t>
      </w:r>
    </w:p>
    <w:p>
      <w:pPr>
        <w:spacing w:after="320"/>
      </w:pPr>
    </w:p>
    <w:p>
      <w:pPr>
        <w:pStyle w:val="Heading1"/>
      </w:pPr>
      <w:r>
        <w:rPr>
          <w:rFonts w:ascii="Arial" w:hAnsi="Arial"/>
          <w:b/>
          <w:color w:val="0F172A"/>
          <w:sz w:val="28"/>
        </w:rPr>
        <w:t>3. SYSTEM FLOWCHART (END-TO-END PIPELINE)</w:t>
      </w:r>
    </w:p>
    <w:p>
      <w:pPr>
        <w:spacing w:before="160" w:after="160"/>
        <w:jc w:val="center"/>
      </w:pPr>
      <w:r>
        <w:drawing>
          <wp:inline xmlns:a="http://schemas.openxmlformats.org/drawingml/2006/main" xmlns:pic="http://schemas.openxmlformats.org/drawingml/2006/picture">
            <wp:extent cx="5943600" cy="2806457"/>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943600" cy="2806457"/>
                    </a:xfrm>
                    <a:prstGeom prst="rect"/>
                  </pic:spPr>
                </pic:pic>
              </a:graphicData>
            </a:graphic>
          </wp:inline>
        </w:drawing>
      </w:r>
    </w:p>
    <w:p>
      <w:pPr>
        <w:spacing w:after="240"/>
        <w:jc w:val="center"/>
      </w:pPr>
      <w:r>
        <w:rPr>
          <w:rFonts w:ascii="Calibri" w:hAnsi="Calibri"/>
          <w:i/>
          <w:color w:val="64748B"/>
          <w:sz w:val="19"/>
        </w:rPr>
        <w:t>Figure 1: High-Resolution Tactical System Architecture &amp; Core Workflow Diagram (from SIH2026Presentation-2.pptx)</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50" w:type="dxa"/>
              <w:right w:w="150" w:type="dxa"/>
            </w:tcMar>
          </w:tcPr>
          <w:p>
            <w:pPr>
              <w:jc w:val="center"/>
            </w:pPr>
            <w:r>
              <w:rPr>
                <w:rFonts w:ascii="Consolas" w:hAnsi="Consolas"/>
                <w:b/>
                <w:color w:val="1E3A8A"/>
                <w:sz w:val="17"/>
              </w:rPr>
              <w:t>+-----------------------------------------------------------------------------------+</w:t>
              <w:br/>
              <w:t>|                             1. MULTI-SOURCE DATA INGESTION                         |</w:t>
              <w:br/>
              <w:t>|  [CDR Phone Logs]   [CCTV Cameras]   [FIR Complaints]   [Bank Logs]   [Social Media]  |</w:t>
              <w:br/>
              <w:t>+-----------------------------------------------------------------------------------+</w:t>
              <w:br/>
              <w:t xml:space="preserve">                                          │                                          </w:t>
              <w:br/>
              <w:t xml:space="preserve">                                          ▼                                          </w:t>
              <w:br/>
              <w:t>+-----------------------------------------------------------------------------------+</w:t>
              <w:br/>
              <w:t>|                        2. FEATURE EXTRACTION &amp; NLP PREPROCESSING                  |</w:t>
              <w:br/>
              <w:t>|  • Regex CDR Parser   • Facial Recog (OpenCV)   • SpaCy Entity Extraction (FIR)   |</w:t>
              <w:br/>
              <w:t>+-----------------------------------------------------------------------------------+</w:t>
              <w:br/>
              <w:t xml:space="preserve">                                          │                                          </w:t>
              <w:br/>
              <w:t xml:space="preserve">                                          ▼                                          </w:t>
              <w:br/>
              <w:t>+-----------------------------------------------------------------------------------+</w:t>
              <w:br/>
              <w:t>|                      3. GRAPH ANALYTICS &amp; ANOMALY CORRELATION                     |</w:t>
              <w:br/>
              <w:t>|  • Network Centrality (NetworkX)   • Nocturnal Call Spikes   • Co-Location Clustering |</w:t>
              <w:br/>
              <w:t>+-----------------------------------------------------------------------------------+</w:t>
              <w:br/>
              <w:t xml:space="preserve">                                          │                                          </w:t>
              <w:br/>
              <w:t xml:space="preserve">                                          ▼                                          </w:t>
              <w:br/>
              <w:t>+-----------------------------------------------------------------------------------+</w:t>
              <w:br/>
              <w:t>|                   4. THREAT SCORING &amp; EXPLAINABLE AI (XAI) MATRIX                 |</w:t>
              <w:br/>
              <w:t>|  • 100-Point Threat Score   • Mathematical Attribution   • Counterfactual Simulation  |</w:t>
              <w:br/>
              <w:t>+-----------------------------------------------------------------------------------+</w:t>
              <w:br/>
              <w:t xml:space="preserve">                                          │                                          </w:t>
              <w:br/>
              <w:t xml:space="preserve">                                          ▼                                          </w:t>
              <w:br/>
              <w:t>+-----------------------------------------------------------------------------------+</w:t>
              <w:br/>
              <w:t>|                   5. TACTICAL COMMAND DASHBOARD &amp; EVIDENCE EXPORT                  |</w:t>
              <w:br/>
              <w:t>|  • Live Maps &amp; CCTV Timeline   • Audio AI Copilot   • Court Dossier PDF &amp; SHA Audit|</w:t>
              <w:br/>
              <w:t>+-----------------------------------------------------------------------------------+</w:t>
            </w:r>
          </w:p>
        </w:tc>
      </w:tr>
    </w:tbl>
    <w:p>
      <w:pPr>
        <w:spacing w:after="320"/>
      </w:pPr>
    </w:p>
    <w:p>
      <w:pPr>
        <w:pStyle w:val="Heading1"/>
      </w:pPr>
      <w:r>
        <w:rPr>
          <w:rFonts w:ascii="Arial" w:hAnsi="Arial"/>
          <w:b/>
          <w:color w:val="0F172A"/>
          <w:sz w:val="28"/>
        </w:rPr>
        <w:t>4. DETAILED STEP-BY-STEP PIPELINE BREAKDOWN ('HOW IT WORKS')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c>
          <w:tcPr>
            <w:tcW w:type="dxa" w:w="3312"/>
            <w:shd w:fill="1E3A8A"/>
            <w:tcMar>
              <w:top w:w="100" w:type="dxa"/>
              <w:bottom w:w="100" w:type="dxa"/>
              <w:left w:w="120" w:type="dxa"/>
              <w:right w:w="120" w:type="dxa"/>
            </w:tcMar>
          </w:tcPr>
          <w:p>
            <w:r>
              <w:rPr>
                <w:rFonts w:ascii="Arial" w:hAnsi="Arial"/>
                <w:b/>
                <w:color w:val="FFFFFF"/>
                <w:sz w:val="20"/>
              </w:rPr>
              <w:t>Pipeline Phase</w:t>
            </w:r>
          </w:p>
        </w:tc>
        <w:tc>
          <w:tcPr>
            <w:tcW w:type="dxa" w:w="3312"/>
            <w:shd w:fill="1E3A8A"/>
            <w:tcMar>
              <w:top w:w="100" w:type="dxa"/>
              <w:bottom w:w="100" w:type="dxa"/>
              <w:left w:w="120" w:type="dxa"/>
              <w:right w:w="120" w:type="dxa"/>
            </w:tcMar>
          </w:tcPr>
          <w:p>
            <w:r>
              <w:rPr>
                <w:rFonts w:ascii="Arial" w:hAnsi="Arial"/>
                <w:b/>
                <w:color w:val="FFFFFF"/>
                <w:sz w:val="20"/>
              </w:rPr>
              <w:t>Core Engine / Method</w:t>
            </w:r>
          </w:p>
        </w:tc>
        <w:tc>
          <w:tcPr>
            <w:tcW w:type="dxa" w:w="3312"/>
            <w:shd w:fill="1E3A8A"/>
            <w:tcMar>
              <w:top w:w="100" w:type="dxa"/>
              <w:bottom w:w="100" w:type="dxa"/>
              <w:left w:w="120" w:type="dxa"/>
              <w:right w:w="120" w:type="dxa"/>
            </w:tcMar>
          </w:tcPr>
          <w:p>
            <w:r>
              <w:rPr>
                <w:rFonts w:ascii="Arial" w:hAnsi="Arial"/>
                <w:b/>
                <w:color w:val="FFFFFF"/>
                <w:sz w:val="20"/>
              </w:rPr>
              <w:t>Operational Function &amp; Output</w:t>
            </w:r>
          </w:p>
        </w:tc>
      </w:tr>
      <w:tr>
        <w:tc>
          <w:tcPr>
            <w:tcW w:type="dxa" w:w="3312"/>
            <w:shd w:fill="F8FAFC"/>
            <w:tcMar>
              <w:top w:w="80" w:type="dxa"/>
              <w:bottom w:w="80" w:type="dxa"/>
              <w:left w:w="100" w:type="dxa"/>
              <w:right w:w="100" w:type="dxa"/>
            </w:tcMar>
          </w:tcPr>
          <w:p>
            <w:r>
              <w:rPr>
                <w:rFonts w:ascii="Calibri" w:hAnsi="Calibri"/>
                <w:b/>
                <w:color w:val="1E3A8A"/>
                <w:sz w:val="19"/>
              </w:rPr>
              <w:t>Step 1: Multi-Source Ingestion</w:t>
            </w:r>
          </w:p>
        </w:tc>
        <w:tc>
          <w:tcPr>
            <w:tcW w:type="dxa" w:w="3312"/>
            <w:shd w:fill="F8FAFC"/>
            <w:tcMar>
              <w:top w:w="80" w:type="dxa"/>
              <w:bottom w:w="80" w:type="dxa"/>
              <w:left w:w="100" w:type="dxa"/>
              <w:right w:w="100" w:type="dxa"/>
            </w:tcMar>
          </w:tcPr>
          <w:p>
            <w:r>
              <w:rPr>
                <w:rFonts w:ascii="Calibri" w:hAnsi="Calibri"/>
                <w:color w:val="334155"/>
                <w:sz w:val="19"/>
              </w:rPr>
              <w:t>Input Data Stream</w:t>
            </w:r>
          </w:p>
        </w:tc>
        <w:tc>
          <w:tcPr>
            <w:tcW w:type="dxa" w:w="3312"/>
            <w:shd w:fill="F8FAFC"/>
            <w:tcMar>
              <w:top w:w="80" w:type="dxa"/>
              <w:bottom w:w="80" w:type="dxa"/>
              <w:left w:w="100" w:type="dxa"/>
              <w:right w:w="100" w:type="dxa"/>
            </w:tcMar>
          </w:tcPr>
          <w:p>
            <w:r>
              <w:rPr>
                <w:rFonts w:ascii="Calibri" w:hAnsi="Calibri"/>
                <w:color w:val="334155"/>
                <w:sz w:val="19"/>
              </w:rPr>
              <w:t>Raw CSV files, JSON payloads, RTSP camera streams, and PDF police records are fed into the ingestion service.</w:t>
            </w:r>
          </w:p>
        </w:tc>
      </w:tr>
      <w:tr>
        <w:tc>
          <w:tcPr>
            <w:tcW w:type="dxa" w:w="3312"/>
            <w:shd w:fill="FFFFFF"/>
            <w:tcMar>
              <w:top w:w="80" w:type="dxa"/>
              <w:bottom w:w="80" w:type="dxa"/>
              <w:left w:w="100" w:type="dxa"/>
              <w:right w:w="100" w:type="dxa"/>
            </w:tcMar>
          </w:tcPr>
          <w:p>
            <w:r>
              <w:rPr>
                <w:rFonts w:ascii="Calibri" w:hAnsi="Calibri"/>
                <w:b/>
                <w:color w:val="1E3A8A"/>
                <w:sz w:val="19"/>
              </w:rPr>
              <w:t>Step 2: Parsing &amp; Entity Extraction</w:t>
            </w:r>
          </w:p>
        </w:tc>
        <w:tc>
          <w:tcPr>
            <w:tcW w:type="dxa" w:w="3312"/>
            <w:shd w:fill="FFFFFF"/>
            <w:tcMar>
              <w:top w:w="80" w:type="dxa"/>
              <w:bottom w:w="80" w:type="dxa"/>
              <w:left w:w="100" w:type="dxa"/>
              <w:right w:w="100" w:type="dxa"/>
            </w:tcMar>
          </w:tcPr>
          <w:p>
            <w:r>
              <w:rPr>
                <w:rFonts w:ascii="Calibri" w:hAnsi="Calibri"/>
                <w:color w:val="334155"/>
                <w:sz w:val="19"/>
              </w:rPr>
              <w:t>NLP &amp; Computer Vision</w:t>
            </w:r>
          </w:p>
        </w:tc>
        <w:tc>
          <w:tcPr>
            <w:tcW w:type="dxa" w:w="3312"/>
            <w:shd w:fill="FFFFFF"/>
            <w:tcMar>
              <w:top w:w="80" w:type="dxa"/>
              <w:bottom w:w="80" w:type="dxa"/>
              <w:left w:w="100" w:type="dxa"/>
              <w:right w:w="100" w:type="dxa"/>
            </w:tcMar>
          </w:tcPr>
          <w:p>
            <w:r>
              <w:rPr>
                <w:rFonts w:ascii="Calibri" w:hAnsi="Calibri"/>
                <w:color w:val="334155"/>
                <w:sz w:val="19"/>
              </w:rPr>
              <w:t>SpaCy extracts criminal names, addresses, and IPC sections from FIRs. Facial recognition scans CCTV frames. Regex parses cell tower IDs &amp; call durations.</w:t>
            </w:r>
          </w:p>
        </w:tc>
      </w:tr>
      <w:tr>
        <w:tc>
          <w:tcPr>
            <w:tcW w:type="dxa" w:w="3312"/>
            <w:shd w:fill="F8FAFC"/>
            <w:tcMar>
              <w:top w:w="80" w:type="dxa"/>
              <w:bottom w:w="80" w:type="dxa"/>
              <w:left w:w="100" w:type="dxa"/>
              <w:right w:w="100" w:type="dxa"/>
            </w:tcMar>
          </w:tcPr>
          <w:p>
            <w:r>
              <w:rPr>
                <w:rFonts w:ascii="Calibri" w:hAnsi="Calibri"/>
                <w:b/>
                <w:color w:val="1E3A8A"/>
                <w:sz w:val="19"/>
              </w:rPr>
              <w:t>Step 3: Graph &amp; Spatial Correlation</w:t>
            </w:r>
          </w:p>
        </w:tc>
        <w:tc>
          <w:tcPr>
            <w:tcW w:type="dxa" w:w="3312"/>
            <w:shd w:fill="F8FAFC"/>
            <w:tcMar>
              <w:top w:w="80" w:type="dxa"/>
              <w:bottom w:w="80" w:type="dxa"/>
              <w:left w:w="100" w:type="dxa"/>
              <w:right w:w="100" w:type="dxa"/>
            </w:tcMar>
          </w:tcPr>
          <w:p>
            <w:r>
              <w:rPr>
                <w:rFonts w:ascii="Calibri" w:hAnsi="Calibri"/>
                <w:color w:val="334155"/>
                <w:sz w:val="19"/>
              </w:rPr>
              <w:t>Correlation Engine</w:t>
            </w:r>
          </w:p>
        </w:tc>
        <w:tc>
          <w:tcPr>
            <w:tcW w:type="dxa" w:w="3312"/>
            <w:shd w:fill="F8FAFC"/>
            <w:tcMar>
              <w:top w:w="80" w:type="dxa"/>
              <w:bottom w:w="80" w:type="dxa"/>
              <w:left w:w="100" w:type="dxa"/>
              <w:right w:w="100" w:type="dxa"/>
            </w:tcMar>
          </w:tcPr>
          <w:p>
            <w:r>
              <w:rPr>
                <w:rFonts w:ascii="Calibri" w:hAnsi="Calibri"/>
                <w:color w:val="334155"/>
                <w:sz w:val="19"/>
              </w:rPr>
              <w:t>Nodes (suspects) and edges (calls/co-locations) are stored in graph memory. Spatiotemporal algorithms detect simultaneous presence of suspects near crime scenes.</w:t>
            </w:r>
          </w:p>
        </w:tc>
      </w:tr>
      <w:tr>
        <w:tc>
          <w:tcPr>
            <w:tcW w:type="dxa" w:w="3312"/>
            <w:shd w:fill="FFFFFF"/>
            <w:tcMar>
              <w:top w:w="80" w:type="dxa"/>
              <w:bottom w:w="80" w:type="dxa"/>
              <w:left w:w="100" w:type="dxa"/>
              <w:right w:w="100" w:type="dxa"/>
            </w:tcMar>
          </w:tcPr>
          <w:p>
            <w:r>
              <w:rPr>
                <w:rFonts w:ascii="Calibri" w:hAnsi="Calibri"/>
                <w:b/>
                <w:color w:val="1E3A8A"/>
                <w:sz w:val="19"/>
              </w:rPr>
              <w:t>Step 4: Threat Indexing &amp; Scoring</w:t>
            </w:r>
          </w:p>
        </w:tc>
        <w:tc>
          <w:tcPr>
            <w:tcW w:type="dxa" w:w="3312"/>
            <w:shd w:fill="FFFFFF"/>
            <w:tcMar>
              <w:top w:w="80" w:type="dxa"/>
              <w:bottom w:w="80" w:type="dxa"/>
              <w:left w:w="100" w:type="dxa"/>
              <w:right w:w="100" w:type="dxa"/>
            </w:tcMar>
          </w:tcPr>
          <w:p>
            <w:r>
              <w:rPr>
                <w:rFonts w:ascii="Calibri" w:hAnsi="Calibri"/>
                <w:color w:val="334155"/>
                <w:sz w:val="19"/>
              </w:rPr>
              <w:t>Dynamic Classifier</w:t>
            </w:r>
          </w:p>
        </w:tc>
        <w:tc>
          <w:tcPr>
            <w:tcW w:type="dxa" w:w="3312"/>
            <w:shd w:fill="FFFFFF"/>
            <w:tcMar>
              <w:top w:w="80" w:type="dxa"/>
              <w:bottom w:w="80" w:type="dxa"/>
              <w:left w:w="100" w:type="dxa"/>
              <w:right w:w="100" w:type="dxa"/>
            </w:tcMar>
          </w:tcPr>
          <w:p>
            <w:r>
              <w:rPr>
                <w:rFonts w:ascii="Calibri" w:hAnsi="Calibri"/>
                <w:color w:val="334155"/>
                <w:sz w:val="19"/>
              </w:rPr>
              <w:t>Calculates composite 0-100 Threat Score based on 6 weighted vectors. Subjects scoring &gt;= 75 are flagged as Critical / Level-1 Red.</w:t>
            </w:r>
          </w:p>
        </w:tc>
      </w:tr>
      <w:tr>
        <w:tc>
          <w:tcPr>
            <w:tcW w:type="dxa" w:w="3312"/>
            <w:shd w:fill="F8FAFC"/>
            <w:tcMar>
              <w:top w:w="80" w:type="dxa"/>
              <w:bottom w:w="80" w:type="dxa"/>
              <w:left w:w="100" w:type="dxa"/>
              <w:right w:w="100" w:type="dxa"/>
            </w:tcMar>
          </w:tcPr>
          <w:p>
            <w:r>
              <w:rPr>
                <w:rFonts w:ascii="Calibri" w:hAnsi="Calibri"/>
                <w:b/>
                <w:color w:val="1E3A8A"/>
                <w:sz w:val="19"/>
              </w:rPr>
              <w:t>Step 5: Explainable AI Attribution</w:t>
            </w:r>
          </w:p>
        </w:tc>
        <w:tc>
          <w:tcPr>
            <w:tcW w:type="dxa" w:w="3312"/>
            <w:shd w:fill="F8FAFC"/>
            <w:tcMar>
              <w:top w:w="80" w:type="dxa"/>
              <w:bottom w:w="80" w:type="dxa"/>
              <w:left w:w="100" w:type="dxa"/>
              <w:right w:w="100" w:type="dxa"/>
            </w:tcMar>
          </w:tcPr>
          <w:p>
            <w:r>
              <w:rPr>
                <w:rFonts w:ascii="Calibri" w:hAnsi="Calibri"/>
                <w:color w:val="334155"/>
                <w:sz w:val="19"/>
              </w:rPr>
              <w:t>SHAP/LIME Evidence Engine</w:t>
            </w:r>
          </w:p>
        </w:tc>
        <w:tc>
          <w:tcPr>
            <w:tcW w:type="dxa" w:w="3312"/>
            <w:shd w:fill="F8FAFC"/>
            <w:tcMar>
              <w:top w:w="80" w:type="dxa"/>
              <w:bottom w:w="80" w:type="dxa"/>
              <w:left w:w="100" w:type="dxa"/>
              <w:right w:w="100" w:type="dxa"/>
            </w:tcMar>
          </w:tcPr>
          <w:p>
            <w:r>
              <w:rPr>
                <w:rFonts w:ascii="Calibri" w:hAnsi="Calibri"/>
                <w:color w:val="334155"/>
                <w:sz w:val="19"/>
              </w:rPr>
              <w:t>Generates percentage influence breakdown (+28.6% CCTV, +20.0% CDR) and executes counterfactual scenarios for statutory chargeability (MCOCA/IPC 120B).</w:t>
            </w:r>
          </w:p>
        </w:tc>
      </w:tr>
      <w:tr>
        <w:tc>
          <w:tcPr>
            <w:tcW w:type="dxa" w:w="3312"/>
            <w:shd w:fill="FFFFFF"/>
            <w:tcMar>
              <w:top w:w="80" w:type="dxa"/>
              <w:bottom w:w="80" w:type="dxa"/>
              <w:left w:w="100" w:type="dxa"/>
              <w:right w:w="100" w:type="dxa"/>
            </w:tcMar>
          </w:tcPr>
          <w:p>
            <w:r>
              <w:rPr>
                <w:rFonts w:ascii="Calibri" w:hAnsi="Calibri"/>
                <w:b/>
                <w:color w:val="1E3A8A"/>
                <w:sz w:val="19"/>
              </w:rPr>
              <w:t>Step 6: Dashboard Command Presentation</w:t>
            </w:r>
          </w:p>
        </w:tc>
        <w:tc>
          <w:tcPr>
            <w:tcW w:type="dxa" w:w="3312"/>
            <w:shd w:fill="FFFFFF"/>
            <w:tcMar>
              <w:top w:w="80" w:type="dxa"/>
              <w:bottom w:w="80" w:type="dxa"/>
              <w:left w:w="100" w:type="dxa"/>
              <w:right w:w="100" w:type="dxa"/>
            </w:tcMar>
          </w:tcPr>
          <w:p>
            <w:r>
              <w:rPr>
                <w:rFonts w:ascii="Calibri" w:hAnsi="Calibri"/>
                <w:color w:val="334155"/>
                <w:sz w:val="19"/>
              </w:rPr>
              <w:t>Next.js Web UI</w:t>
            </w:r>
          </w:p>
        </w:tc>
        <w:tc>
          <w:tcPr>
            <w:tcW w:type="dxa" w:w="3312"/>
            <w:shd w:fill="FFFFFF"/>
            <w:tcMar>
              <w:top w:w="80" w:type="dxa"/>
              <w:bottom w:w="80" w:type="dxa"/>
              <w:left w:w="100" w:type="dxa"/>
              <w:right w:w="100" w:type="dxa"/>
            </w:tcMar>
          </w:tcPr>
          <w:p>
            <w:r>
              <w:rPr>
                <w:rFonts w:ascii="Calibri" w:hAnsi="Calibri"/>
                <w:color w:val="334155"/>
                <w:sz w:val="19"/>
              </w:rPr>
              <w:t>Displays subject dossiers, interactive GEXF network graphs, spatiotemporal CCTV timelines, and voice-assisted copilot AI.</w:t>
            </w:r>
          </w:p>
        </w:tc>
      </w:tr>
      <w:tr>
        <w:tc>
          <w:tcPr>
            <w:tcW w:type="dxa" w:w="3312"/>
            <w:shd w:fill="F8FAFC"/>
            <w:tcMar>
              <w:top w:w="80" w:type="dxa"/>
              <w:bottom w:w="80" w:type="dxa"/>
              <w:left w:w="100" w:type="dxa"/>
              <w:right w:w="100" w:type="dxa"/>
            </w:tcMar>
          </w:tcPr>
          <w:p>
            <w:r>
              <w:rPr>
                <w:rFonts w:ascii="Calibri" w:hAnsi="Calibri"/>
                <w:b/>
                <w:color w:val="1E3A8A"/>
                <w:sz w:val="19"/>
              </w:rPr>
              <w:t>Step 7: Security &amp; Audit Logging</w:t>
            </w:r>
          </w:p>
        </w:tc>
        <w:tc>
          <w:tcPr>
            <w:tcW w:type="dxa" w:w="3312"/>
            <w:shd w:fill="F8FAFC"/>
            <w:tcMar>
              <w:top w:w="80" w:type="dxa"/>
              <w:bottom w:w="80" w:type="dxa"/>
              <w:left w:w="100" w:type="dxa"/>
              <w:right w:w="100" w:type="dxa"/>
            </w:tcMar>
          </w:tcPr>
          <w:p>
            <w:r>
              <w:rPr>
                <w:rFonts w:ascii="Calibri" w:hAnsi="Calibri"/>
                <w:color w:val="334155"/>
                <w:sz w:val="19"/>
              </w:rPr>
              <w:t>SHA-256 Forensic Audit</w:t>
            </w:r>
          </w:p>
        </w:tc>
        <w:tc>
          <w:tcPr>
            <w:tcW w:type="dxa" w:w="3312"/>
            <w:shd w:fill="F8FAFC"/>
            <w:tcMar>
              <w:top w:w="80" w:type="dxa"/>
              <w:bottom w:w="80" w:type="dxa"/>
              <w:left w:w="100" w:type="dxa"/>
              <w:right w:w="100" w:type="dxa"/>
            </w:tcMar>
          </w:tcPr>
          <w:p>
            <w:r>
              <w:rPr>
                <w:rFonts w:ascii="Calibri" w:hAnsi="Calibri"/>
                <w:color w:val="334155"/>
                <w:sz w:val="19"/>
              </w:rPr>
              <w:t>All queries, user edits, and export actions produce cryptographically chained SHA-256 hashes to guarantee court tamper-evidence.</w:t>
            </w:r>
          </w:p>
        </w:tc>
      </w:tr>
    </w:tbl>
    <w:p>
      <w:pPr>
        <w:spacing w:after="320"/>
      </w:pPr>
    </w:p>
    <w:p>
      <w:pPr>
        <w:pStyle w:val="Heading1"/>
      </w:pPr>
      <w:r>
        <w:rPr>
          <w:rFonts w:ascii="Arial" w:hAnsi="Arial"/>
          <w:b/>
          <w:color w:val="0F172A"/>
          <w:sz w:val="28"/>
        </w:rPr>
        <w:t>5. COMPARATIVE MATRIX: TRADITIONAL VS. TACTICAL COMMAND PLATFORM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c>
          <w:tcPr>
            <w:tcW w:type="dxa" w:w="3312"/>
            <w:shd w:fill="0F172A"/>
            <w:tcMar>
              <w:top w:w="100" w:type="dxa"/>
              <w:bottom w:w="100" w:type="dxa"/>
              <w:left w:w="120" w:type="dxa"/>
              <w:right w:w="120" w:type="dxa"/>
            </w:tcMar>
          </w:tcPr>
          <w:p>
            <w:r>
              <w:rPr>
                <w:rFonts w:ascii="Arial" w:hAnsi="Arial"/>
                <w:b/>
                <w:color w:val="FFFFFF"/>
                <w:sz w:val="20"/>
              </w:rPr>
              <w:t>Dimension</w:t>
            </w:r>
          </w:p>
        </w:tc>
        <w:tc>
          <w:tcPr>
            <w:tcW w:type="dxa" w:w="3312"/>
            <w:shd w:fill="0F172A"/>
            <w:tcMar>
              <w:top w:w="100" w:type="dxa"/>
              <w:bottom w:w="100" w:type="dxa"/>
              <w:left w:w="120" w:type="dxa"/>
              <w:right w:w="120" w:type="dxa"/>
            </w:tcMar>
          </w:tcPr>
          <w:p>
            <w:r>
              <w:rPr>
                <w:rFonts w:ascii="Arial" w:hAnsi="Arial"/>
                <w:b/>
                <w:color w:val="FFFFFF"/>
                <w:sz w:val="20"/>
              </w:rPr>
              <w:t>Traditional Police Workflow</w:t>
            </w:r>
          </w:p>
        </w:tc>
        <w:tc>
          <w:tcPr>
            <w:tcW w:type="dxa" w:w="3312"/>
            <w:shd w:fill="0F172A"/>
            <w:tcMar>
              <w:top w:w="100" w:type="dxa"/>
              <w:bottom w:w="100" w:type="dxa"/>
              <w:left w:w="120" w:type="dxa"/>
              <w:right w:w="120" w:type="dxa"/>
            </w:tcMar>
          </w:tcPr>
          <w:p>
            <w:r>
              <w:rPr>
                <w:rFonts w:ascii="Arial" w:hAnsi="Arial"/>
                <w:b/>
                <w:color w:val="FFFFFF"/>
                <w:sz w:val="20"/>
              </w:rPr>
              <w:t>Tactical Intelligence Command Engine</w:t>
            </w:r>
          </w:p>
        </w:tc>
      </w:tr>
      <w:tr>
        <w:tc>
          <w:tcPr>
            <w:tcW w:type="dxa" w:w="3312"/>
            <w:shd w:fill="F8FAFC"/>
            <w:tcMar>
              <w:top w:w="80" w:type="dxa"/>
              <w:bottom w:w="80" w:type="dxa"/>
              <w:left w:w="100" w:type="dxa"/>
              <w:right w:w="100" w:type="dxa"/>
            </w:tcMar>
          </w:tcPr>
          <w:p>
            <w:r>
              <w:rPr>
                <w:rFonts w:ascii="Calibri" w:hAnsi="Calibri"/>
                <w:b/>
                <w:color w:val="0F172A"/>
                <w:sz w:val="19"/>
              </w:rPr>
              <w:t>Investigation Speed</w:t>
            </w:r>
          </w:p>
        </w:tc>
        <w:tc>
          <w:tcPr>
            <w:tcW w:type="dxa" w:w="3312"/>
            <w:shd w:fill="F8FAFC"/>
            <w:tcMar>
              <w:top w:w="80" w:type="dxa"/>
              <w:bottom w:w="80" w:type="dxa"/>
              <w:left w:w="100" w:type="dxa"/>
              <w:right w:w="100" w:type="dxa"/>
            </w:tcMar>
          </w:tcPr>
          <w:p>
            <w:r>
              <w:rPr>
                <w:rFonts w:ascii="Calibri" w:hAnsi="Calibri"/>
                <w:color w:val="B91C1C"/>
                <w:sz w:val="19"/>
              </w:rPr>
              <w:t>Manual paper &amp; spreadsheet check (Weeks)</w:t>
            </w:r>
          </w:p>
        </w:tc>
        <w:tc>
          <w:tcPr>
            <w:tcW w:type="dxa" w:w="3312"/>
            <w:shd w:fill="F8FAFC"/>
            <w:tcMar>
              <w:top w:w="80" w:type="dxa"/>
              <w:bottom w:w="80" w:type="dxa"/>
              <w:left w:w="100" w:type="dxa"/>
              <w:right w:w="100" w:type="dxa"/>
            </w:tcMar>
          </w:tcPr>
          <w:p>
            <w:r>
              <w:rPr>
                <w:rFonts w:ascii="Calibri" w:hAnsi="Calibri"/>
                <w:b/>
                <w:color w:val="15803D"/>
                <w:sz w:val="19"/>
              </w:rPr>
              <w:t>Automated multi-stream correlation (Seconds)</w:t>
            </w:r>
          </w:p>
        </w:tc>
      </w:tr>
      <w:tr>
        <w:tc>
          <w:tcPr>
            <w:tcW w:type="dxa" w:w="3312"/>
            <w:shd w:fill="FFFFFF"/>
            <w:tcMar>
              <w:top w:w="80" w:type="dxa"/>
              <w:bottom w:w="80" w:type="dxa"/>
              <w:left w:w="100" w:type="dxa"/>
              <w:right w:w="100" w:type="dxa"/>
            </w:tcMar>
          </w:tcPr>
          <w:p>
            <w:r>
              <w:rPr>
                <w:rFonts w:ascii="Calibri" w:hAnsi="Calibri"/>
                <w:b/>
                <w:color w:val="0F172A"/>
                <w:sz w:val="19"/>
              </w:rPr>
              <w:t>Cross-Source Correlation</w:t>
            </w:r>
          </w:p>
        </w:tc>
        <w:tc>
          <w:tcPr>
            <w:tcW w:type="dxa" w:w="3312"/>
            <w:shd w:fill="FFFFFF"/>
            <w:tcMar>
              <w:top w:w="80" w:type="dxa"/>
              <w:bottom w:w="80" w:type="dxa"/>
              <w:left w:w="100" w:type="dxa"/>
              <w:right w:w="100" w:type="dxa"/>
            </w:tcMar>
          </w:tcPr>
          <w:p>
            <w:r>
              <w:rPr>
                <w:rFonts w:ascii="Calibri" w:hAnsi="Calibri"/>
                <w:color w:val="B91C1C"/>
                <w:sz w:val="19"/>
              </w:rPr>
              <w:t>Disjointed analysis across departments</w:t>
            </w:r>
          </w:p>
        </w:tc>
        <w:tc>
          <w:tcPr>
            <w:tcW w:type="dxa" w:w="3312"/>
            <w:shd w:fill="FFFFFF"/>
            <w:tcMar>
              <w:top w:w="80" w:type="dxa"/>
              <w:bottom w:w="80" w:type="dxa"/>
              <w:left w:w="100" w:type="dxa"/>
              <w:right w:w="100" w:type="dxa"/>
            </w:tcMar>
          </w:tcPr>
          <w:p>
            <w:r>
              <w:rPr>
                <w:rFonts w:ascii="Calibri" w:hAnsi="Calibri"/>
                <w:b/>
                <w:color w:val="15803D"/>
                <w:sz w:val="19"/>
              </w:rPr>
              <w:t>Unified Graph &amp; Spatiotemporal Engine</w:t>
            </w:r>
          </w:p>
        </w:tc>
      </w:tr>
      <w:tr>
        <w:tc>
          <w:tcPr>
            <w:tcW w:type="dxa" w:w="3312"/>
            <w:shd w:fill="F8FAFC"/>
            <w:tcMar>
              <w:top w:w="80" w:type="dxa"/>
              <w:bottom w:w="80" w:type="dxa"/>
              <w:left w:w="100" w:type="dxa"/>
              <w:right w:w="100" w:type="dxa"/>
            </w:tcMar>
          </w:tcPr>
          <w:p>
            <w:r>
              <w:rPr>
                <w:rFonts w:ascii="Calibri" w:hAnsi="Calibri"/>
                <w:b/>
                <w:color w:val="0F172A"/>
                <w:sz w:val="19"/>
              </w:rPr>
              <w:t>AI Trust &amp; Court Proof</w:t>
            </w:r>
          </w:p>
        </w:tc>
        <w:tc>
          <w:tcPr>
            <w:tcW w:type="dxa" w:w="3312"/>
            <w:shd w:fill="F8FAFC"/>
            <w:tcMar>
              <w:top w:w="80" w:type="dxa"/>
              <w:bottom w:w="80" w:type="dxa"/>
              <w:left w:w="100" w:type="dxa"/>
              <w:right w:w="100" w:type="dxa"/>
            </w:tcMar>
          </w:tcPr>
          <w:p>
            <w:r>
              <w:rPr>
                <w:rFonts w:ascii="Calibri" w:hAnsi="Calibri"/>
                <w:color w:val="B91C1C"/>
                <w:sz w:val="19"/>
              </w:rPr>
              <w:t>Black-box AI rejected in cross-examination</w:t>
            </w:r>
          </w:p>
        </w:tc>
        <w:tc>
          <w:tcPr>
            <w:tcW w:type="dxa" w:w="3312"/>
            <w:shd w:fill="F8FAFC"/>
            <w:tcMar>
              <w:top w:w="80" w:type="dxa"/>
              <w:bottom w:w="80" w:type="dxa"/>
              <w:left w:w="100" w:type="dxa"/>
              <w:right w:w="100" w:type="dxa"/>
            </w:tcMar>
          </w:tcPr>
          <w:p>
            <w:r>
              <w:rPr>
                <w:rFonts w:ascii="Calibri" w:hAnsi="Calibri"/>
                <w:b/>
                <w:color w:val="15803D"/>
                <w:sz w:val="19"/>
              </w:rPr>
              <w:t>Explainable AI (XAI) feature attribution</w:t>
            </w:r>
          </w:p>
        </w:tc>
      </w:tr>
      <w:tr>
        <w:tc>
          <w:tcPr>
            <w:tcW w:type="dxa" w:w="3312"/>
            <w:shd w:fill="FFFFFF"/>
            <w:tcMar>
              <w:top w:w="80" w:type="dxa"/>
              <w:bottom w:w="80" w:type="dxa"/>
              <w:left w:w="100" w:type="dxa"/>
              <w:right w:w="100" w:type="dxa"/>
            </w:tcMar>
          </w:tcPr>
          <w:p>
            <w:r>
              <w:rPr>
                <w:rFonts w:ascii="Calibri" w:hAnsi="Calibri"/>
                <w:b/>
                <w:color w:val="0F172A"/>
                <w:sz w:val="19"/>
              </w:rPr>
              <w:t>Evidence Tamper Proof</w:t>
            </w:r>
          </w:p>
        </w:tc>
        <w:tc>
          <w:tcPr>
            <w:tcW w:type="dxa" w:w="3312"/>
            <w:shd w:fill="FFFFFF"/>
            <w:tcMar>
              <w:top w:w="80" w:type="dxa"/>
              <w:bottom w:w="80" w:type="dxa"/>
              <w:left w:w="100" w:type="dxa"/>
              <w:right w:w="100" w:type="dxa"/>
            </w:tcMar>
          </w:tcPr>
          <w:p>
            <w:r>
              <w:rPr>
                <w:rFonts w:ascii="Calibri" w:hAnsi="Calibri"/>
                <w:color w:val="B91C1C"/>
                <w:sz w:val="19"/>
              </w:rPr>
              <w:t>Standard database logs prone to edits</w:t>
            </w:r>
          </w:p>
        </w:tc>
        <w:tc>
          <w:tcPr>
            <w:tcW w:type="dxa" w:w="3312"/>
            <w:shd w:fill="FFFFFF"/>
            <w:tcMar>
              <w:top w:w="80" w:type="dxa"/>
              <w:bottom w:w="80" w:type="dxa"/>
              <w:left w:w="100" w:type="dxa"/>
              <w:right w:w="100" w:type="dxa"/>
            </w:tcMar>
          </w:tcPr>
          <w:p>
            <w:r>
              <w:rPr>
                <w:rFonts w:ascii="Calibri" w:hAnsi="Calibri"/>
                <w:b/>
                <w:color w:val="15803D"/>
                <w:sz w:val="19"/>
              </w:rPr>
              <w:t>Cryptographic SHA-256 immutable audit chain</w:t>
            </w:r>
          </w:p>
        </w:tc>
      </w:tr>
      <w:tr>
        <w:tc>
          <w:tcPr>
            <w:tcW w:type="dxa" w:w="3312"/>
            <w:shd w:fill="F8FAFC"/>
            <w:tcMar>
              <w:top w:w="80" w:type="dxa"/>
              <w:bottom w:w="80" w:type="dxa"/>
              <w:left w:w="100" w:type="dxa"/>
              <w:right w:w="100" w:type="dxa"/>
            </w:tcMar>
          </w:tcPr>
          <w:p>
            <w:r>
              <w:rPr>
                <w:rFonts w:ascii="Calibri" w:hAnsi="Calibri"/>
                <w:b/>
                <w:color w:val="0F172A"/>
                <w:sz w:val="19"/>
              </w:rPr>
              <w:t>Syndicate Detection</w:t>
            </w:r>
          </w:p>
        </w:tc>
        <w:tc>
          <w:tcPr>
            <w:tcW w:type="dxa" w:w="3312"/>
            <w:shd w:fill="F8FAFC"/>
            <w:tcMar>
              <w:top w:w="80" w:type="dxa"/>
              <w:bottom w:w="80" w:type="dxa"/>
              <w:left w:w="100" w:type="dxa"/>
              <w:right w:w="100" w:type="dxa"/>
            </w:tcMar>
          </w:tcPr>
          <w:p>
            <w:r>
              <w:rPr>
                <w:rFonts w:ascii="Calibri" w:hAnsi="Calibri"/>
                <w:color w:val="B91C1C"/>
                <w:sz w:val="19"/>
              </w:rPr>
              <w:t>Only direct contacts identified</w:t>
            </w:r>
          </w:p>
        </w:tc>
        <w:tc>
          <w:tcPr>
            <w:tcW w:type="dxa" w:w="3312"/>
            <w:shd w:fill="F8FAFC"/>
            <w:tcMar>
              <w:top w:w="80" w:type="dxa"/>
              <w:bottom w:w="80" w:type="dxa"/>
              <w:left w:w="100" w:type="dxa"/>
              <w:right w:w="100" w:type="dxa"/>
            </w:tcMar>
          </w:tcPr>
          <w:p>
            <w:r>
              <w:rPr>
                <w:rFonts w:ascii="Calibri" w:hAnsi="Calibri"/>
                <w:b/>
                <w:color w:val="15803D"/>
                <w:sz w:val="19"/>
              </w:rPr>
              <w:t>Graph Centrality algorithms uncover hidden leaders</w:t>
            </w:r>
          </w:p>
        </w:tc>
      </w:tr>
    </w:tbl>
    <w:p>
      <w:pPr>
        <w:spacing w:after="400"/>
      </w:pPr>
    </w:p>
    <w:p>
      <w:pPr>
        <w:jc w:val="right"/>
      </w:pPr>
      <w:r>
        <w:rPr>
          <w:rFonts w:ascii="Calibri" w:hAnsi="Calibri"/>
          <w:i/>
          <w:color w:val="64748B"/>
          <w:sz w:val="18"/>
        </w:rPr>
        <w:t>Generated for Brihanmumbai Police / Special Crime Analysis Unit • Confidential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