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rPr>
        <w:t xml:space="preserve"/>
      </w:r>
    </w:p>
    <w:p>
      <w:pPr>
        <w:spacing w:after="60"/>
        <w:jc w:val="left"/>
      </w:pPr>
      <w:r>
        <w:rPr>
          <w:rFonts w:ascii="Calibri" w:cs="Calibri" w:eastAsia="Calibri" w:hAnsi="Calibri"/>
          <w:b/>
          <w:bCs/>
          <w:color w:val="C04828"/>
          <w:sz w:val="28"/>
          <w:szCs w:val="28"/>
        </w:rPr>
        <w:t xml:space="preserve">TotalMacro</w:t>
      </w:r>
    </w:p>
    <w:p>
      <w:pPr>
        <w:spacing w:after="480"/>
        <w:jc w:val="left"/>
      </w:pPr>
      <w:r>
        <w:rPr>
          <w:rFonts w:ascii="Calibri" w:cs="Calibri" w:eastAsia="Calibri" w:hAnsi="Calibri"/>
          <w:caps/>
          <w:color w:val="5B6470"/>
          <w:spacing w:val="60"/>
          <w:sz w:val="20"/>
          <w:szCs w:val="20"/>
        </w:rPr>
        <w:t xml:space="preserve">Project plan — v2.1</w:t>
      </w:r>
    </w:p>
    <w:p>
      <w:pPr>
        <w:spacing w:after="200"/>
        <w:jc w:val="left"/>
      </w:pPr>
      <w:r>
        <w:rPr>
          <w:rFonts w:ascii="Calibri" w:cs="Calibri" w:eastAsia="Calibri" w:hAnsi="Calibri"/>
          <w:b/>
          <w:bCs/>
          <w:color w:val="1F2D4A"/>
          <w:sz w:val="56"/>
          <w:szCs w:val="56"/>
        </w:rPr>
        <w:t xml:space="preserve">A focused, multi-user</w:t>
      </w:r>
    </w:p>
    <w:p>
      <w:pPr>
        <w:spacing w:after="200"/>
        <w:jc w:val="left"/>
      </w:pPr>
      <w:r>
        <w:rPr>
          <w:rFonts w:ascii="Calibri" w:cs="Calibri" w:eastAsia="Calibri" w:hAnsi="Calibri"/>
          <w:b/>
          <w:bCs/>
          <w:color w:val="1F2D4A"/>
          <w:sz w:val="56"/>
          <w:szCs w:val="56"/>
        </w:rPr>
        <w:t xml:space="preserve">fitness tracking PWA</w:t>
      </w:r>
    </w:p>
    <w:p>
      <w:pPr>
        <w:spacing w:after="480"/>
        <w:jc w:val="left"/>
      </w:pPr>
      <w:r>
        <w:rPr>
          <w:rFonts w:ascii="Calibri" w:cs="Calibri" w:eastAsia="Calibri" w:hAnsi="Calibri"/>
          <w:i/>
          <w:iCs/>
          <w:color w:val="5B6470"/>
          <w:sz w:val="26"/>
          <w:szCs w:val="26"/>
        </w:rPr>
        <w:t xml:space="preserve">Free to build on Supabase and Cloudflare; private by design; ships in seven weeks.</w:t>
      </w:r>
    </w:p>
    <w:p>
      <w:pPr>
        <w:pBdr>
          <w:bottom w:val="single" w:color="C04828" w:sz="12" w:space="1"/>
        </w:pBdr>
        <w:spacing w:after="80" w:before="80"/>
      </w:pPr>
      <w:r>
        <w:rPr>
          <w:rFonts w:ascii="Calibri" w:cs="Calibri" w:eastAsia="Calibri" w:hAnsi="Calibri"/>
        </w:rPr>
        <w:t xml:space="preserve"/>
      </w:r>
    </w:p>
    <w:p>
      <w:pPr>
        <w:spacing w:after="240"/>
      </w:pPr>
      <w:r>
        <w:rPr>
          <w:rFonts w:ascii="Calibri" w:cs="Calibri" w:eastAsia="Calibri" w:hAnsi="Calibri"/>
        </w:rPr>
        <w:t xml:space="preserve"/>
      </w:r>
    </w:p>
    <w:p>
      <w:pPr>
        <w:spacing w:after="100" w:before="0" w:line="300"/>
      </w:pPr>
      <w:r>
        <w:rPr>
          <w:rFonts w:ascii="Calibri" w:cs="Calibri" w:eastAsia="Calibri" w:hAnsi="Calibri"/>
          <w:b/>
          <w:bCs/>
          <w:color w:val="5B6470"/>
          <w:sz w:val="20"/>
          <w:szCs w:val="20"/>
        </w:rPr>
        <w:t xml:space="preserve">Document type  </w:t>
      </w:r>
      <w:r>
        <w:rPr>
          <w:rFonts w:ascii="Calibri" w:cs="Calibri" w:eastAsia="Calibri" w:hAnsi="Calibri"/>
          <w:color w:val="1F2937"/>
          <w:sz w:val="20"/>
          <w:szCs w:val="20"/>
        </w:rPr>
        <w:t xml:space="preserve">Project plan, revision 2.1</w:t>
      </w:r>
    </w:p>
    <w:p>
      <w:pPr>
        <w:spacing w:after="100" w:before="0" w:line="300"/>
      </w:pPr>
      <w:r>
        <w:rPr>
          <w:rFonts w:ascii="Calibri" w:cs="Calibri" w:eastAsia="Calibri" w:hAnsi="Calibri"/>
          <w:b/>
          <w:bCs/>
          <w:color w:val="5B6470"/>
          <w:sz w:val="20"/>
          <w:szCs w:val="20"/>
        </w:rPr>
        <w:t xml:space="preserve">Date  </w:t>
      </w:r>
      <w:r>
        <w:rPr>
          <w:rFonts w:ascii="Calibri" w:cs="Calibri" w:eastAsia="Calibri" w:hAnsi="Calibri"/>
          <w:color w:val="1F2937"/>
          <w:sz w:val="20"/>
          <w:szCs w:val="20"/>
        </w:rPr>
        <w:t xml:space="preserve">May 2026</w:t>
      </w:r>
    </w:p>
    <w:p>
      <w:pPr>
        <w:spacing w:after="100" w:before="0" w:line="300"/>
      </w:pPr>
      <w:r>
        <w:rPr>
          <w:rFonts w:ascii="Calibri" w:cs="Calibri" w:eastAsia="Calibri" w:hAnsi="Calibri"/>
          <w:b/>
          <w:bCs/>
          <w:color w:val="5B6470"/>
          <w:sz w:val="20"/>
          <w:szCs w:val="20"/>
        </w:rPr>
        <w:t xml:space="preserve">Status  </w:t>
      </w:r>
      <w:r>
        <w:rPr>
          <w:rFonts w:ascii="Calibri" w:cs="Calibri" w:eastAsia="Calibri" w:hAnsi="Calibri"/>
          <w:color w:val="1F2937"/>
          <w:sz w:val="20"/>
          <w:szCs w:val="20"/>
        </w:rPr>
        <w:t xml:space="preserve">All decisions locked; entering build</w:t>
      </w:r>
    </w:p>
    <w:p>
      <w:pPr>
        <w:spacing w:after="100" w:before="0" w:line="300"/>
      </w:pPr>
      <w:r>
        <w:rPr>
          <w:rFonts w:ascii="Calibri" w:cs="Calibri" w:eastAsia="Calibri" w:hAnsi="Calibri"/>
          <w:b/>
          <w:bCs/>
          <w:color w:val="5B6470"/>
          <w:sz w:val="20"/>
          <w:szCs w:val="20"/>
        </w:rPr>
        <w:t xml:space="preserve">Changes from v2  </w:t>
      </w:r>
      <w:r>
        <w:rPr>
          <w:rFonts w:ascii="Calibri" w:cs="Calibri" w:eastAsia="Calibri" w:hAnsi="Calibri"/>
          <w:color w:val="1F2937"/>
          <w:sz w:val="20"/>
          <w:szCs w:val="20"/>
        </w:rPr>
        <w:t xml:space="preserve">Brand identity confirmed (Forest primary, Coral accent); product parameters locked (open public sign-up, India region, global scope, free pricing); design system finalised as companion document</w:t>
      </w:r>
    </w:p>
    <w:p>
      <w:r>
        <w:br w:type="page"/>
      </w:r>
    </w:p>
    <w:p>
      <w:pPr>
        <w:pStyle w:val="Heading1"/>
        <w:spacing w:after="200" w:before="360"/>
      </w:pPr>
      <w:r>
        <w:rPr>
          <w:rFonts w:ascii="Calibri" w:cs="Calibri" w:eastAsia="Calibri" w:hAnsi="Calibri"/>
          <w:b/>
          <w:bCs/>
          <w:color w:val="1F2D4A"/>
          <w:sz w:val="32"/>
          <w:szCs w:val="32"/>
        </w:rPr>
        <w:t xml:space="preserve">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2D4A"/>
          <w:sz w:val="32"/>
          <w:szCs w:val="32"/>
        </w:rPr>
        <w:t xml:space="preserve">1.  Executive summary</w:t>
      </w:r>
    </w:p>
    <w:p>
      <w:pPr>
        <w:spacing w:after="120" w:before="0" w:line="300"/>
      </w:pPr>
      <w:r>
        <w:rPr>
          <w:rFonts w:ascii="Calibri" w:cs="Calibri" w:eastAsia="Calibri" w:hAnsi="Calibri"/>
          <w:b/>
          <w:bCs/>
          <w:color w:val="1F2937"/>
          <w:sz w:val="22"/>
          <w:szCs w:val="22"/>
        </w:rPr>
        <w:t xml:space="preserve">Situation. </w:t>
      </w:r>
      <w:r>
        <w:rPr>
          <w:rFonts w:ascii="Calibri" w:cs="Calibri" w:eastAsia="Calibri" w:hAnsi="Calibri"/>
          <w:color w:val="1F2937"/>
          <w:sz w:val="22"/>
          <w:szCs w:val="22"/>
        </w:rPr>
        <w:t xml:space="preserve">Tracking the metrics that drive body composition transformation — calories, protein, fibre, water, steps, gym sessions, body weight, body composition, and blood markers — today requires juggling four to six apps. MyFitnessPal for food, Hevy for workouts, a fitness band for steps, a smart scale for weight, lab portals for biomarkers, and often a spreadsheet to pull it all together. The fragmentation is the friction; the friction is what kills adherence inside two weeks.</w:t>
      </w:r>
    </w:p>
    <w:p>
      <w:pPr>
        <w:spacing w:after="120" w:before="0" w:line="300"/>
      </w:pPr>
      <w:r>
        <w:rPr>
          <w:rFonts w:ascii="Calibri" w:cs="Calibri" w:eastAsia="Calibri" w:hAnsi="Calibri"/>
          <w:b/>
          <w:bCs/>
          <w:color w:val="1F2937"/>
          <w:sz w:val="22"/>
          <w:szCs w:val="22"/>
        </w:rPr>
        <w:t xml:space="preserve">Complication. </w:t>
      </w:r>
      <w:r>
        <w:rPr>
          <w:rFonts w:ascii="Calibri" w:cs="Calibri" w:eastAsia="Calibri" w:hAnsi="Calibri"/>
          <w:color w:val="1F2937"/>
          <w:sz w:val="22"/>
          <w:szCs w:val="22"/>
        </w:rPr>
        <w:t xml:space="preserve">The dominant tools are degrading rather than improving. MyFitnessPal’s April 2026 redesign moved core logging features behind paywalls and triggered visible user backlash. Its public API has been closed since 2020 — third parties cannot integrate. Google Fit’s REST API is being shut down through 2026. No focused, free, multi-metric tracker with real APIs and clean privacy posture exists in the market today.</w:t>
      </w:r>
    </w:p>
    <w:p>
      <w:pPr>
        <w:spacing w:after="120" w:before="0" w:line="300"/>
      </w:pPr>
      <w:r>
        <w:rPr>
          <w:rFonts w:ascii="Calibri" w:cs="Calibri" w:eastAsia="Calibri" w:hAnsi="Calibri"/>
          <w:b/>
          <w:bCs/>
          <w:color w:val="1F2937"/>
          <w:sz w:val="22"/>
          <w:szCs w:val="22"/>
        </w:rPr>
        <w:t xml:space="preserve">Resolution. </w:t>
      </w:r>
      <w:r>
        <w:rPr>
          <w:rFonts w:ascii="Calibri" w:cs="Calibri" w:eastAsia="Calibri" w:hAnsi="Calibri"/>
          <w:color w:val="1F2937"/>
          <w:sz w:val="22"/>
          <w:szCs w:val="22"/>
        </w:rPr>
        <w:t xml:space="preserve">Build TotalMacro: a Progressive Web App that any user can sign up for, set personal targets, and use as the system of record for their daily journal, weekly weigh-in, body measurements, and biomarkers. Each user is a private tenant of one — their data is isolated by Postgres row-level security and never visible to anyone else. The stack is Supabase plus Cloudflare Pages: free to build, free to run at the relevant scale. Open Food Facts and USDA FoodData Central replace MyFitnessPal as the nutrition data backbone, both with public APIs at zero cost. Hevy plugs in directly via its public API. Native health platform access (Apple HealthKit and Android Health Connect) arrives in Phase 2 via a thin Capacitor shell.</w:t>
      </w:r>
    </w:p>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0F6E56"/>
          <w:sz w:val="22"/>
          <w:szCs w:val="22"/>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Metric</w:t>
            </w:r>
          </w:p>
        </w:tc>
        <w:tc>
          <w:tcPr>
            <w:tcW w:type="dxa" w:w="46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Recommendation</w:t>
            </w:r>
          </w:p>
        </w:tc>
      </w:tr>
      <w:tr>
        <w:tc>
          <w:tcPr>
            <w:tcW w:type="dxa" w:w="46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Time to MVP</w:t>
            </w:r>
          </w:p>
        </w:tc>
        <w:tc>
          <w:tcPr>
            <w:tcW w:type="dxa" w:w="46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3 weeks</w:t>
            </w:r>
          </w:p>
        </w:tc>
      </w:tr>
      <w:tr>
        <w:tc>
          <w:tcPr>
            <w:tcW w:type="dxa" w:w="46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Time to public launch</w:t>
            </w:r>
          </w:p>
        </w:tc>
        <w:tc>
          <w:tcPr>
            <w:tcW w:type="dxa" w:w="46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7 weeks</w:t>
            </w:r>
          </w:p>
        </w:tc>
      </w:tr>
      <w:tr>
        <w:tc>
          <w:tcPr>
            <w:tcW w:type="dxa" w:w="46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Build cost</w:t>
            </w:r>
          </w:p>
        </w:tc>
        <w:tc>
          <w:tcPr>
            <w:tcW w:type="dxa" w:w="46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USD 0 (free tiers only)</w:t>
            </w:r>
          </w:p>
        </w:tc>
      </w:tr>
      <w:tr>
        <w:tc>
          <w:tcPr>
            <w:tcW w:type="dxa" w:w="46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Run rate, sub-thousand users</w:t>
            </w:r>
          </w:p>
        </w:tc>
        <w:tc>
          <w:tcPr>
            <w:tcW w:type="dxa" w:w="46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USD 0 per month</w:t>
            </w:r>
          </w:p>
        </w:tc>
      </w:tr>
      <w:tr>
        <w:tc>
          <w:tcPr>
            <w:tcW w:type="dxa" w:w="46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Run rate at 10K monthly active users</w:t>
            </w:r>
          </w:p>
        </w:tc>
        <w:tc>
          <w:tcPr>
            <w:tcW w:type="dxa" w:w="46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USD 25–50 per month (Supabase Pro tier if reached)</w:t>
            </w:r>
          </w:p>
        </w:tc>
      </w:tr>
      <w:tr>
        <w:tc>
          <w:tcPr>
            <w:tcW w:type="dxa" w:w="46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Multi-tenancy model</w:t>
            </w:r>
          </w:p>
        </w:tc>
        <w:tc>
          <w:tcPr>
            <w:tcW w:type="dxa" w:w="46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Row-level security; auth.uid() = user_id on every table</w:t>
            </w:r>
          </w:p>
        </w:tc>
      </w:tr>
      <w:tr>
        <w:tc>
          <w:tcPr>
            <w:tcW w:type="dxa" w:w="46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Notifications channel</w:t>
            </w:r>
          </w:p>
        </w:tc>
        <w:tc>
          <w:tcPr>
            <w:tcW w:type="dxa" w:w="46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Web Push only (no email infrastructure)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4CC" w:sz="4"/>
              <w:left w:val="single" w:color="C04828" w:sz="24"/>
              <w:bottom w:val="single" w:color="BFC4CC" w:sz="4"/>
              <w:right w:val="single" w:color="BFC4CC" w:sz="4"/>
            </w:tcBorders>
            <w:shd w:fill="F4F6F9" w:val="clear"/>
            <w:tcMar>
              <w:top w:type="dxa" w:w="180"/>
              <w:left w:type="dxa" w:w="220"/>
              <w:bottom w:type="dxa" w:w="180"/>
              <w:right w:type="dxa" w:w="220"/>
            </w:tcMar>
          </w:tcPr>
          <w:p>
            <w:pPr>
              <w:spacing w:after="60" w:before="0" w:line="300"/>
            </w:pPr>
            <w:r>
              <w:rPr>
                <w:rFonts w:ascii="Calibri" w:cs="Calibri" w:eastAsia="Calibri" w:hAnsi="Calibri"/>
                <w:b/>
                <w:bCs/>
                <w:color w:val="C04828"/>
                <w:sz w:val="20"/>
                <w:szCs w:val="20"/>
              </w:rPr>
              <w:t xml:space="preserve">Three integration realities the plan reflects</w:t>
            </w:r>
          </w:p>
          <w:p>
            <w:pPr>
              <w:spacing w:after="0" w:before="0" w:line="300"/>
            </w:pPr>
            <w:r>
              <w:rPr>
                <w:rFonts w:ascii="Calibri" w:cs="Calibri" w:eastAsia="Calibri" w:hAnsi="Calibri"/>
                <w:color w:val="1F2937"/>
                <w:sz w:val="22"/>
                <w:szCs w:val="22"/>
              </w:rPr>
              <w:t xml:space="preserve">Google Fit’s REST API is being shut down with no new sign-ups since May 2024 — successor is Apple HealthKit on iOS and Android Health Connect on Android, accessed via a Capacitor wrapper in Phase 2. MyFitnessPal’s API has been private-only since 2020 and is not accepting new partners — substitutes are Open Food Facts (free, no key, ~3M global products) and USDA FoodData Central (free key, ~400K curated foods). Hevy’s public API requires the user to hold their own Hevy Pro subscription (USD 2.99 per month) and is wired in cleanly with their personal API key.</w:t>
            </w:r>
          </w:p>
        </w:tc>
      </w:tr>
    </w:tbl>
    <w:p>
      <w:r>
        <w:br w:type="page"/>
      </w:r>
    </w:p>
    <w:p>
      <w:pPr>
        <w:pStyle w:val="Heading1"/>
        <w:spacing w:after="200" w:before="360"/>
      </w:pPr>
      <w:r>
        <w:rPr>
          <w:rFonts w:ascii="Calibri" w:cs="Calibri" w:eastAsia="Calibri" w:hAnsi="Calibri"/>
          <w:b/>
          <w:bCs/>
          <w:color w:val="1F2D4A"/>
          <w:sz w:val="32"/>
          <w:szCs w:val="32"/>
        </w:rPr>
        <w:t xml:space="preserve">2.  Strategic context</w:t>
      </w:r>
    </w:p>
    <w:p>
      <w:pPr>
        <w:pStyle w:val="Heading2"/>
        <w:spacing w:after="140" w:before="280"/>
      </w:pPr>
      <w:r>
        <w:rPr>
          <w:rFonts w:ascii="Calibri" w:cs="Calibri" w:eastAsia="Calibri" w:hAnsi="Calibri"/>
          <w:b/>
          <w:bCs/>
          <w:color w:val="1F2D4A"/>
          <w:sz w:val="26"/>
          <w:szCs w:val="26"/>
        </w:rPr>
        <w:t xml:space="preserve">2.1  Why now</w:t>
      </w:r>
    </w:p>
    <w:p>
      <w:pPr>
        <w:spacing w:after="120" w:before="0" w:line="300"/>
      </w:pPr>
      <w:r>
        <w:rPr>
          <w:rFonts w:ascii="Calibri" w:cs="Calibri" w:eastAsia="Calibri" w:hAnsi="Calibri"/>
          <w:color w:val="1F2937"/>
          <w:sz w:val="22"/>
          <w:szCs w:val="22"/>
        </w:rPr>
        <w:t xml:space="preserve">Three forces converge to make this the right moment for a focused, free, privacy-respecting tracker:</w:t>
      </w:r>
    </w:p>
    <w:p>
      <w:pPr>
        <w:pStyle w:val="ListParagraph"/>
        <w:numPr>
          <w:ilvl w:val="0"/>
          <w:numId w:val="2"/>
        </w:numPr>
        <w:spacing w:after="80" w:line="280"/>
      </w:pPr>
      <w:r>
        <w:rPr>
          <w:rFonts w:ascii="Calibri" w:cs="Calibri" w:eastAsia="Calibri" w:hAnsi="Calibri"/>
          <w:b/>
          <w:bCs/>
          <w:color w:val="1F2937"/>
          <w:sz w:val="22"/>
          <w:szCs w:val="22"/>
        </w:rPr>
        <w:t xml:space="preserve">Incumbent decay. </w:t>
      </w:r>
      <w:r>
        <w:rPr>
          <w:rFonts w:ascii="Calibri" w:cs="Calibri" w:eastAsia="Calibri" w:hAnsi="Calibri"/>
          <w:color w:val="1F2937"/>
          <w:sz w:val="22"/>
          <w:szCs w:val="22"/>
        </w:rPr>
        <w:t xml:space="preserve">MyFitnessPal’s 2025–2026 redesigns and paywalling have visibly eroded the core logging experience. Users are actively seeking alternatives.</w:t>
      </w:r>
    </w:p>
    <w:p>
      <w:pPr>
        <w:pStyle w:val="ListParagraph"/>
        <w:numPr>
          <w:ilvl w:val="0"/>
          <w:numId w:val="2"/>
        </w:numPr>
        <w:spacing w:after="80" w:line="280"/>
      </w:pPr>
      <w:r>
        <w:rPr>
          <w:rFonts w:ascii="Calibri" w:cs="Calibri" w:eastAsia="Calibri" w:hAnsi="Calibri"/>
          <w:b/>
          <w:bCs/>
          <w:color w:val="1F2937"/>
          <w:sz w:val="22"/>
          <w:szCs w:val="22"/>
        </w:rPr>
        <w:t xml:space="preserve">Free infrastructure has caught up. </w:t>
      </w:r>
      <w:r>
        <w:rPr>
          <w:rFonts w:ascii="Calibri" w:cs="Calibri" w:eastAsia="Calibri" w:hAnsi="Calibri"/>
          <w:color w:val="1F2937"/>
          <w:sz w:val="22"/>
          <w:szCs w:val="22"/>
        </w:rPr>
        <w:t xml:space="preserve">Supabase’s free tier (500 MB Postgres, 50K monthly active users, 1 GB storage, edge functions) and Cloudflare Pages’ free tier (unlimited bandwidth, unlimited requests) cover everything required for a fully featured PWA at the scale that matters.</w:t>
      </w:r>
    </w:p>
    <w:p>
      <w:pPr>
        <w:pStyle w:val="ListParagraph"/>
        <w:numPr>
          <w:ilvl w:val="0"/>
          <w:numId w:val="2"/>
        </w:numPr>
        <w:spacing w:after="80" w:line="280"/>
      </w:pPr>
      <w:r>
        <w:rPr>
          <w:rFonts w:ascii="Calibri" w:cs="Calibri" w:eastAsia="Calibri" w:hAnsi="Calibri"/>
          <w:b/>
          <w:bCs/>
          <w:color w:val="1F2937"/>
          <w:sz w:val="22"/>
          <w:szCs w:val="22"/>
        </w:rPr>
        <w:t xml:space="preserve">Open nutrition data is real. </w:t>
      </w:r>
      <w:r>
        <w:rPr>
          <w:rFonts w:ascii="Calibri" w:cs="Calibri" w:eastAsia="Calibri" w:hAnsi="Calibri"/>
          <w:color w:val="1F2937"/>
          <w:sz w:val="22"/>
          <w:szCs w:val="22"/>
        </w:rPr>
        <w:t xml:space="preserve">Open Food Facts now contains over 3 million products with barcodes; USDA FoodData Central provides government-grade macros. Both ship with public, free, well-documented APIs. The MyFitnessPal moat — its food database — is no longer a moat.</w:t>
      </w:r>
    </w:p>
    <w:p>
      <w:pPr>
        <w:pStyle w:val="Heading2"/>
        <w:spacing w:after="140" w:before="280"/>
      </w:pPr>
      <w:r>
        <w:rPr>
          <w:rFonts w:ascii="Calibri" w:cs="Calibri" w:eastAsia="Calibri" w:hAnsi="Calibri"/>
          <w:b/>
          <w:bCs/>
          <w:color w:val="1F2D4A"/>
          <w:sz w:val="26"/>
          <w:szCs w:val="26"/>
        </w:rPr>
        <w:t xml:space="preserve">2.2  What good looks like</w:t>
      </w:r>
    </w:p>
    <w:p>
      <w:pPr>
        <w:spacing w:after="120" w:before="0" w:line="300"/>
      </w:pPr>
      <w:r>
        <w:rPr>
          <w:rFonts w:ascii="Calibri" w:cs="Calibri" w:eastAsia="Calibri" w:hAnsi="Calibri"/>
          <w:color w:val="1F2937"/>
          <w:sz w:val="22"/>
          <w:szCs w:val="22"/>
        </w:rPr>
        <w:t xml:space="preserve">A user opens the app on a phone or laptop. They are signed in via a magic link. The home screen shows today’s targets and what they have logged so far. Logging a meal takes under thirty seconds; logging the day takes under sixty. The weekly view answers “am I on track” in a single glance, with an honest rolling-average weight trend rather than the saw-toothed daily noise. The monthly view shows what changed and what didn’t. No streaks-as-pressure, no notifications-as-marketing, no premium walls between the user and the basics.</w:t>
      </w:r>
    </w:p>
    <w:p>
      <w:pPr>
        <w:pStyle w:val="Heading2"/>
        <w:spacing w:after="140" w:before="280"/>
      </w:pPr>
      <w:r>
        <w:rPr>
          <w:rFonts w:ascii="Calibri" w:cs="Calibri" w:eastAsia="Calibri" w:hAnsi="Calibri"/>
          <w:b/>
          <w:bCs/>
          <w:color w:val="1F2D4A"/>
          <w:sz w:val="26"/>
          <w:szCs w:val="26"/>
        </w:rPr>
        <w:t xml:space="preserve">2.3  Strategic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Objective</w:t>
            </w:r>
          </w:p>
        </w:tc>
        <w:tc>
          <w:tcPr>
            <w:tcW w:type="dxa" w:w="62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Success looks like</w:t>
            </w:r>
          </w:p>
        </w:tc>
      </w:tr>
      <w:tr>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Lower the friction to logging</w:t>
            </w:r>
          </w:p>
        </w:tc>
        <w:tc>
          <w:tcPr>
            <w:tcW w:type="dxa" w:w="62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Median time-to-log under 60 seconds; daily journal completion above five days a week</w:t>
            </w:r>
          </w:p>
        </w:tc>
      </w:tr>
      <w:tr>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Be honest about progress</w:t>
            </w:r>
          </w:p>
        </w:tc>
        <w:tc>
          <w:tcPr>
            <w:tcW w:type="dxa" w:w="62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Reports lead with the truth, including the unflattering parts; rolling averages over raw daily numbers</w:t>
            </w:r>
          </w:p>
        </w:tc>
      </w:tr>
      <w:tr>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Private by default</w:t>
            </w:r>
          </w:p>
        </w:tc>
        <w:tc>
          <w:tcPr>
            <w:tcW w:type="dxa" w:w="62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Each user’s data is isolated at the database layer; full export and account deletion are first-class features from day one</w:t>
            </w:r>
          </w:p>
        </w:tc>
      </w:tr>
      <w:tr>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Compose with existing tools</w:t>
            </w:r>
          </w:p>
        </w:tc>
        <w:tc>
          <w:tcPr>
            <w:tcW w:type="dxa" w:w="62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Direct integrations with Hevy, Open Food Facts, USDA, Apple HealthKit, Android Health Connect — the product is glue, not a walled garden</w:t>
            </w:r>
          </w:p>
        </w:tc>
      </w:tr>
      <w:tr>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Free at the scale that matters</w:t>
            </w:r>
          </w:p>
        </w:tc>
        <w:tc>
          <w:tcPr>
            <w:tcW w:type="dxa" w:w="62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Zero cost to the user through hundreds of users; clear path to a sustainable model when scale demands it</w:t>
            </w:r>
          </w:p>
        </w:tc>
      </w:tr>
    </w:tbl>
    <w:p>
      <w:r>
        <w:br w:type="page"/>
      </w:r>
    </w:p>
    <w:p>
      <w:pPr>
        <w:pStyle w:val="Heading1"/>
        <w:spacing w:after="200" w:before="360"/>
      </w:pPr>
      <w:r>
        <w:rPr>
          <w:rFonts w:ascii="Calibri" w:cs="Calibri" w:eastAsia="Calibri" w:hAnsi="Calibri"/>
          <w:b/>
          <w:bCs/>
          <w:color w:val="1F2D4A"/>
          <w:sz w:val="32"/>
          <w:szCs w:val="32"/>
        </w:rPr>
        <w:t xml:space="preserve">3.  Product scope</w:t>
      </w:r>
    </w:p>
    <w:p>
      <w:pPr>
        <w:pStyle w:val="Heading2"/>
        <w:spacing w:after="140" w:before="280"/>
      </w:pPr>
      <w:r>
        <w:rPr>
          <w:rFonts w:ascii="Calibri" w:cs="Calibri" w:eastAsia="Calibri" w:hAnsi="Calibri"/>
          <w:b/>
          <w:bCs/>
          <w:color w:val="1F2D4A"/>
          <w:sz w:val="26"/>
          <w:szCs w:val="26"/>
        </w:rPr>
        <w:t xml:space="preserve">3.1  Design principles</w:t>
      </w:r>
    </w:p>
    <w:p>
      <w:pPr>
        <w:spacing w:after="120" w:before="0" w:line="300"/>
      </w:pPr>
      <w:r>
        <w:rPr>
          <w:rFonts w:ascii="Calibri" w:cs="Calibri" w:eastAsia="Calibri" w:hAnsi="Calibri"/>
          <w:color w:val="1F2937"/>
          <w:sz w:val="22"/>
          <w:szCs w:val="22"/>
        </w:rPr>
        <w:t xml:space="preserve">Three principles, ranked. They resolve every scope conflict that follows:</w:t>
      </w:r>
    </w:p>
    <w:p>
      <w:pPr>
        <w:spacing w:after="120" w:before="0" w:line="300"/>
      </w:pPr>
      <w:r>
        <w:rPr>
          <w:rFonts w:ascii="Calibri" w:cs="Calibri" w:eastAsia="Calibri" w:hAnsi="Calibri"/>
          <w:b/>
          <w:bCs/>
          <w:color w:val="1F2D4A"/>
          <w:sz w:val="22"/>
          <w:szCs w:val="22"/>
        </w:rPr>
        <w:t xml:space="preserve">1.  Sub-sixty-second logging. </w:t>
      </w:r>
      <w:r>
        <w:rPr>
          <w:rFonts w:ascii="Calibri" w:cs="Calibri" w:eastAsia="Calibri" w:hAnsi="Calibri"/>
          <w:color w:val="1F2937"/>
          <w:sz w:val="22"/>
          <w:szCs w:val="22"/>
        </w:rPr>
        <w:t xml:space="preserve">If the daily journal takes longer than a minute to complete, the product has failed regardless of what else it does well. Every feature is evaluated against the latency it adds to the daily flow.</w:t>
      </w:r>
    </w:p>
    <w:p>
      <w:pPr>
        <w:spacing w:after="120" w:before="0" w:line="300"/>
      </w:pPr>
      <w:r>
        <w:rPr>
          <w:rFonts w:ascii="Calibri" w:cs="Calibri" w:eastAsia="Calibri" w:hAnsi="Calibri"/>
          <w:b/>
          <w:bCs/>
          <w:color w:val="1F2D4A"/>
          <w:sz w:val="22"/>
          <w:szCs w:val="22"/>
        </w:rPr>
        <w:t xml:space="preserve">2.  Honest mirrors over motivational fiction. </w:t>
      </w:r>
      <w:r>
        <w:rPr>
          <w:rFonts w:ascii="Calibri" w:cs="Calibri" w:eastAsia="Calibri" w:hAnsi="Calibri"/>
          <w:color w:val="1F2937"/>
          <w:sz w:val="22"/>
          <w:szCs w:val="22"/>
        </w:rPr>
        <w:t xml:space="preserve">The dashboards show the truth, including the unflattering parts (a 2,950-calorie Saturday, a missed gym week). Honest data builds trust; gamified flattery erodes it.</w:t>
      </w:r>
    </w:p>
    <w:p>
      <w:pPr>
        <w:spacing w:after="120" w:before="0" w:line="300"/>
      </w:pPr>
      <w:r>
        <w:rPr>
          <w:rFonts w:ascii="Calibri" w:cs="Calibri" w:eastAsia="Calibri" w:hAnsi="Calibri"/>
          <w:b/>
          <w:bCs/>
          <w:color w:val="1F2D4A"/>
          <w:sz w:val="22"/>
          <w:szCs w:val="22"/>
        </w:rPr>
        <w:t xml:space="preserve">3.  The user owns their data. </w:t>
      </w:r>
      <w:r>
        <w:rPr>
          <w:rFonts w:ascii="Calibri" w:cs="Calibri" w:eastAsia="Calibri" w:hAnsi="Calibri"/>
          <w:color w:val="1F2937"/>
          <w:sz w:val="22"/>
          <w:szCs w:val="22"/>
        </w:rPr>
        <w:t xml:space="preserve">Every byte is exportable, every account is deletable in one tap, no data is shared with anyone. Privacy is not a setting; it is the default architecture.</w:t>
      </w:r>
    </w:p>
    <w:p>
      <w:pPr>
        <w:pStyle w:val="Heading2"/>
        <w:spacing w:after="140" w:before="280"/>
      </w:pPr>
      <w:r>
        <w:rPr>
          <w:rFonts w:ascii="Calibri" w:cs="Calibri" w:eastAsia="Calibri" w:hAnsi="Calibri"/>
          <w:b/>
          <w:bCs/>
          <w:color w:val="1F2D4A"/>
          <w:sz w:val="26"/>
          <w:szCs w:val="26"/>
        </w:rPr>
        <w:t xml:space="preserve">3.2  Feature catalogue</w:t>
      </w:r>
    </w:p>
    <w:p>
      <w:pPr>
        <w:spacing w:after="120" w:before="0" w:line="300"/>
      </w:pPr>
      <w:r>
        <w:rPr>
          <w:rFonts w:ascii="Calibri" w:cs="Calibri" w:eastAsia="Calibri" w:hAnsi="Calibri"/>
          <w:color w:val="1F2937"/>
          <w:sz w:val="22"/>
          <w:szCs w:val="22"/>
        </w:rPr>
        <w:t xml:space="preserve">Features prioritised on MoSCoW logic across three release windows. MVP is what ships at week three; Phase 2 is what ships during personal beta and adds depth; Phase 3 is the public-launch backlog with the native health-platform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00"/>
        <w:gridCol w:w="2440"/>
        <w:gridCol w:w="2440"/>
      </w:tblGrid>
      <w:tr>
        <w:trPr>
          <w:tblHeader/>
        </w:trPr>
        <w:tc>
          <w:tcPr>
            <w:tcW w:type="dxa" w:w="20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Feature area</w:t>
            </w:r>
          </w:p>
        </w:tc>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MVP (W1–3)</w:t>
            </w:r>
          </w:p>
        </w:tc>
        <w:tc>
          <w:tcPr>
            <w:tcW w:type="dxa" w:w="24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Phase 2 (W4–5)</w:t>
            </w:r>
          </w:p>
        </w:tc>
        <w:tc>
          <w:tcPr>
            <w:tcW w:type="dxa" w:w="24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Phase 3 (W6–7)</w:t>
            </w:r>
          </w:p>
        </w:tc>
      </w:tr>
      <w:tr>
        <w:tc>
          <w:tcPr>
            <w:tcW w:type="dxa" w:w="2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Auth &amp; onboarding</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Magic-link sign-in, profile (height, sex, age), personal targets</w:t>
            </w:r>
          </w:p>
        </w:tc>
        <w:tc>
          <w:tcPr>
            <w:tcW w:type="dxa" w:w="24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Multi-device session management, password fallback</w:t>
            </w:r>
          </w:p>
        </w:tc>
        <w:tc>
          <w:tcPr>
            <w:tcW w:type="dxa" w:w="24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Social sign-in (Apple, Google)</w:t>
            </w:r>
          </w:p>
        </w:tc>
      </w:tr>
      <w:tr>
        <w:tc>
          <w:tcPr>
            <w:tcW w:type="dxa" w:w="2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Daily journal</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Calories, protein, fibre, water, steps, gym (3-tap entry)</w:t>
            </w:r>
          </w:p>
        </w:tc>
        <w:tc>
          <w:tcPr>
            <w:tcW w:type="dxa" w:w="24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OFF + USDA food search, recent foods, meal templates</w:t>
            </w:r>
          </w:p>
        </w:tc>
        <w:tc>
          <w:tcPr>
            <w:tcW w:type="dxa" w:w="24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Barcode scan via BarcodeDetector API, voice entry</w:t>
            </w:r>
          </w:p>
        </w:tc>
      </w:tr>
      <w:tr>
        <w:tc>
          <w:tcPr>
            <w:tcW w:type="dxa" w:w="2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Weekly check-in</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Weight, optional waist &amp; chest, free-text notes</w:t>
            </w:r>
          </w:p>
        </w:tc>
        <w:tc>
          <w:tcPr>
            <w:tcW w:type="dxa" w:w="24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Body measurements (neck, hips, body fat), progress photos</w:t>
            </w:r>
          </w:p>
        </w:tc>
        <w:tc>
          <w:tcPr>
            <w:tcW w:type="dxa" w:w="24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Wearable-derived sleep, HRV (via Health Connect / HealthKit)</w:t>
            </w:r>
          </w:p>
        </w:tc>
      </w:tr>
      <w:tr>
        <w:tc>
          <w:tcPr>
            <w:tcW w:type="dxa" w:w="2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Workout tracking</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Manual gym session yes/no</w:t>
            </w:r>
          </w:p>
        </w:tc>
        <w:tc>
          <w:tcPr>
            <w:tcW w:type="dxa" w:w="24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Hevy API integration (read-only, nightly pull)</w:t>
            </w:r>
          </w:p>
        </w:tc>
        <w:tc>
          <w:tcPr>
            <w:tcW w:type="dxa" w:w="24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Two-way Hevy sync, simple in-app workout logger</w:t>
            </w:r>
          </w:p>
        </w:tc>
      </w:tr>
      <w:tr>
        <w:tc>
          <w:tcPr>
            <w:tcW w:type="dxa" w:w="2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Reports</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Daily, weekly, monthly target-vs-actual; rolling-average weight trend</w:t>
            </w:r>
          </w:p>
        </w:tc>
        <w:tc>
          <w:tcPr>
            <w:tcW w:type="dxa" w:w="24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Trailing trend lines, deficit estimate, plateau detection</w:t>
            </w:r>
          </w:p>
        </w:tc>
        <w:tc>
          <w:tcPr>
            <w:tcW w:type="dxa" w:w="24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Predictive arrival-at-goal, biomarker correlation views</w:t>
            </w:r>
          </w:p>
        </w:tc>
      </w:tr>
      <w:tr>
        <w:tc>
          <w:tcPr>
            <w:tcW w:type="dxa" w:w="2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Notifications</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Web Push registration, evening close-out reminder</w:t>
            </w:r>
          </w:p>
        </w:tc>
        <w:tc>
          <w:tcPr>
            <w:tcW w:type="dxa" w:w="24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Smart timing (skip if already logged), push for missed weigh-in</w:t>
            </w:r>
          </w:p>
        </w:tc>
        <w:tc>
          <w:tcPr>
            <w:tcW w:type="dxa" w:w="24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Behaviour-triggered nudges, per-metric subscription controls</w:t>
            </w:r>
          </w:p>
        </w:tc>
      </w:tr>
      <w:tr>
        <w:tc>
          <w:tcPr>
            <w:tcW w:type="dxa" w:w="2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Integrations</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Open Food Facts, USDA FoodData Central</w:t>
            </w:r>
          </w:p>
        </w:tc>
        <w:tc>
          <w:tcPr>
            <w:tcW w:type="dxa" w:w="24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Hevy API</w:t>
            </w:r>
          </w:p>
        </w:tc>
        <w:tc>
          <w:tcPr>
            <w:tcW w:type="dxa" w:w="24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Apple HealthKit, Android Health Connect (via Capacitor)</w:t>
            </w:r>
          </w:p>
        </w:tc>
      </w:tr>
      <w:tr>
        <w:tc>
          <w:tcPr>
            <w:tcW w:type="dxa" w:w="2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Data ownership</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Full CSV export, account deletion in one tap</w:t>
            </w:r>
          </w:p>
        </w:tc>
        <w:tc>
          <w:tcPr>
            <w:tcW w:type="dxa" w:w="24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JSON export with full schema, scheduled email-free reminders</w:t>
            </w:r>
          </w:p>
        </w:tc>
        <w:tc>
          <w:tcPr>
            <w:tcW w:type="dxa" w:w="24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Granular per-table export, partial-account deletion</w:t>
            </w:r>
          </w:p>
        </w:tc>
      </w:tr>
    </w:tbl>
    <w:p>
      <w:pPr>
        <w:pStyle w:val="Heading2"/>
        <w:spacing w:after="140" w:before="280"/>
      </w:pPr>
      <w:r>
        <w:rPr>
          <w:rFonts w:ascii="Calibri" w:cs="Calibri" w:eastAsia="Calibri" w:hAnsi="Calibri"/>
          <w:b/>
          <w:bCs/>
          <w:color w:val="1F2D4A"/>
          <w:sz w:val="26"/>
          <w:szCs w:val="26"/>
        </w:rPr>
        <w:t xml:space="preserve">3.3  Anti-scope</w:t>
      </w:r>
    </w:p>
    <w:p>
      <w:pPr>
        <w:spacing w:after="120" w:before="0" w:line="300"/>
      </w:pPr>
      <w:r>
        <w:rPr>
          <w:rFonts w:ascii="Calibri" w:cs="Calibri" w:eastAsia="Calibri" w:hAnsi="Calibri"/>
          <w:color w:val="1F2937"/>
          <w:sz w:val="22"/>
          <w:szCs w:val="22"/>
        </w:rPr>
        <w:t xml:space="preserve">Equally important is what we are not building. These items are tempting but defer to later iterations or never:</w:t>
      </w:r>
    </w:p>
    <w:p>
      <w:pPr>
        <w:pStyle w:val="ListParagraph"/>
        <w:numPr>
          <w:ilvl w:val="0"/>
          <w:numId w:val="2"/>
        </w:numPr>
        <w:spacing w:after="80" w:line="280"/>
      </w:pPr>
      <w:r>
        <w:rPr>
          <w:rFonts w:ascii="Calibri" w:cs="Calibri" w:eastAsia="Calibri" w:hAnsi="Calibri"/>
          <w:color w:val="1F2937"/>
          <w:sz w:val="22"/>
          <w:szCs w:val="22"/>
        </w:rPr>
        <w:t xml:space="preserve">Native iOS and Android apps from scratch — a wrapped PWA via Capacitor delivers ninety percent of the experience at thirty percent of the build cost.</w:t>
      </w:r>
    </w:p>
    <w:p>
      <w:pPr>
        <w:pStyle w:val="ListParagraph"/>
        <w:numPr>
          <w:ilvl w:val="0"/>
          <w:numId w:val="2"/>
        </w:numPr>
        <w:spacing w:after="80" w:line="280"/>
      </w:pPr>
      <w:r>
        <w:rPr>
          <w:rFonts w:ascii="Calibri" w:cs="Calibri" w:eastAsia="Calibri" w:hAnsi="Calibri"/>
          <w:color w:val="1F2937"/>
          <w:sz w:val="22"/>
          <w:szCs w:val="22"/>
        </w:rPr>
        <w:t xml:space="preserve">AI nutrition coach or chatbot — reach feature parity on the basics first; differentiate on data quality and privacy posture, not on chatbot novelty.</w:t>
      </w:r>
    </w:p>
    <w:p>
      <w:pPr>
        <w:pStyle w:val="ListParagraph"/>
        <w:numPr>
          <w:ilvl w:val="0"/>
          <w:numId w:val="2"/>
        </w:numPr>
        <w:spacing w:after="80" w:line="280"/>
      </w:pPr>
      <w:r>
        <w:rPr>
          <w:rFonts w:ascii="Calibri" w:cs="Calibri" w:eastAsia="Calibri" w:hAnsi="Calibri"/>
          <w:color w:val="1F2937"/>
          <w:sz w:val="22"/>
          <w:szCs w:val="22"/>
        </w:rPr>
        <w:t xml:space="preserve">Payments and subscription billing — the product is free at the relevant scale; monetisation is a future-Phase decision, not a build-day-one one.</w:t>
      </w:r>
    </w:p>
    <w:p>
      <w:pPr>
        <w:pStyle w:val="ListParagraph"/>
        <w:numPr>
          <w:ilvl w:val="0"/>
          <w:numId w:val="2"/>
        </w:numPr>
        <w:spacing w:after="80" w:line="280"/>
      </w:pPr>
      <w:r>
        <w:rPr>
          <w:rFonts w:ascii="Calibri" w:cs="Calibri" w:eastAsia="Calibri" w:hAnsi="Calibri"/>
          <w:color w:val="1F2937"/>
          <w:sz w:val="22"/>
          <w:szCs w:val="22"/>
        </w:rPr>
        <w:t xml:space="preserve">Public profiles, feeds, followers, leaderboards — each user is a tenant of one; there is no social graph and no public surface for personal health data.</w:t>
      </w:r>
    </w:p>
    <w:p>
      <w:pPr>
        <w:pStyle w:val="ListParagraph"/>
        <w:numPr>
          <w:ilvl w:val="0"/>
          <w:numId w:val="2"/>
        </w:numPr>
        <w:spacing w:after="80" w:line="280"/>
      </w:pPr>
      <w:r>
        <w:rPr>
          <w:rFonts w:ascii="Calibri" w:cs="Calibri" w:eastAsia="Calibri" w:hAnsi="Calibri"/>
          <w:color w:val="1F2937"/>
          <w:sz w:val="22"/>
          <w:szCs w:val="22"/>
        </w:rPr>
        <w:t xml:space="preserve">Sleep, stress, recovery scoring as first-class metrics — these arrive as inputs from Health Connect / HealthKit in Phase 3 but are not actively coached on.</w:t>
      </w:r>
    </w:p>
    <w:p>
      <w:pPr>
        <w:pStyle w:val="ListParagraph"/>
        <w:numPr>
          <w:ilvl w:val="0"/>
          <w:numId w:val="2"/>
        </w:numPr>
        <w:spacing w:after="80" w:line="280"/>
      </w:pPr>
      <w:r>
        <w:rPr>
          <w:rFonts w:ascii="Calibri" w:cs="Calibri" w:eastAsia="Calibri" w:hAnsi="Calibri"/>
          <w:color w:val="1F2937"/>
          <w:sz w:val="22"/>
          <w:szCs w:val="22"/>
        </w:rPr>
        <w:t xml:space="preserve">Email infrastructure — no transactional email, no Resend, no SES; Web Push is the only outbound channel.</w:t>
      </w:r>
    </w:p>
    <w:p>
      <w:r>
        <w:br w:type="page"/>
      </w:r>
    </w:p>
    <w:p>
      <w:pPr>
        <w:pStyle w:val="Heading1"/>
        <w:spacing w:after="200" w:before="360"/>
      </w:pPr>
      <w:r>
        <w:rPr>
          <w:rFonts w:ascii="Calibri" w:cs="Calibri" w:eastAsia="Calibri" w:hAnsi="Calibri"/>
          <w:b/>
          <w:bCs/>
          <w:color w:val="1F2D4A"/>
          <w:sz w:val="32"/>
          <w:szCs w:val="32"/>
        </w:rPr>
        <w:t xml:space="preserve">4.  User journeys</w:t>
      </w:r>
    </w:p>
    <w:p>
      <w:pPr>
        <w:pStyle w:val="Heading2"/>
        <w:spacing w:after="140" w:before="280"/>
      </w:pPr>
      <w:r>
        <w:rPr>
          <w:rFonts w:ascii="Calibri" w:cs="Calibri" w:eastAsia="Calibri" w:hAnsi="Calibri"/>
          <w:b/>
          <w:bCs/>
          <w:color w:val="1F2D4A"/>
          <w:sz w:val="26"/>
          <w:szCs w:val="26"/>
        </w:rPr>
        <w:t xml:space="preserve">4.1  A day in the life</w:t>
      </w:r>
    </w:p>
    <w:p>
      <w:pPr>
        <w:spacing w:after="120" w:before="0" w:line="300"/>
      </w:pPr>
      <w:r>
        <w:rPr>
          <w:rFonts w:ascii="Calibri" w:cs="Calibri" w:eastAsia="Calibri" w:hAnsi="Calibri"/>
          <w:color w:val="1F2937"/>
          <w:sz w:val="22"/>
          <w:szCs w:val="22"/>
        </w:rPr>
        <w:t xml:space="preserve">The journey is built around three recurring touchpoints. Anything that does not serve one of them is friction:</w:t>
      </w:r>
    </w:p>
    <w:p>
      <w:pPr>
        <w:pStyle w:val="ListParagraph"/>
        <w:numPr>
          <w:ilvl w:val="0"/>
          <w:numId w:val="3"/>
        </w:numPr>
        <w:spacing w:after="80" w:line="280"/>
      </w:pPr>
      <w:r>
        <w:rPr>
          <w:rFonts w:ascii="Calibri" w:cs="Calibri" w:eastAsia="Calibri" w:hAnsi="Calibri"/>
          <w:color w:val="1F2937"/>
          <w:sz w:val="22"/>
          <w:szCs w:val="22"/>
        </w:rPr>
        <w:t xml:space="preserve">Morning weigh-in (Mondays only). Tap the tile, enter weight, see the seven-day rolling average, the variance from goal, and one piece of context (“you are 0.3 kg above last week, but 4.5 kg below your starting point”).</w:t>
      </w:r>
    </w:p>
    <w:p>
      <w:pPr>
        <w:pStyle w:val="ListParagraph"/>
        <w:numPr>
          <w:ilvl w:val="0"/>
          <w:numId w:val="3"/>
        </w:numPr>
        <w:spacing w:after="80" w:line="280"/>
      </w:pPr>
      <w:r>
        <w:rPr>
          <w:rFonts w:ascii="Calibri" w:cs="Calibri" w:eastAsia="Calibri" w:hAnsi="Calibri"/>
          <w:color w:val="1F2937"/>
          <w:sz w:val="22"/>
          <w:szCs w:val="22"/>
        </w:rPr>
        <w:t xml:space="preserve">End-of-meal log (three to five times daily). Open the app from the home-screen icon, search a food via Open Food Facts, set portion, save. Running totals for calories, protein, fibre, and water update silently. No celebration, no friction.</w:t>
      </w:r>
    </w:p>
    <w:p>
      <w:pPr>
        <w:pStyle w:val="ListParagraph"/>
        <w:numPr>
          <w:ilvl w:val="0"/>
          <w:numId w:val="3"/>
        </w:numPr>
        <w:spacing w:after="80" w:line="280"/>
      </w:pPr>
      <w:r>
        <w:rPr>
          <w:rFonts w:ascii="Calibri" w:cs="Calibri" w:eastAsia="Calibri" w:hAnsi="Calibri"/>
          <w:color w:val="1F2937"/>
          <w:sz w:val="22"/>
          <w:szCs w:val="22"/>
        </w:rPr>
        <w:t xml:space="preserve">Evening close-out (under thirty seconds). Open the daily card, confirm step count (manual at MVP; auto from HealthKit / Health Connect in Phase 3), mark whether the gym session happened, add a one-line note. The card locks and joins the weekly view.</w:t>
      </w:r>
    </w:p>
    <w:p>
      <w:pPr>
        <w:pStyle w:val="Heading3"/>
        <w:spacing w:after="100" w:before="200"/>
      </w:pPr>
      <w:r>
        <w:rPr>
          <w:rFonts w:ascii="Calibri" w:cs="Calibri" w:eastAsia="Calibri" w:hAnsi="Calibri"/>
          <w:b/>
          <w:bCs/>
          <w:color w:val="0F6E56"/>
          <w:sz w:val="22"/>
          <w:szCs w:val="22"/>
        </w:rPr>
        <w:t xml:space="preserve">Critical moments</w:t>
      </w:r>
    </w:p>
    <w:p>
      <w:pPr>
        <w:pStyle w:val="ListParagraph"/>
        <w:numPr>
          <w:ilvl w:val="0"/>
          <w:numId w:val="2"/>
        </w:numPr>
        <w:spacing w:after="80" w:line="280"/>
      </w:pPr>
      <w:r>
        <w:rPr>
          <w:rFonts w:ascii="Calibri" w:cs="Calibri" w:eastAsia="Calibri" w:hAnsi="Calibri"/>
          <w:color w:val="1F2937"/>
          <w:sz w:val="22"/>
          <w:szCs w:val="22"/>
        </w:rPr>
        <w:t xml:space="preserve">First-week onboarding: 80 percent of churn happens here. Day one ends with a celebrated, completed daily card, even if some fields are skipped.</w:t>
      </w:r>
    </w:p>
    <w:p>
      <w:pPr>
        <w:pStyle w:val="ListParagraph"/>
        <w:numPr>
          <w:ilvl w:val="0"/>
          <w:numId w:val="2"/>
        </w:numPr>
        <w:spacing w:after="80" w:line="280"/>
      </w:pPr>
      <w:r>
        <w:rPr>
          <w:rFonts w:ascii="Calibri" w:cs="Calibri" w:eastAsia="Calibri" w:hAnsi="Calibri"/>
          <w:color w:val="1F2937"/>
          <w:sz w:val="22"/>
          <w:szCs w:val="22"/>
        </w:rPr>
        <w:t xml:space="preserve">Weekly weigh-in spike: the moment the user interprets the week. Always show context (rolling average, deviation from trend) before the raw number.</w:t>
      </w:r>
    </w:p>
    <w:p>
      <w:pPr>
        <w:pStyle w:val="ListParagraph"/>
        <w:numPr>
          <w:ilvl w:val="0"/>
          <w:numId w:val="2"/>
        </w:numPr>
        <w:spacing w:after="80" w:line="280"/>
      </w:pPr>
      <w:r>
        <w:rPr>
          <w:rFonts w:ascii="Calibri" w:cs="Calibri" w:eastAsia="Calibri" w:hAnsi="Calibri"/>
          <w:color w:val="1F2937"/>
          <w:sz w:val="22"/>
          <w:szCs w:val="22"/>
        </w:rPr>
        <w:t xml:space="preserve">Plateau or regression: the moment of greatest churn risk. The product surfaces an explanation (e.g. “water retention from a 2,950-calorie Saturday”) and a small commitment for the coming week.</w:t>
      </w:r>
    </w:p>
    <w:p>
      <w:pPr>
        <w:pStyle w:val="ListParagraph"/>
        <w:numPr>
          <w:ilvl w:val="0"/>
          <w:numId w:val="2"/>
        </w:numPr>
        <w:spacing w:after="80" w:line="280"/>
      </w:pPr>
      <w:r>
        <w:rPr>
          <w:rFonts w:ascii="Calibri" w:cs="Calibri" w:eastAsia="Calibri" w:hAnsi="Calibri"/>
          <w:color w:val="1F2937"/>
          <w:sz w:val="22"/>
          <w:szCs w:val="22"/>
        </w:rPr>
        <w:t xml:space="preserve">Account deletion: a user must be able to leave with one tap, with a CSV of their data downloaded automatically. This is a feature, not a defection metric.</w:t>
      </w:r>
    </w:p>
    <w:p>
      <w:pPr>
        <w:pStyle w:val="Heading2"/>
        <w:spacing w:after="140" w:before="280"/>
      </w:pPr>
      <w:r>
        <w:rPr>
          <w:rFonts w:ascii="Calibri" w:cs="Calibri" w:eastAsia="Calibri" w:hAnsi="Calibri"/>
          <w:b/>
          <w:bCs/>
          <w:color w:val="1F2D4A"/>
          <w:sz w:val="26"/>
          <w:szCs w:val="26"/>
        </w:rPr>
        <w:t xml:space="preserve">4.2  The onboarding contract</w:t>
      </w:r>
    </w:p>
    <w:p>
      <w:pPr>
        <w:spacing w:after="120" w:before="0" w:line="300"/>
      </w:pPr>
      <w:r>
        <w:rPr>
          <w:rFonts w:ascii="Calibri" w:cs="Calibri" w:eastAsia="Calibri" w:hAnsi="Calibri"/>
          <w:color w:val="1F2937"/>
          <w:sz w:val="22"/>
          <w:szCs w:val="22"/>
        </w:rPr>
        <w:t xml:space="preserve">Onboarding asks the user for the minimum needed to make the rest of the product work, and no more. Five questions, ninety seconds, then a populated home screen:</w:t>
      </w:r>
    </w:p>
    <w:p>
      <w:pPr>
        <w:pStyle w:val="ListParagraph"/>
        <w:numPr>
          <w:ilvl w:val="0"/>
          <w:numId w:val="4"/>
        </w:numPr>
        <w:spacing w:after="80" w:line="280"/>
      </w:pPr>
      <w:r>
        <w:rPr>
          <w:rFonts w:ascii="Calibri" w:cs="Calibri" w:eastAsia="Calibri" w:hAnsi="Calibri"/>
          <w:color w:val="1F2937"/>
          <w:sz w:val="22"/>
          <w:szCs w:val="22"/>
        </w:rPr>
        <w:t xml:space="preserve">Display name and timezone (timezone is auto-detected; the user only confirms).</w:t>
      </w:r>
    </w:p>
    <w:p>
      <w:pPr>
        <w:pStyle w:val="ListParagraph"/>
        <w:numPr>
          <w:ilvl w:val="0"/>
          <w:numId w:val="4"/>
        </w:numPr>
        <w:spacing w:after="80" w:line="280"/>
      </w:pPr>
      <w:r>
        <w:rPr>
          <w:rFonts w:ascii="Calibri" w:cs="Calibri" w:eastAsia="Calibri" w:hAnsi="Calibri"/>
          <w:color w:val="1F2937"/>
          <w:sz w:val="22"/>
          <w:szCs w:val="22"/>
        </w:rPr>
        <w:t xml:space="preserve">Sex, height, current weight, date of birth — the inputs to a sensible default calorie target.</w:t>
      </w:r>
    </w:p>
    <w:p>
      <w:pPr>
        <w:pStyle w:val="ListParagraph"/>
        <w:numPr>
          <w:ilvl w:val="0"/>
          <w:numId w:val="4"/>
        </w:numPr>
        <w:spacing w:after="80" w:line="280"/>
      </w:pPr>
      <w:r>
        <w:rPr>
          <w:rFonts w:ascii="Calibri" w:cs="Calibri" w:eastAsia="Calibri" w:hAnsi="Calibri"/>
          <w:color w:val="1F2937"/>
          <w:sz w:val="22"/>
          <w:szCs w:val="22"/>
        </w:rPr>
        <w:t xml:space="preserve">Goal weight and target date — the inputs to a sensible default deficit.</w:t>
      </w:r>
    </w:p>
    <w:p>
      <w:pPr>
        <w:pStyle w:val="ListParagraph"/>
        <w:numPr>
          <w:ilvl w:val="0"/>
          <w:numId w:val="4"/>
        </w:numPr>
        <w:spacing w:after="80" w:line="280"/>
      </w:pPr>
      <w:r>
        <w:rPr>
          <w:rFonts w:ascii="Calibri" w:cs="Calibri" w:eastAsia="Calibri" w:hAnsi="Calibri"/>
          <w:color w:val="1F2937"/>
          <w:sz w:val="22"/>
          <w:szCs w:val="22"/>
        </w:rPr>
        <w:t xml:space="preserve">Daily protein, fibre, water, and step targets — pre-filled from the goal, fully editable.</w:t>
      </w:r>
    </w:p>
    <w:p>
      <w:pPr>
        <w:pStyle w:val="ListParagraph"/>
        <w:numPr>
          <w:ilvl w:val="0"/>
          <w:numId w:val="4"/>
        </w:numPr>
        <w:spacing w:after="80" w:line="280"/>
      </w:pPr>
      <w:r>
        <w:rPr>
          <w:rFonts w:ascii="Calibri" w:cs="Calibri" w:eastAsia="Calibri" w:hAnsi="Calibri"/>
          <w:color w:val="1F2937"/>
          <w:sz w:val="22"/>
          <w:szCs w:val="22"/>
        </w:rPr>
        <w:t xml:space="preserve">Notification consent for evening close-out and weekly weigh-in (skippable; the user can grant later).</w:t>
      </w:r>
    </w:p>
    <w:p>
      <w:r>
        <w:br w:type="page"/>
      </w:r>
    </w:p>
    <w:p>
      <w:pPr>
        <w:pStyle w:val="Heading1"/>
        <w:spacing w:after="200" w:before="360"/>
      </w:pPr>
      <w:r>
        <w:rPr>
          <w:rFonts w:ascii="Calibri" w:cs="Calibri" w:eastAsia="Calibri" w:hAnsi="Calibri"/>
          <w:b/>
          <w:bCs/>
          <w:color w:val="1F2D4A"/>
          <w:sz w:val="32"/>
          <w:szCs w:val="32"/>
        </w:rPr>
        <w:t xml:space="preserve">5.  System architecture</w:t>
      </w:r>
    </w:p>
    <w:p>
      <w:pPr>
        <w:pStyle w:val="Heading2"/>
        <w:spacing w:after="140" w:before="280"/>
      </w:pPr>
      <w:r>
        <w:rPr>
          <w:rFonts w:ascii="Calibri" w:cs="Calibri" w:eastAsia="Calibri" w:hAnsi="Calibri"/>
          <w:b/>
          <w:bCs/>
          <w:color w:val="1F2D4A"/>
          <w:sz w:val="26"/>
          <w:szCs w:val="26"/>
        </w:rPr>
        <w:t xml:space="preserve">5.1  Architectural posture</w:t>
      </w:r>
    </w:p>
    <w:p>
      <w:pPr>
        <w:spacing w:after="120" w:before="0" w:line="300"/>
      </w:pPr>
      <w:r>
        <w:rPr>
          <w:rFonts w:ascii="Calibri" w:cs="Calibri" w:eastAsia="Calibri" w:hAnsi="Calibri"/>
          <w:color w:val="1F2937"/>
          <w:sz w:val="22"/>
          <w:szCs w:val="22"/>
        </w:rPr>
        <w:t xml:space="preserve">Conservative on choices, modern on execution. Every decision favours speed-to-value, low operational burden, and zero fixed cost:</w:t>
      </w:r>
    </w:p>
    <w:p>
      <w:pPr>
        <w:pStyle w:val="ListParagraph"/>
        <w:numPr>
          <w:ilvl w:val="0"/>
          <w:numId w:val="2"/>
        </w:numPr>
        <w:spacing w:after="80" w:line="280"/>
      </w:pPr>
      <w:r>
        <w:rPr>
          <w:rFonts w:ascii="Calibri" w:cs="Calibri" w:eastAsia="Calibri" w:hAnsi="Calibri"/>
          <w:b/>
          <w:bCs/>
          <w:color w:val="1F2937"/>
          <w:sz w:val="22"/>
          <w:szCs w:val="22"/>
        </w:rPr>
        <w:t xml:space="preserve">Boring stack, modern execution. </w:t>
      </w:r>
      <w:r>
        <w:rPr>
          <w:rFonts w:ascii="Calibri" w:cs="Calibri" w:eastAsia="Calibri" w:hAnsi="Calibri"/>
          <w:color w:val="1F2937"/>
          <w:sz w:val="22"/>
          <w:szCs w:val="22"/>
        </w:rPr>
        <w:t xml:space="preserve">TypeScript on both ends, Postgres for storage, Supabase for everything backend. Nothing exotic.</w:t>
      </w:r>
    </w:p>
    <w:p>
      <w:pPr>
        <w:pStyle w:val="ListParagraph"/>
        <w:numPr>
          <w:ilvl w:val="0"/>
          <w:numId w:val="2"/>
        </w:numPr>
        <w:spacing w:after="80" w:line="280"/>
      </w:pPr>
      <w:r>
        <w:rPr>
          <w:rFonts w:ascii="Calibri" w:cs="Calibri" w:eastAsia="Calibri" w:hAnsi="Calibri"/>
          <w:b/>
          <w:bCs/>
          <w:color w:val="1F2937"/>
          <w:sz w:val="22"/>
          <w:szCs w:val="22"/>
        </w:rPr>
        <w:t xml:space="preserve">PWA-first, native shell second. </w:t>
      </w:r>
      <w:r>
        <w:rPr>
          <w:rFonts w:ascii="Calibri" w:cs="Calibri" w:eastAsia="Calibri" w:hAnsi="Calibri"/>
          <w:color w:val="1F2937"/>
          <w:sz w:val="22"/>
          <w:szCs w:val="22"/>
        </w:rPr>
        <w:t xml:space="preserve">One codebase. The Capacitor wrapper exists only to access Apple HealthKit and Android Health Connect, which require native APIs. Until Phase 3, the PWA is the only artifact.</w:t>
      </w:r>
    </w:p>
    <w:p>
      <w:pPr>
        <w:pStyle w:val="ListParagraph"/>
        <w:numPr>
          <w:ilvl w:val="0"/>
          <w:numId w:val="2"/>
        </w:numPr>
        <w:spacing w:after="80" w:line="280"/>
      </w:pPr>
      <w:r>
        <w:rPr>
          <w:rFonts w:ascii="Calibri" w:cs="Calibri" w:eastAsia="Calibri" w:hAnsi="Calibri"/>
          <w:b/>
          <w:bCs/>
          <w:color w:val="1F2937"/>
          <w:sz w:val="22"/>
          <w:szCs w:val="22"/>
        </w:rPr>
        <w:t xml:space="preserve">Multi-tenant by row-level security. </w:t>
      </w:r>
      <w:r>
        <w:rPr>
          <w:rFonts w:ascii="Calibri" w:cs="Calibri" w:eastAsia="Calibri" w:hAnsi="Calibri"/>
          <w:color w:val="1F2937"/>
          <w:sz w:val="22"/>
          <w:szCs w:val="22"/>
        </w:rPr>
        <w:t xml:space="preserve">Every table carries a user_id column. Postgres RLS policies enforce auth.uid() = user_id on every read and write. There is no application-layer authorisation logic that, if forgotten, leaks data; the database refuses to return it.</w:t>
      </w:r>
    </w:p>
    <w:p>
      <w:pPr>
        <w:pStyle w:val="ListParagraph"/>
        <w:numPr>
          <w:ilvl w:val="0"/>
          <w:numId w:val="2"/>
        </w:numPr>
        <w:spacing w:after="80" w:line="280"/>
      </w:pPr>
      <w:r>
        <w:rPr>
          <w:rFonts w:ascii="Calibri" w:cs="Calibri" w:eastAsia="Calibri" w:hAnsi="Calibri"/>
          <w:b/>
          <w:bCs/>
          <w:color w:val="1F2937"/>
          <w:sz w:val="22"/>
          <w:szCs w:val="22"/>
        </w:rPr>
        <w:t xml:space="preserve">Privacy by design. </w:t>
      </w:r>
      <w:r>
        <w:rPr>
          <w:rFonts w:ascii="Calibri" w:cs="Calibri" w:eastAsia="Calibri" w:hAnsi="Calibri"/>
          <w:color w:val="1F2937"/>
          <w:sz w:val="22"/>
          <w:szCs w:val="22"/>
        </w:rPr>
        <w:t xml:space="preserve">Health data is segregated from identity data at the schema level; encryption at rest is the platform default; account deletion cascades through every table; CSV export is a first-class endpoint, not a support-ticket favour.</w:t>
      </w:r>
    </w:p>
    <w:p>
      <w:pPr>
        <w:pStyle w:val="Heading2"/>
        <w:spacing w:after="140" w:before="280"/>
      </w:pPr>
      <w:r>
        <w:rPr>
          <w:rFonts w:ascii="Calibri" w:cs="Calibri" w:eastAsia="Calibri" w:hAnsi="Calibri"/>
          <w:b/>
          <w:bCs/>
          <w:color w:val="1F2D4A"/>
          <w:sz w:val="26"/>
          <w:szCs w:val="26"/>
        </w:rPr>
        <w:t xml:space="preserve">5.2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3120"/>
        <w:gridCol w:w="4360"/>
      </w:tblGrid>
      <w:tr>
        <w:trPr>
          <w:tblHeader/>
        </w:trPr>
        <w:tc>
          <w:tcPr>
            <w:tcW w:type="dxa" w:w="18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Layer</w:t>
            </w:r>
          </w:p>
        </w:tc>
        <w:tc>
          <w:tcPr>
            <w:tcW w:type="dxa" w:w="3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Choice</w:t>
            </w:r>
          </w:p>
        </w:tc>
        <w:tc>
          <w:tcPr>
            <w:tcW w:type="dxa" w:w="43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Rationale</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Frontend</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React 18 + Vite + TypeScript, Tailwind, vite-plugin-pwa</w:t>
            </w:r>
          </w:p>
        </w:tc>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Fast dev cycle, mature PWA tooling, zero-config service worker, accessible component primitives</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State &amp; data</w:t>
            </w:r>
          </w:p>
        </w:tc>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TanStack Query, Zustand, IndexedDB via Dexie</w:t>
            </w:r>
          </w:p>
        </w:tc>
        <w:tc>
          <w:tcPr>
            <w:tcW w:type="dxa" w:w="4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Optimistic UI, robust offline-first sync, mature ecosystem</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Backend</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Supabase (Postgres 16, Auth, Edge Functions, Storage)</w:t>
            </w:r>
          </w:p>
        </w:tc>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Single managed platform; row-level security at the database; magic-link auth out of the box; free tier covers the relevant scale</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Hosting</w:t>
            </w:r>
          </w:p>
        </w:tc>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Cloudflare Pages</w:t>
            </w:r>
          </w:p>
        </w:tc>
        <w:tc>
          <w:tcPr>
            <w:tcW w:type="dxa" w:w="4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Unlimited bandwidth and requests on the free tier; preview URLs per branch; global CDN; zero ops</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Notifications</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Web Push via service worker; VAPID keys self-managed</w:t>
            </w:r>
          </w:p>
        </w:tc>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Native browser API; works on all desktop browsers and Chrome on Android; iOS PWA push since iOS 16.4; no third-party provider needed</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Native shell (Phase 3)</w:t>
            </w:r>
          </w:p>
        </w:tc>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Capacitor 6 for iOS and Android</w:t>
            </w:r>
          </w:p>
        </w:tc>
        <w:tc>
          <w:tcPr>
            <w:tcW w:type="dxa" w:w="4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Wraps the same PWA; exposes HealthKit and Health Connect via plugins; one codebase, three distribution channels</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Background jobs</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Supabase Edge Functions on a Cloudflare Cron-triggered schedule</w:t>
            </w:r>
          </w:p>
        </w:tc>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Free; handles the nightly Hevy pull and the weekly notification dispatch</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Observability</w:t>
            </w:r>
          </w:p>
        </w:tc>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Sentry free tier (5K errors/mo) plus PostHog free tier (1M events/mo)</w:t>
            </w:r>
          </w:p>
        </w:tc>
        <w:tc>
          <w:tcPr>
            <w:tcW w:type="dxa" w:w="4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Generous free tiers; both genuinely useful at this scale; trivial to upgrade later</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CI / CD</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GitHub Actions plus Cloudflare Pages preview deployments</w:t>
            </w:r>
          </w:p>
        </w:tc>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Free, standard, integrates with everything</w:t>
            </w:r>
          </w:p>
        </w:tc>
      </w:tr>
    </w:tbl>
    <w:p>
      <w:pPr>
        <w:pStyle w:val="Heading2"/>
        <w:spacing w:after="140" w:before="280"/>
      </w:pPr>
      <w:r>
        <w:rPr>
          <w:rFonts w:ascii="Calibri" w:cs="Calibri" w:eastAsia="Calibri" w:hAnsi="Calibri"/>
          <w:b/>
          <w:bCs/>
          <w:color w:val="1F2D4A"/>
          <w:sz w:val="26"/>
          <w:szCs w:val="26"/>
        </w:rPr>
        <w:t xml:space="preserve">5.3  Multi-tenancy model</w:t>
      </w:r>
    </w:p>
    <w:p>
      <w:pPr>
        <w:spacing w:after="120" w:before="0" w:line="300"/>
      </w:pPr>
      <w:r>
        <w:rPr>
          <w:rFonts w:ascii="Calibri" w:cs="Calibri" w:eastAsia="Calibri" w:hAnsi="Calibri"/>
          <w:color w:val="1F2937"/>
          <w:sz w:val="22"/>
          <w:szCs w:val="22"/>
        </w:rPr>
        <w:t xml:space="preserve">Single shared Postgres database with logical tenancy. Every record carries a user_id. RLS policies on every table look like:</w:t>
      </w:r>
    </w:p>
    <w:p>
      <w:pPr>
        <w:spacing w:after="120" w:before="0" w:line="300"/>
      </w:pPr>
      <w:r>
        <w:rPr>
          <w:rFonts w:ascii="Calibri" w:cs="Calibri" w:eastAsia="Calibri" w:hAnsi="Calibri"/>
          <w:i/>
          <w:iCs/>
          <w:color w:val="1F2937"/>
          <w:sz w:val="22"/>
          <w:szCs w:val="22"/>
        </w:rPr>
        <w:t xml:space="preserve">create policy "users see their own rows" on table_name for all to authenticated using ( auth.uid() = user_id ) with check ( auth.uid() = user_id );</w:t>
      </w:r>
    </w:p>
    <w:p>
      <w:pPr>
        <w:spacing w:after="120" w:before="0" w:line="300"/>
      </w:pPr>
      <w:r>
        <w:rPr>
          <w:rFonts w:ascii="Calibri" w:cs="Calibri" w:eastAsia="Calibri" w:hAnsi="Calibri"/>
          <w:color w:val="1F2937"/>
          <w:sz w:val="22"/>
          <w:szCs w:val="22"/>
        </w:rPr>
        <w:t xml:space="preserve">This delivers near-perfect isolation at one tenth the operational cost of a database-per-tenant model. New users are simply new auth.uid() values; no tenant provisioning is needed. The pattern scales to tens of thousands of users without re-architecture.</w:t>
      </w:r>
    </w:p>
    <w:p>
      <w:pPr>
        <w:pStyle w:val="Heading2"/>
        <w:spacing w:after="140" w:before="280"/>
      </w:pPr>
      <w:r>
        <w:rPr>
          <w:rFonts w:ascii="Calibri" w:cs="Calibri" w:eastAsia="Calibri" w:hAnsi="Calibri"/>
          <w:b/>
          <w:bCs/>
          <w:color w:val="1F2D4A"/>
          <w:sz w:val="26"/>
          <w:szCs w:val="26"/>
        </w:rPr>
        <w:t xml:space="preserve">5.4  Hosting and operations</w:t>
      </w:r>
    </w:p>
    <w:p>
      <w:pPr>
        <w:pStyle w:val="ListParagraph"/>
        <w:numPr>
          <w:ilvl w:val="0"/>
          <w:numId w:val="2"/>
        </w:numPr>
        <w:spacing w:after="80" w:line="280"/>
      </w:pPr>
      <w:r>
        <w:rPr>
          <w:rFonts w:ascii="Calibri" w:cs="Calibri" w:eastAsia="Calibri" w:hAnsi="Calibri"/>
          <w:color w:val="1F2937"/>
          <w:sz w:val="22"/>
          <w:szCs w:val="22"/>
        </w:rPr>
        <w:t xml:space="preserve">Two environments at MVP: production and preview-per-PR. Cloudflare Pages handles both.</w:t>
      </w:r>
    </w:p>
    <w:p>
      <w:pPr>
        <w:pStyle w:val="ListParagraph"/>
        <w:numPr>
          <w:ilvl w:val="0"/>
          <w:numId w:val="2"/>
        </w:numPr>
        <w:spacing w:after="80" w:line="280"/>
      </w:pPr>
      <w:r>
        <w:rPr>
          <w:rFonts w:ascii="Calibri" w:cs="Calibri" w:eastAsia="Calibri" w:hAnsi="Calibri"/>
          <w:color w:val="1F2937"/>
          <w:sz w:val="22"/>
          <w:szCs w:val="22"/>
        </w:rPr>
        <w:t xml:space="preserve">Supabase manages Postgres backups (daily, retained seven days on free tier; thirty days on Pro). Quarterly restore drills are part of the standard cadence.</w:t>
      </w:r>
    </w:p>
    <w:p>
      <w:pPr>
        <w:pStyle w:val="ListParagraph"/>
        <w:numPr>
          <w:ilvl w:val="0"/>
          <w:numId w:val="2"/>
        </w:numPr>
        <w:spacing w:after="80" w:line="280"/>
      </w:pPr>
      <w:r>
        <w:rPr>
          <w:rFonts w:ascii="Calibri" w:cs="Calibri" w:eastAsia="Calibri" w:hAnsi="Calibri"/>
          <w:color w:val="1F2937"/>
          <w:sz w:val="22"/>
          <w:szCs w:val="22"/>
        </w:rPr>
        <w:t xml:space="preserve">Uptime target at public launch: 99.5 percent monthly. The free tiers comfortably support this; pursuing three nines is wasted effort.</w:t>
      </w:r>
    </w:p>
    <w:p>
      <w:pPr>
        <w:pStyle w:val="ListParagraph"/>
        <w:numPr>
          <w:ilvl w:val="0"/>
          <w:numId w:val="2"/>
        </w:numPr>
        <w:spacing w:after="80" w:line="280"/>
      </w:pPr>
      <w:r>
        <w:rPr>
          <w:rFonts w:ascii="Calibri" w:cs="Calibri" w:eastAsia="Calibri" w:hAnsi="Calibri"/>
          <w:color w:val="1F2937"/>
          <w:sz w:val="22"/>
          <w:szCs w:val="22"/>
        </w:rPr>
        <w:t xml:space="preserve">Cloudflare Pages preview URL per branch is the demo channel; no separate staging environment is required.</w:t>
      </w:r>
    </w:p>
    <w:p>
      <w:pPr>
        <w:pStyle w:val="ListParagraph"/>
        <w:numPr>
          <w:ilvl w:val="0"/>
          <w:numId w:val="2"/>
        </w:numPr>
        <w:spacing w:after="80" w:line="280"/>
      </w:pPr>
      <w:r>
        <w:rPr>
          <w:rFonts w:ascii="Calibri" w:cs="Calibri" w:eastAsia="Calibri" w:hAnsi="Calibri"/>
          <w:color w:val="1F2937"/>
          <w:sz w:val="22"/>
          <w:szCs w:val="22"/>
        </w:rPr>
        <w:t xml:space="preserve">Status page (Better Stack free tier or hosted Statuspage equivalent) live by Phase 3 launch.</w:t>
      </w:r>
    </w:p>
    <w:p>
      <w:r>
        <w:br w:type="page"/>
      </w:r>
    </w:p>
    <w:p>
      <w:pPr>
        <w:pStyle w:val="Heading1"/>
        <w:spacing w:after="200" w:before="360"/>
      </w:pPr>
      <w:r>
        <w:rPr>
          <w:rFonts w:ascii="Calibri" w:cs="Calibri" w:eastAsia="Calibri" w:hAnsi="Calibri"/>
          <w:b/>
          <w:bCs/>
          <w:color w:val="1F2D4A"/>
          <w:sz w:val="32"/>
          <w:szCs w:val="32"/>
        </w:rPr>
        <w:t xml:space="preserve">6.  Data model and metrics</w:t>
      </w:r>
    </w:p>
    <w:p>
      <w:pPr>
        <w:pStyle w:val="Heading2"/>
        <w:spacing w:after="140" w:before="280"/>
      </w:pPr>
      <w:r>
        <w:rPr>
          <w:rFonts w:ascii="Calibri" w:cs="Calibri" w:eastAsia="Calibri" w:hAnsi="Calibri"/>
          <w:b/>
          <w:bCs/>
          <w:color w:val="1F2D4A"/>
          <w:sz w:val="26"/>
          <w:szCs w:val="26"/>
        </w:rPr>
        <w:t xml:space="preserve">6.1  Core entities</w:t>
      </w:r>
    </w:p>
    <w:p>
      <w:pPr>
        <w:spacing w:after="120" w:before="0" w:line="300"/>
      </w:pPr>
      <w:r>
        <w:rPr>
          <w:rFonts w:ascii="Calibri" w:cs="Calibri" w:eastAsia="Calibri" w:hAnsi="Calibri"/>
          <w:color w:val="1F2937"/>
          <w:sz w:val="22"/>
          <w:szCs w:val="22"/>
        </w:rPr>
        <w:t xml:space="preserve">Nine tables carry the entire product. Every one has a user_id column and an RLS policy enforcing user_id = auth.uid(). The schema is intentionally narrow at MVP — broad-but-shallow tables fail to encode invariants and are painful to refactor.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2840"/>
        <w:gridCol w:w="4640"/>
      </w:tblGrid>
      <w:tr>
        <w:trPr>
          <w:tblHeader/>
        </w:trPr>
        <w:tc>
          <w:tcPr>
            <w:tcW w:type="dxa" w:w="18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Entity</w:t>
            </w:r>
          </w:p>
        </w:tc>
        <w:tc>
          <w:tcPr>
            <w:tcW w:type="dxa" w:w="28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Purpose</w:t>
            </w:r>
          </w:p>
        </w:tc>
        <w:tc>
          <w:tcPr>
            <w:tcW w:type="dxa" w:w="46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Key fields</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profiles</w:t>
            </w:r>
          </w:p>
        </w:tc>
        <w:tc>
          <w:tcPr>
            <w:tcW w:type="dxa" w:w="28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 identity and demographics</w:t>
            </w:r>
          </w:p>
        </w:tc>
        <w:tc>
          <w:tcPr>
            <w:tcW w:type="dxa" w:w="4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id (= auth.uid()), display_name, sex, height_cm, dob, timezone, units_metric</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targets</w:t>
            </w:r>
          </w:p>
        </w:tc>
        <w:tc>
          <w:tcPr>
            <w:tcW w:type="dxa" w:w="28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Personal daily and goal targets</w:t>
            </w:r>
          </w:p>
        </w:tc>
        <w:tc>
          <w:tcPr>
            <w:tcW w:type="dxa" w:w="4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user_id, daily_calories, daily_protein_g, daily_fibre_g, daily_water_ml, daily_steps, weekly_gym_sessions, goal_weight_kg, goal_date</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daily_logs</w:t>
            </w:r>
          </w:p>
        </w:tc>
        <w:tc>
          <w:tcPr>
            <w:tcW w:type="dxa" w:w="28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One row per user per day</w:t>
            </w:r>
          </w:p>
        </w:tc>
        <w:tc>
          <w:tcPr>
            <w:tcW w:type="dxa" w:w="4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user_id, log_date, calories, protein_g, fibre_g, water_ml, steps, gym_session, notes</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food_entries</w:t>
            </w:r>
          </w:p>
        </w:tc>
        <w:tc>
          <w:tcPr>
            <w:tcW w:type="dxa" w:w="28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Individual food line items inside a daily log</w:t>
            </w:r>
          </w:p>
        </w:tc>
        <w:tc>
          <w:tcPr>
            <w:tcW w:type="dxa" w:w="4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user_id, log_id, source (off|usda|manual), source_id, name, grams, computed_macros</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weekly_checkins</w:t>
            </w:r>
          </w:p>
        </w:tc>
        <w:tc>
          <w:tcPr>
            <w:tcW w:type="dxa" w:w="28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Weekly weigh-in and measurements</w:t>
            </w:r>
          </w:p>
        </w:tc>
        <w:tc>
          <w:tcPr>
            <w:tcW w:type="dxa" w:w="4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user_id, week_start, weight_kg, neck_cm, chest_cm, waist_cm, hips_cm, body_fat_pct, notes</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lab_results</w:t>
            </w:r>
          </w:p>
        </w:tc>
        <w:tc>
          <w:tcPr>
            <w:tcW w:type="dxa" w:w="28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Biomarker readings</w:t>
            </w:r>
          </w:p>
        </w:tc>
        <w:tc>
          <w:tcPr>
            <w:tcW w:type="dxa" w:w="4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user_id, taken_at, marker_code (HbA1c, LDL, etc.), value, unit, source, notes</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integrations</w:t>
            </w:r>
          </w:p>
        </w:tc>
        <w:tc>
          <w:tcPr>
            <w:tcW w:type="dxa" w:w="28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Per-user connection state</w:t>
            </w:r>
          </w:p>
        </w:tc>
        <w:tc>
          <w:tcPr>
            <w:tcW w:type="dxa" w:w="4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user_id, provider (hevy|healthkit|health_connect), encrypted_credentials, last_sync_at, status</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workout_imports</w:t>
            </w:r>
          </w:p>
        </w:tc>
        <w:tc>
          <w:tcPr>
            <w:tcW w:type="dxa" w:w="28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Records pulled from external systems</w:t>
            </w:r>
          </w:p>
        </w:tc>
        <w:tc>
          <w:tcPr>
            <w:tcW w:type="dxa" w:w="4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user_id, source_provider, source_id, started_at, raw_payload (jsonb), dedupe_key</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push_subscriptions</w:t>
            </w:r>
          </w:p>
        </w:tc>
        <w:tc>
          <w:tcPr>
            <w:tcW w:type="dxa" w:w="28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Web Push endpoints per device</w:t>
            </w:r>
          </w:p>
        </w:tc>
        <w:tc>
          <w:tcPr>
            <w:tcW w:type="dxa" w:w="4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user_id, endpoint, p256dh, auth, user_agent, created_at</w:t>
            </w:r>
          </w:p>
        </w:tc>
      </w:tr>
    </w:tbl>
    <w:p>
      <w:pPr>
        <w:pStyle w:val="Heading2"/>
        <w:spacing w:after="140" w:before="280"/>
      </w:pPr>
      <w:r>
        <w:rPr>
          <w:rFonts w:ascii="Calibri" w:cs="Calibri" w:eastAsia="Calibri" w:hAnsi="Calibri"/>
          <w:b/>
          <w:bCs/>
          <w:color w:val="1F2D4A"/>
          <w:sz w:val="26"/>
          <w:szCs w:val="26"/>
        </w:rPr>
        <w:t xml:space="preserve">6.2  Tracking metric taxonomy</w:t>
      </w:r>
    </w:p>
    <w:p>
      <w:pPr>
        <w:spacing w:after="120" w:before="0" w:line="300"/>
      </w:pPr>
      <w:r>
        <w:rPr>
          <w:rFonts w:ascii="Calibri" w:cs="Calibri" w:eastAsia="Calibri" w:hAnsi="Calibri"/>
          <w:color w:val="1F2937"/>
          <w:sz w:val="22"/>
          <w:szCs w:val="22"/>
        </w:rPr>
        <w:t xml:space="preserve">Every metric the product surfaces falls into one of four classes. This guards against metric sprawl: anything that does not map to one of these is rejected from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Class</w:t>
            </w:r>
          </w:p>
        </w:tc>
        <w:tc>
          <w:tcPr>
            <w:tcW w:type="dxa" w:w="20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Cadence</w:t>
            </w:r>
          </w:p>
        </w:tc>
        <w:tc>
          <w:tcPr>
            <w:tcW w:type="dxa" w:w="52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Examples</w:t>
            </w:r>
          </w:p>
        </w:tc>
      </w:tr>
      <w:tr>
        <w:tc>
          <w:tcPr>
            <w:tcW w:type="dxa" w:w="2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Habit metrics</w:t>
            </w:r>
          </w:p>
        </w:tc>
        <w:tc>
          <w:tcPr>
            <w:tcW w:type="dxa" w:w="2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Daily</w:t>
            </w:r>
          </w:p>
        </w:tc>
        <w:tc>
          <w:tcPr>
            <w:tcW w:type="dxa" w:w="5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Calories logged, protein grams, fibre grams, water litres, steps, gym session yes/no</w:t>
            </w:r>
          </w:p>
        </w:tc>
      </w:tr>
      <w:tr>
        <w:tc>
          <w:tcPr>
            <w:tcW w:type="dxa" w:w="2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Body metrics</w:t>
            </w:r>
          </w:p>
        </w:tc>
        <w:tc>
          <w:tcPr>
            <w:tcW w:type="dxa" w:w="2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Weekly to monthly</w:t>
            </w:r>
          </w:p>
        </w:tc>
        <w:tc>
          <w:tcPr>
            <w:tcW w:type="dxa" w:w="5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Body weight, neck, chest, waist, hips, body-fat percent</w:t>
            </w:r>
          </w:p>
        </w:tc>
      </w:tr>
      <w:tr>
        <w:tc>
          <w:tcPr>
            <w:tcW w:type="dxa" w:w="2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Performance metrics</w:t>
            </w:r>
          </w:p>
        </w:tc>
        <w:tc>
          <w:tcPr>
            <w:tcW w:type="dxa" w:w="2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Per workout</w:t>
            </w:r>
          </w:p>
        </w:tc>
        <w:tc>
          <w:tcPr>
            <w:tcW w:type="dxa" w:w="5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Hevy-imported sets, reps, load, volume per muscle group per week</w:t>
            </w:r>
          </w:p>
        </w:tc>
      </w:tr>
      <w:tr>
        <w:tc>
          <w:tcPr>
            <w:tcW w:type="dxa" w:w="2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Health markers</w:t>
            </w:r>
          </w:p>
        </w:tc>
        <w:tc>
          <w:tcPr>
            <w:tcW w:type="dxa" w:w="2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Quarterly</w:t>
            </w:r>
          </w:p>
        </w:tc>
        <w:tc>
          <w:tcPr>
            <w:tcW w:type="dxa" w:w="5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HbA1c, LDL, HDL, triglycerides, vitamin D, B12, liver enzymes</w:t>
            </w:r>
          </w:p>
        </w:tc>
      </w:tr>
    </w:tbl>
    <w:p>
      <w:pPr>
        <w:pStyle w:val="Heading2"/>
        <w:spacing w:after="140" w:before="280"/>
      </w:pPr>
      <w:r>
        <w:rPr>
          <w:rFonts w:ascii="Calibri" w:cs="Calibri" w:eastAsia="Calibri" w:hAnsi="Calibri"/>
          <w:b/>
          <w:bCs/>
          <w:color w:val="1F2D4A"/>
          <w:sz w:val="26"/>
          <w:szCs w:val="26"/>
        </w:rPr>
        <w:t xml:space="preserve">6.3  Aggregation and rollup logic</w:t>
      </w:r>
    </w:p>
    <w:p>
      <w:pPr>
        <w:spacing w:after="120" w:before="0" w:line="300"/>
      </w:pPr>
      <w:r>
        <w:rPr>
          <w:rFonts w:ascii="Calibri" w:cs="Calibri" w:eastAsia="Calibri" w:hAnsi="Calibri"/>
          <w:color w:val="1F2937"/>
          <w:sz w:val="22"/>
          <w:szCs w:val="22"/>
        </w:rPr>
        <w:t xml:space="preserve">Reports are pre-aggregated overnight by a scheduled Edge Function, not computed on every read. This is a deliberate choice: a few minutes of staleness is invisible to the user; a slow dashboard is visible immediately.</w:t>
      </w:r>
    </w:p>
    <w:p>
      <w:pPr>
        <w:pStyle w:val="ListParagraph"/>
        <w:numPr>
          <w:ilvl w:val="0"/>
          <w:numId w:val="2"/>
        </w:numPr>
        <w:spacing w:after="80" w:line="280"/>
      </w:pPr>
      <w:r>
        <w:rPr>
          <w:rFonts w:ascii="Calibri" w:cs="Calibri" w:eastAsia="Calibri" w:hAnsi="Calibri"/>
          <w:b/>
          <w:bCs/>
          <w:color w:val="1F2937"/>
          <w:sz w:val="22"/>
          <w:szCs w:val="22"/>
        </w:rPr>
        <w:t xml:space="preserve">Daily rollup. </w:t>
      </w:r>
      <w:r>
        <w:rPr>
          <w:rFonts w:ascii="Calibri" w:cs="Calibri" w:eastAsia="Calibri" w:hAnsi="Calibri"/>
          <w:color w:val="1F2937"/>
          <w:sz w:val="22"/>
          <w:szCs w:val="22"/>
        </w:rPr>
        <w:t xml:space="preserve">Per-user target-vs-actual for each habit metric, plus streak counts.</w:t>
      </w:r>
    </w:p>
    <w:p>
      <w:pPr>
        <w:pStyle w:val="ListParagraph"/>
        <w:numPr>
          <w:ilvl w:val="0"/>
          <w:numId w:val="2"/>
        </w:numPr>
        <w:spacing w:after="80" w:line="280"/>
      </w:pPr>
      <w:r>
        <w:rPr>
          <w:rFonts w:ascii="Calibri" w:cs="Calibri" w:eastAsia="Calibri" w:hAnsi="Calibri"/>
          <w:b/>
          <w:bCs/>
          <w:color w:val="1F2937"/>
          <w:sz w:val="22"/>
          <w:szCs w:val="22"/>
        </w:rPr>
        <w:t xml:space="preserve">Weekly rollup. </w:t>
      </w:r>
      <w:r>
        <w:rPr>
          <w:rFonts w:ascii="Calibri" w:cs="Calibri" w:eastAsia="Calibri" w:hAnsi="Calibri"/>
          <w:color w:val="1F2937"/>
          <w:sz w:val="22"/>
          <w:szCs w:val="22"/>
        </w:rPr>
        <w:t xml:space="preserve">Seven-day averages, week-over-week deltas, weight trend (rolling average and linear fit), days-on-target.</w:t>
      </w:r>
    </w:p>
    <w:p>
      <w:pPr>
        <w:pStyle w:val="ListParagraph"/>
        <w:numPr>
          <w:ilvl w:val="0"/>
          <w:numId w:val="2"/>
        </w:numPr>
        <w:spacing w:after="80" w:line="280"/>
      </w:pPr>
      <w:r>
        <w:rPr>
          <w:rFonts w:ascii="Calibri" w:cs="Calibri" w:eastAsia="Calibri" w:hAnsi="Calibri"/>
          <w:b/>
          <w:bCs/>
          <w:color w:val="1F2937"/>
          <w:sz w:val="22"/>
          <w:szCs w:val="22"/>
        </w:rPr>
        <w:t xml:space="preserve">Monthly rollup. </w:t>
      </w:r>
      <w:r>
        <w:rPr>
          <w:rFonts w:ascii="Calibri" w:cs="Calibri" w:eastAsia="Calibri" w:hAnsi="Calibri"/>
          <w:color w:val="1F2937"/>
          <w:sz w:val="22"/>
          <w:szCs w:val="22"/>
        </w:rPr>
        <w:t xml:space="preserve">Composite adherence score, body-composition change, narrative auto-summary, biomarker delta if a new lab result was added.</w:t>
      </w:r>
    </w:p>
    <w:p>
      <w:pPr>
        <w:pStyle w:val="Heading2"/>
        <w:spacing w:after="140" w:before="280"/>
      </w:pPr>
      <w:r>
        <w:rPr>
          <w:rFonts w:ascii="Calibri" w:cs="Calibri" w:eastAsia="Calibri" w:hAnsi="Calibri"/>
          <w:b/>
          <w:bCs/>
          <w:color w:val="1F2D4A"/>
          <w:sz w:val="26"/>
          <w:szCs w:val="26"/>
        </w:rPr>
        <w:t xml:space="preserve">6.4  Privacy, retention, and governance</w:t>
      </w:r>
    </w:p>
    <w:p>
      <w:pPr>
        <w:pStyle w:val="ListParagraph"/>
        <w:numPr>
          <w:ilvl w:val="0"/>
          <w:numId w:val="2"/>
        </w:numPr>
        <w:spacing w:after="80" w:line="280"/>
      </w:pPr>
      <w:r>
        <w:rPr>
          <w:rFonts w:ascii="Calibri" w:cs="Calibri" w:eastAsia="Calibri" w:hAnsi="Calibri"/>
          <w:color w:val="1F2937"/>
          <w:sz w:val="22"/>
          <w:szCs w:val="22"/>
        </w:rPr>
        <w:t xml:space="preserve">Data minimisation: only fields the product actively uses are stored. Optional fields (photos, measurements) are explicit opt-in.</w:t>
      </w:r>
    </w:p>
    <w:p>
      <w:pPr>
        <w:pStyle w:val="ListParagraph"/>
        <w:numPr>
          <w:ilvl w:val="0"/>
          <w:numId w:val="2"/>
        </w:numPr>
        <w:spacing w:after="80" w:line="280"/>
      </w:pPr>
      <w:r>
        <w:rPr>
          <w:rFonts w:ascii="Calibri" w:cs="Calibri" w:eastAsia="Calibri" w:hAnsi="Calibri"/>
          <w:color w:val="1F2937"/>
          <w:sz w:val="22"/>
          <w:szCs w:val="22"/>
        </w:rPr>
        <w:t xml:space="preserve">Retention: data is retained while the account is active. Account deletion cascades through every table within twenty-four hours, with a CSV export emailed to the user (the one and only email touchpoint, sent via Supabase Auth).</w:t>
      </w:r>
    </w:p>
    <w:p>
      <w:pPr>
        <w:pStyle w:val="ListParagraph"/>
        <w:numPr>
          <w:ilvl w:val="0"/>
          <w:numId w:val="2"/>
        </w:numPr>
        <w:spacing w:after="80" w:line="280"/>
      </w:pPr>
      <w:r>
        <w:rPr>
          <w:rFonts w:ascii="Calibri" w:cs="Calibri" w:eastAsia="Calibri" w:hAnsi="Calibri"/>
          <w:color w:val="1F2937"/>
          <w:sz w:val="22"/>
          <w:szCs w:val="22"/>
        </w:rPr>
        <w:t xml:space="preserve">Encryption at rest is on by default for Supabase; integration credentials (Hevy API keys) are additionally encrypted at the application layer with a per-user key.</w:t>
      </w:r>
    </w:p>
    <w:p>
      <w:pPr>
        <w:pStyle w:val="ListParagraph"/>
        <w:numPr>
          <w:ilvl w:val="0"/>
          <w:numId w:val="2"/>
        </w:numPr>
        <w:spacing w:after="80" w:line="280"/>
      </w:pPr>
      <w:r>
        <w:rPr>
          <w:rFonts w:ascii="Calibri" w:cs="Calibri" w:eastAsia="Calibri" w:hAnsi="Calibri"/>
          <w:color w:val="1F2937"/>
          <w:sz w:val="22"/>
          <w:szCs w:val="22"/>
        </w:rPr>
        <w:t xml:space="preserve">No third-party analytics on identifying surfaces. PostHog runs cookie-less and identifies events only by anonymised user IDs.</w:t>
      </w:r>
    </w:p>
    <w:p>
      <w:pPr>
        <w:pStyle w:val="ListParagraph"/>
        <w:numPr>
          <w:ilvl w:val="0"/>
          <w:numId w:val="2"/>
        </w:numPr>
        <w:spacing w:after="80" w:line="280"/>
      </w:pPr>
      <w:r>
        <w:rPr>
          <w:rFonts w:ascii="Calibri" w:cs="Calibri" w:eastAsia="Calibri" w:hAnsi="Calibri"/>
          <w:color w:val="1F2937"/>
          <w:sz w:val="22"/>
          <w:szCs w:val="22"/>
        </w:rPr>
        <w:t xml:space="preserve">RLS test suite runs on every CI build: a deliberately misconfigured user attempts to read another user’s rows, and the test must fail at the database. No application-layer logic is trusted to enforce isolation.</w:t>
      </w:r>
    </w:p>
    <w:p>
      <w:r>
        <w:br w:type="page"/>
      </w:r>
    </w:p>
    <w:p>
      <w:pPr>
        <w:pStyle w:val="Heading1"/>
        <w:spacing w:after="200" w:before="360"/>
      </w:pPr>
      <w:r>
        <w:rPr>
          <w:rFonts w:ascii="Calibri" w:cs="Calibri" w:eastAsia="Calibri" w:hAnsi="Calibri"/>
          <w:b/>
          <w:bCs/>
          <w:color w:val="1F2D4A"/>
          <w:sz w:val="32"/>
          <w:szCs w:val="32"/>
        </w:rPr>
        <w:t xml:space="preserve">7.  Integration strategy</w:t>
      </w:r>
    </w:p>
    <w:p>
      <w:pPr>
        <w:pStyle w:val="Heading2"/>
        <w:spacing w:after="140" w:before="280"/>
      </w:pPr>
      <w:r>
        <w:rPr>
          <w:rFonts w:ascii="Calibri" w:cs="Calibri" w:eastAsia="Calibri" w:hAnsi="Calibri"/>
          <w:b/>
          <w:bCs/>
          <w:color w:val="1F2D4A"/>
          <w:sz w:val="26"/>
          <w:szCs w:val="26"/>
        </w:rPr>
        <w:t xml:space="preserve">7.1  Honest assessment of the requested integrations</w:t>
      </w:r>
    </w:p>
    <w:p>
      <w:pPr>
        <w:spacing w:after="120" w:before="0" w:line="300"/>
      </w:pPr>
      <w:r>
        <w:rPr>
          <w:rFonts w:ascii="Calibri" w:cs="Calibri" w:eastAsia="Calibri" w:hAnsi="Calibri"/>
          <w:color w:val="1F2937"/>
          <w:sz w:val="22"/>
          <w:szCs w:val="22"/>
        </w:rPr>
        <w:t xml:space="preserve">The original brief named three integration partners. Two are unavailable as named, and one comes with conditions. Below is the unvarnished assessment and the recommended path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3360"/>
        <w:gridCol w:w="4360"/>
      </w:tblGrid>
      <w:tr>
        <w:trPr>
          <w:tblHeader/>
        </w:trPr>
        <w:tc>
          <w:tcPr>
            <w:tcW w:type="dxa" w:w="16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Requested</w:t>
            </w:r>
          </w:p>
        </w:tc>
        <w:tc>
          <w:tcPr>
            <w:tcW w:type="dxa" w:w="33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Status today</w:t>
            </w:r>
          </w:p>
        </w:tc>
        <w:tc>
          <w:tcPr>
            <w:tcW w:type="dxa" w:w="43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Recommended path</w:t>
            </w:r>
          </w:p>
        </w:tc>
      </w:tr>
      <w:tr>
        <w:tc>
          <w:tcPr>
            <w:tcW w:type="dxa" w:w="1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Google Fit</w:t>
            </w:r>
          </w:p>
        </w:tc>
        <w:tc>
          <w:tcPr>
            <w:tcW w:type="dxa" w:w="3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60"/>
            </w:pPr>
            <w:r>
              <w:rPr>
                <w:rFonts w:ascii="Calibri" w:cs="Calibri" w:eastAsia="Calibri" w:hAnsi="Calibri"/>
                <w:b w:val="false"/>
                <w:bCs w:val="false"/>
                <w:color w:val="1F2937"/>
                <w:sz w:val="20"/>
                <w:szCs w:val="20"/>
              </w:rPr>
              <w:t xml:space="preserve">Deprecated. New developer sign-ups closed May 2024.</w:t>
            </w:r>
          </w:p>
          <w:p>
            <w:pPr>
              <w:spacing w:after="0"/>
            </w:pPr>
            <w:r>
              <w:rPr>
                <w:rFonts w:ascii="Calibri" w:cs="Calibri" w:eastAsia="Calibri" w:hAnsi="Calibri"/>
                <w:b w:val="false"/>
                <w:bCs w:val="false"/>
                <w:color w:val="1F2937"/>
                <w:sz w:val="20"/>
                <w:szCs w:val="20"/>
              </w:rPr>
              <w:t xml:space="preserve">Service is being shut down through 2026.</w:t>
            </w:r>
          </w:p>
        </w:tc>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60"/>
            </w:pPr>
            <w:r>
              <w:rPr>
                <w:rFonts w:ascii="Calibri" w:cs="Calibri" w:eastAsia="Calibri" w:hAnsi="Calibri"/>
                <w:b w:val="false"/>
                <w:bCs w:val="false"/>
                <w:color w:val="1F2937"/>
                <w:sz w:val="20"/>
                <w:szCs w:val="20"/>
              </w:rPr>
              <w:t xml:space="preserve">Substitute with Android Health Connect (Android) and Apple HealthKit (iOS), both reachable only through a Capacitor wrapper; Phase 3.</w:t>
            </w:r>
          </w:p>
          <w:p>
            <w:pPr>
              <w:spacing w:after="0"/>
            </w:pPr>
            <w:r>
              <w:rPr>
                <w:rFonts w:ascii="Calibri" w:cs="Calibri" w:eastAsia="Calibri" w:hAnsi="Calibri"/>
                <w:b w:val="false"/>
                <w:bCs w:val="false"/>
                <w:color w:val="1F2937"/>
                <w:sz w:val="20"/>
                <w:szCs w:val="20"/>
              </w:rPr>
              <w:t xml:space="preserve">These are the official successors and carry strictly richer data than Google Fit.</w:t>
            </w:r>
          </w:p>
        </w:tc>
      </w:tr>
      <w:tr>
        <w:tc>
          <w:tcPr>
            <w:tcW w:type="dxa" w:w="1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MyFitnessPal</w:t>
            </w:r>
          </w:p>
        </w:tc>
        <w:tc>
          <w:tcPr>
            <w:tcW w:type="dxa" w:w="3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60"/>
            </w:pPr>
            <w:r>
              <w:rPr>
                <w:rFonts w:ascii="Calibri" w:cs="Calibri" w:eastAsia="Calibri" w:hAnsi="Calibri"/>
                <w:b w:val="false"/>
                <w:bCs w:val="false"/>
                <w:color w:val="1F2937"/>
                <w:sz w:val="20"/>
                <w:szCs w:val="20"/>
              </w:rPr>
              <w:t xml:space="preserve">API has been private-only since 2020.</w:t>
            </w:r>
          </w:p>
          <w:p>
            <w:pPr>
              <w:spacing w:after="0"/>
            </w:pPr>
            <w:r>
              <w:rPr>
                <w:rFonts w:ascii="Calibri" w:cs="Calibri" w:eastAsia="Calibri" w:hAnsi="Calibri"/>
                <w:b w:val="false"/>
                <w:bCs w:val="false"/>
                <w:color w:val="1F2937"/>
                <w:sz w:val="20"/>
                <w:szCs w:val="20"/>
              </w:rPr>
              <w:t xml:space="preserve">No new partner applications accepted; scraping libraries violate terms of service.</w:t>
            </w:r>
          </w:p>
        </w:tc>
        <w:tc>
          <w:tcPr>
            <w:tcW w:type="dxa" w:w="4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60"/>
            </w:pPr>
            <w:r>
              <w:rPr>
                <w:rFonts w:ascii="Calibri" w:cs="Calibri" w:eastAsia="Calibri" w:hAnsi="Calibri"/>
                <w:b w:val="false"/>
                <w:bCs w:val="false"/>
                <w:color w:val="1F2937"/>
                <w:sz w:val="20"/>
                <w:szCs w:val="20"/>
              </w:rPr>
              <w:t xml:space="preserve">Open Food Facts as the primary nutrition source: free, no API key, no rate limits, ~3M global products with barcode lookup.</w:t>
            </w:r>
          </w:p>
          <w:p>
            <w:pPr>
              <w:spacing w:after="60"/>
            </w:pPr>
            <w:r>
              <w:rPr>
                <w:rFonts w:ascii="Calibri" w:cs="Calibri" w:eastAsia="Calibri" w:hAnsi="Calibri"/>
                <w:b w:val="false"/>
                <w:bCs w:val="false"/>
                <w:color w:val="1F2937"/>
                <w:sz w:val="20"/>
                <w:szCs w:val="20"/>
              </w:rPr>
              <w:t xml:space="preserve">USDA FoodData Central as the secondary: free with free API key, ~400K curated foods, government-grade macro accuracy.</w:t>
            </w:r>
          </w:p>
          <w:p>
            <w:pPr>
              <w:spacing w:after="0"/>
            </w:pPr>
            <w:r>
              <w:rPr>
                <w:rFonts w:ascii="Calibri" w:cs="Calibri" w:eastAsia="Calibri" w:hAnsi="Calibri"/>
                <w:b w:val="false"/>
                <w:bCs w:val="false"/>
                <w:color w:val="1F2937"/>
                <w:sz w:val="20"/>
                <w:szCs w:val="20"/>
              </w:rPr>
              <w:t xml:space="preserve">Together these cover what MyFitnessPal does, at zero cost, with cleaner data provenance.</w:t>
            </w:r>
          </w:p>
        </w:tc>
      </w:tr>
      <w:tr>
        <w:tc>
          <w:tcPr>
            <w:tcW w:type="dxa" w:w="1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Hevy</w:t>
            </w:r>
          </w:p>
        </w:tc>
        <w:tc>
          <w:tcPr>
            <w:tcW w:type="dxa" w:w="3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60"/>
            </w:pPr>
            <w:r>
              <w:rPr>
                <w:rFonts w:ascii="Calibri" w:cs="Calibri" w:eastAsia="Calibri" w:hAnsi="Calibri"/>
                <w:b w:val="false"/>
                <w:bCs w:val="false"/>
                <w:color w:val="1F2937"/>
                <w:sz w:val="20"/>
                <w:szCs w:val="20"/>
              </w:rPr>
              <w:t xml:space="preserve">Public API available.</w:t>
            </w:r>
          </w:p>
          <w:p>
            <w:pPr>
              <w:spacing w:after="0"/>
            </w:pPr>
            <w:r>
              <w:rPr>
                <w:rFonts w:ascii="Calibri" w:cs="Calibri" w:eastAsia="Calibri" w:hAnsi="Calibri"/>
                <w:b w:val="false"/>
                <w:bCs w:val="false"/>
                <w:color w:val="1F2937"/>
                <w:sz w:val="20"/>
                <w:szCs w:val="20"/>
              </w:rPr>
              <w:t xml:space="preserve">Requires the user to hold a Hevy Pro subscription (USD 2.99 per month) and to generate a personal API key.</w:t>
            </w:r>
          </w:p>
        </w:tc>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60"/>
            </w:pPr>
            <w:r>
              <w:rPr>
                <w:rFonts w:ascii="Calibri" w:cs="Calibri" w:eastAsia="Calibri" w:hAnsi="Calibri"/>
                <w:b w:val="false"/>
                <w:bCs w:val="false"/>
                <w:color w:val="1F2937"/>
                <w:sz w:val="20"/>
                <w:szCs w:val="20"/>
              </w:rPr>
              <w:t xml:space="preserve">MVP+1 wires Hevy as a per-user integration: the user pastes their API key into Settings; a nightly Edge Function pulls workouts.</w:t>
            </w:r>
          </w:p>
          <w:p>
            <w:pPr>
              <w:spacing w:after="0"/>
            </w:pPr>
            <w:r>
              <w:rPr>
                <w:rFonts w:ascii="Calibri" w:cs="Calibri" w:eastAsia="Calibri" w:hAnsi="Calibri"/>
                <w:b w:val="false"/>
                <w:bCs w:val="false"/>
                <w:color w:val="1F2937"/>
                <w:sz w:val="20"/>
                <w:szCs w:val="20"/>
              </w:rPr>
              <w:t xml:space="preserve">Phase 2 adds two-way sync once the in-app workout logger reaches parity with Hevy.</w:t>
            </w:r>
          </w:p>
        </w:tc>
      </w:tr>
    </w:tbl>
    <w:p>
      <w:pPr>
        <w:pStyle w:val="Heading2"/>
        <w:spacing w:after="140" w:before="280"/>
      </w:pPr>
      <w:r>
        <w:rPr>
          <w:rFonts w:ascii="Calibri" w:cs="Calibri" w:eastAsia="Calibri" w:hAnsi="Calibri"/>
          <w:b/>
          <w:bCs/>
          <w:color w:val="1F2D4A"/>
          <w:sz w:val="26"/>
          <w:szCs w:val="26"/>
        </w:rPr>
        <w:t xml:space="preserve">7.2  Why the native shell matters</w:t>
      </w:r>
    </w:p>
    <w:p>
      <w:pPr>
        <w:spacing w:after="120" w:before="0" w:line="300"/>
      </w:pPr>
      <w:r>
        <w:rPr>
          <w:rFonts w:ascii="Calibri" w:cs="Calibri" w:eastAsia="Calibri" w:hAnsi="Calibri"/>
          <w:color w:val="1F2937"/>
          <w:sz w:val="22"/>
          <w:szCs w:val="22"/>
        </w:rPr>
        <w:t xml:space="preserve">A pure browser-based PWA cannot read step counts, heart rate, or sleep from the phone’s health platform. These data live behind native APIs that the operating systems guard tightly. The standard pattern for modern health PWAs is therefore three-layer:</w:t>
      </w:r>
    </w:p>
    <w:p>
      <w:pPr>
        <w:pStyle w:val="ListParagraph"/>
        <w:numPr>
          <w:ilvl w:val="0"/>
          <w:numId w:val="5"/>
        </w:numPr>
        <w:spacing w:after="80" w:line="280"/>
      </w:pPr>
      <w:r>
        <w:rPr>
          <w:rFonts w:ascii="Calibri" w:cs="Calibri" w:eastAsia="Calibri" w:hAnsi="Calibri"/>
          <w:color w:val="1F2937"/>
          <w:sz w:val="22"/>
          <w:szCs w:val="22"/>
        </w:rPr>
        <w:t xml:space="preserve">Build the application as a PWA. Web-first, installable from the browser, accessible on desktop, offline-capable, deployed to Cloudflare Pages.</w:t>
      </w:r>
    </w:p>
    <w:p>
      <w:pPr>
        <w:pStyle w:val="ListParagraph"/>
        <w:numPr>
          <w:ilvl w:val="0"/>
          <w:numId w:val="5"/>
        </w:numPr>
        <w:spacing w:after="80" w:line="280"/>
      </w:pPr>
      <w:r>
        <w:rPr>
          <w:rFonts w:ascii="Calibri" w:cs="Calibri" w:eastAsia="Calibri" w:hAnsi="Calibri"/>
          <w:color w:val="1F2937"/>
          <w:sz w:val="22"/>
          <w:szCs w:val="22"/>
        </w:rPr>
        <w:t xml:space="preserve">Wrap the same codebase in Capacitor 6 to produce iOS and Android binaries. The wrapper is a thin shell hosting the web view and exposing a small JavaScript bridge to the platform.</w:t>
      </w:r>
    </w:p>
    <w:p>
      <w:pPr>
        <w:pStyle w:val="ListParagraph"/>
        <w:numPr>
          <w:ilvl w:val="0"/>
          <w:numId w:val="5"/>
        </w:numPr>
        <w:spacing w:after="80" w:line="280"/>
      </w:pPr>
      <w:r>
        <w:rPr>
          <w:rFonts w:ascii="Calibri" w:cs="Calibri" w:eastAsia="Calibri" w:hAnsi="Calibri"/>
          <w:color w:val="1F2937"/>
          <w:sz w:val="22"/>
          <w:szCs w:val="22"/>
        </w:rPr>
        <w:t xml:space="preserve">Use the bridge to call HealthKit (iOS) and Health Connect (Android) on the user’s permission. All other code is shared.</w:t>
      </w:r>
    </w:p>
    <w:p>
      <w:pPr>
        <w:spacing w:after="120" w:before="0" w:line="300"/>
      </w:pPr>
      <w:r>
        <w:rPr>
          <w:rFonts w:ascii="Calibri" w:cs="Calibri" w:eastAsia="Calibri" w:hAnsi="Calibri"/>
          <w:color w:val="1F2937"/>
          <w:sz w:val="22"/>
          <w:szCs w:val="22"/>
        </w:rPr>
        <w:t xml:space="preserve">This pattern preserves a single codebase, single deploy pipeline, and single design system, while unlocking the integrations that make automatic step and weight syncing possible. The added cost of Capacitor is approximately one week of build time.</w:t>
      </w:r>
    </w:p>
    <w:p>
      <w:pPr>
        <w:pStyle w:val="Heading2"/>
        <w:spacing w:after="140" w:before="280"/>
      </w:pPr>
      <w:r>
        <w:rPr>
          <w:rFonts w:ascii="Calibri" w:cs="Calibri" w:eastAsia="Calibri" w:hAnsi="Calibri"/>
          <w:b/>
          <w:bCs/>
          <w:color w:val="1F2D4A"/>
          <w:sz w:val="26"/>
          <w:szCs w:val="26"/>
        </w:rPr>
        <w:t xml:space="preserve">7.3  Future integration roadmap</w:t>
      </w:r>
    </w:p>
    <w:p>
      <w:pPr>
        <w:pStyle w:val="ListParagraph"/>
        <w:numPr>
          <w:ilvl w:val="0"/>
          <w:numId w:val="2"/>
        </w:numPr>
        <w:spacing w:after="80" w:line="280"/>
      </w:pPr>
      <w:r>
        <w:rPr>
          <w:rFonts w:ascii="Calibri" w:cs="Calibri" w:eastAsia="Calibri" w:hAnsi="Calibri"/>
          <w:color w:val="1F2937"/>
          <w:sz w:val="22"/>
          <w:szCs w:val="22"/>
        </w:rPr>
        <w:t xml:space="preserve">Whoop, Oura Ring, Garmin, and Fitbit — each writes to Health Connect / HealthKit, so they arrive automatically once Phase 3 ships. No additional direct integrations needed.</w:t>
      </w:r>
    </w:p>
    <w:p>
      <w:pPr>
        <w:pStyle w:val="ListParagraph"/>
        <w:numPr>
          <w:ilvl w:val="0"/>
          <w:numId w:val="2"/>
        </w:numPr>
        <w:spacing w:after="80" w:line="280"/>
      </w:pPr>
      <w:r>
        <w:rPr>
          <w:rFonts w:ascii="Calibri" w:cs="Calibri" w:eastAsia="Calibri" w:hAnsi="Calibri"/>
          <w:color w:val="1F2937"/>
          <w:sz w:val="22"/>
          <w:szCs w:val="22"/>
        </w:rPr>
        <w:t xml:space="preserve">Continuous glucose monitors (Levels, NutriSense, Lingo) for users on metabolic protocols — most stream into HealthKit / Health Connect; pulling them is a UI change, not a back-end one.</w:t>
      </w:r>
    </w:p>
    <w:p>
      <w:pPr>
        <w:pStyle w:val="ListParagraph"/>
        <w:numPr>
          <w:ilvl w:val="0"/>
          <w:numId w:val="2"/>
        </w:numPr>
        <w:spacing w:after="80" w:line="280"/>
      </w:pPr>
      <w:r>
        <w:rPr>
          <w:rFonts w:ascii="Calibri" w:cs="Calibri" w:eastAsia="Calibri" w:hAnsi="Calibri"/>
          <w:color w:val="1F2937"/>
          <w:sz w:val="22"/>
          <w:szCs w:val="22"/>
        </w:rPr>
        <w:t xml:space="preserve">At-home lab providers (Function Health, InsideTracker, Marek) — direct biomarker integrations via OAuth, deferred until user demand justifies the build cost.</w:t>
      </w:r>
    </w:p>
    <w:p>
      <w:r>
        <w:br w:type="page"/>
      </w:r>
    </w:p>
    <w:p>
      <w:pPr>
        <w:pStyle w:val="Heading1"/>
        <w:spacing w:after="200" w:before="360"/>
      </w:pPr>
      <w:r>
        <w:rPr>
          <w:rFonts w:ascii="Calibri" w:cs="Calibri" w:eastAsia="Calibri" w:hAnsi="Calibri"/>
          <w:b/>
          <w:bCs/>
          <w:color w:val="1F2D4A"/>
          <w:sz w:val="32"/>
          <w:szCs w:val="32"/>
        </w:rPr>
        <w:t xml:space="preserve">8.  Design language and UX principles</w:t>
      </w:r>
    </w:p>
    <w:p>
      <w:pPr>
        <w:spacing w:after="120" w:before="0" w:line="300"/>
      </w:pPr>
      <w:r>
        <w:rPr>
          <w:rFonts w:ascii="Calibri" w:cs="Calibri" w:eastAsia="Calibri" w:hAnsi="Calibri"/>
          <w:color w:val="1F2937"/>
          <w:sz w:val="22"/>
          <w:szCs w:val="22"/>
        </w:rPr>
        <w:t xml:space="preserve">The design language is calm, data-dense, and confident. The brand identity is Forest — a deep, considered green — set against Ink for chrome and Coral as a focused-state accent. It draws aesthetic cues from Linear, Things, and the modern Apple Health redesign, and adopts none of the gamified noise common in fitness apps. Six rules govern every screen:</w:t>
      </w:r>
    </w:p>
    <w:p>
      <w:pPr>
        <w:pStyle w:val="ListParagraph"/>
        <w:numPr>
          <w:ilvl w:val="0"/>
          <w:numId w:val="6"/>
        </w:numPr>
        <w:spacing w:after="80" w:line="280"/>
      </w:pPr>
      <w:r>
        <w:rPr>
          <w:rFonts w:ascii="Calibri" w:cs="Calibri" w:eastAsia="Calibri" w:hAnsi="Calibri"/>
          <w:color w:val="1F2937"/>
          <w:sz w:val="22"/>
          <w:szCs w:val="22"/>
        </w:rPr>
        <w:t xml:space="preserve">Numbers first. The dashboard leads with the metric, not with copy explaining what the metric means.</w:t>
      </w:r>
    </w:p>
    <w:p>
      <w:pPr>
        <w:pStyle w:val="ListParagraph"/>
        <w:numPr>
          <w:ilvl w:val="0"/>
          <w:numId w:val="6"/>
        </w:numPr>
        <w:spacing w:after="80" w:line="280"/>
      </w:pPr>
      <w:r>
        <w:rPr>
          <w:rFonts w:ascii="Calibri" w:cs="Calibri" w:eastAsia="Calibri" w:hAnsi="Calibri"/>
          <w:color w:val="1F2937"/>
          <w:sz w:val="22"/>
          <w:szCs w:val="22"/>
        </w:rPr>
        <w:t xml:space="preserve">One primary action per screen. Always visually obvious. Secondary actions compress to icons.</w:t>
      </w:r>
    </w:p>
    <w:p>
      <w:pPr>
        <w:pStyle w:val="ListParagraph"/>
        <w:numPr>
          <w:ilvl w:val="0"/>
          <w:numId w:val="6"/>
        </w:numPr>
        <w:spacing w:after="80" w:line="280"/>
      </w:pPr>
      <w:r>
        <w:rPr>
          <w:rFonts w:ascii="Calibri" w:cs="Calibri" w:eastAsia="Calibri" w:hAnsi="Calibri"/>
          <w:color w:val="1F2937"/>
          <w:sz w:val="22"/>
          <w:szCs w:val="22"/>
        </w:rPr>
        <w:t xml:space="preserve">Two-thirds blank space. Especially on data-dense screens. Whitespace is the most important element of trust.</w:t>
      </w:r>
    </w:p>
    <w:p>
      <w:pPr>
        <w:pStyle w:val="ListParagraph"/>
        <w:numPr>
          <w:ilvl w:val="0"/>
          <w:numId w:val="6"/>
        </w:numPr>
        <w:spacing w:after="80" w:line="280"/>
      </w:pPr>
      <w:r>
        <w:rPr>
          <w:rFonts w:ascii="Calibri" w:cs="Calibri" w:eastAsia="Calibri" w:hAnsi="Calibri"/>
          <w:color w:val="1F2937"/>
          <w:sz w:val="22"/>
          <w:szCs w:val="22"/>
        </w:rPr>
        <w:t xml:space="preserve">No emoji, no streak fireworks, no “great job” copy. Treat the user as an adult.</w:t>
      </w:r>
    </w:p>
    <w:p>
      <w:pPr>
        <w:pStyle w:val="ListParagraph"/>
        <w:numPr>
          <w:ilvl w:val="0"/>
          <w:numId w:val="6"/>
        </w:numPr>
        <w:spacing w:after="80" w:line="280"/>
      </w:pPr>
      <w:r>
        <w:rPr>
          <w:rFonts w:ascii="Calibri" w:cs="Calibri" w:eastAsia="Calibri" w:hAnsi="Calibri"/>
          <w:color w:val="1F2937"/>
          <w:sz w:val="22"/>
          <w:szCs w:val="22"/>
        </w:rPr>
        <w:t xml:space="preserve">Dark mode is mandatory, not an afterthought. Health is checked at 11pm in bed; the product respects that.</w:t>
      </w:r>
    </w:p>
    <w:p>
      <w:pPr>
        <w:pStyle w:val="ListParagraph"/>
        <w:numPr>
          <w:ilvl w:val="0"/>
          <w:numId w:val="6"/>
        </w:numPr>
        <w:spacing w:after="80" w:line="280"/>
      </w:pPr>
      <w:r>
        <w:rPr>
          <w:rFonts w:ascii="Calibri" w:cs="Calibri" w:eastAsia="Calibri" w:hAnsi="Calibri"/>
          <w:color w:val="1F2937"/>
          <w:sz w:val="22"/>
          <w:szCs w:val="22"/>
        </w:rPr>
        <w:t xml:space="preserve">Accessibility from day one. WCAG 2.2 AA targets: 4.5:1 contrast minimum, full keyboard navigation, screen-reader-tested forms.</w:t>
      </w:r>
    </w:p>
    <w:p>
      <w:pPr>
        <w:pStyle w:val="Heading3"/>
        <w:spacing w:after="100" w:before="200"/>
      </w:pPr>
      <w:r>
        <w:rPr>
          <w:rFonts w:ascii="Calibri" w:cs="Calibri" w:eastAsia="Calibri" w:hAnsi="Calibri"/>
          <w:b/>
          <w:bCs/>
          <w:color w:val="0F6E56"/>
          <w:sz w:val="22"/>
          <w:szCs w:val="22"/>
        </w:rPr>
        <w:t xml:space="preserve">Inspirations and reference points</w:t>
      </w:r>
    </w:p>
    <w:p>
      <w:pPr>
        <w:pStyle w:val="ListParagraph"/>
        <w:numPr>
          <w:ilvl w:val="0"/>
          <w:numId w:val="2"/>
        </w:numPr>
        <w:spacing w:after="80" w:line="280"/>
      </w:pPr>
      <w:r>
        <w:rPr>
          <w:rFonts w:ascii="Calibri" w:cs="Calibri" w:eastAsia="Calibri" w:hAnsi="Calibri"/>
          <w:color w:val="1F2937"/>
          <w:sz w:val="22"/>
          <w:szCs w:val="22"/>
        </w:rPr>
        <w:t xml:space="preserve">Linear (linear.app): keyboard-first interaction, command palette, ruthless visual restraint.</w:t>
      </w:r>
    </w:p>
    <w:p>
      <w:pPr>
        <w:pStyle w:val="ListParagraph"/>
        <w:numPr>
          <w:ilvl w:val="0"/>
          <w:numId w:val="2"/>
        </w:numPr>
        <w:spacing w:after="80" w:line="280"/>
      </w:pPr>
      <w:r>
        <w:rPr>
          <w:rFonts w:ascii="Calibri" w:cs="Calibri" w:eastAsia="Calibri" w:hAnsi="Calibri"/>
          <w:color w:val="1F2937"/>
          <w:sz w:val="22"/>
          <w:szCs w:val="22"/>
        </w:rPr>
        <w:t xml:space="preserve">Things 3 (culturedcode.com/things): typographic hierarchy as a feature; animation as feedback rather than decoration.</w:t>
      </w:r>
    </w:p>
    <w:p>
      <w:pPr>
        <w:pStyle w:val="ListParagraph"/>
        <w:numPr>
          <w:ilvl w:val="0"/>
          <w:numId w:val="2"/>
        </w:numPr>
        <w:spacing w:after="80" w:line="280"/>
      </w:pPr>
      <w:r>
        <w:rPr>
          <w:rFonts w:ascii="Calibri" w:cs="Calibri" w:eastAsia="Calibri" w:hAnsi="Calibri"/>
          <w:color w:val="1F2937"/>
          <w:sz w:val="22"/>
          <w:szCs w:val="22"/>
        </w:rPr>
        <w:t xml:space="preserve">Apple Health (post-iOS 17 redesign): the trend-line-with-context pattern is the gold standard for personal health data.</w:t>
      </w:r>
    </w:p>
    <w:p>
      <w:pPr>
        <w:pStyle w:val="ListParagraph"/>
        <w:numPr>
          <w:ilvl w:val="0"/>
          <w:numId w:val="2"/>
        </w:numPr>
        <w:spacing w:after="80" w:line="280"/>
      </w:pPr>
      <w:r>
        <w:rPr>
          <w:rFonts w:ascii="Calibri" w:cs="Calibri" w:eastAsia="Calibri" w:hAnsi="Calibri"/>
          <w:color w:val="1F2937"/>
          <w:sz w:val="22"/>
          <w:szCs w:val="22"/>
        </w:rPr>
        <w:t xml:space="preserve">Cron / Notion Calendar: density without clutter is achievable; this is the proof.</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4CC" w:sz="4"/>
              <w:left w:val="single" w:color="C04828" w:sz="24"/>
              <w:bottom w:val="single" w:color="BFC4CC" w:sz="4"/>
              <w:right w:val="single" w:color="BFC4CC" w:sz="4"/>
            </w:tcBorders>
            <w:shd w:fill="F4F6F9" w:val="clear"/>
            <w:tcMar>
              <w:top w:type="dxa" w:w="180"/>
              <w:left w:type="dxa" w:w="220"/>
              <w:bottom w:type="dxa" w:w="180"/>
              <w:right w:type="dxa" w:w="220"/>
            </w:tcMar>
          </w:tcPr>
          <w:p>
            <w:pPr>
              <w:spacing w:after="60" w:before="0" w:line="300"/>
            </w:pPr>
            <w:r>
              <w:rPr>
                <w:rFonts w:ascii="Calibri" w:cs="Calibri" w:eastAsia="Calibri" w:hAnsi="Calibri"/>
                <w:b/>
                <w:bCs/>
                <w:color w:val="C04828"/>
                <w:sz w:val="20"/>
                <w:szCs w:val="20"/>
              </w:rPr>
              <w:t xml:space="preserve">The design system is the source of truth</w:t>
            </w:r>
          </w:p>
          <w:p>
            <w:pPr>
              <w:spacing w:after="0" w:before="0" w:line="300"/>
            </w:pPr>
            <w:r>
              <w:rPr>
                <w:rFonts w:ascii="Calibri" w:cs="Calibri" w:eastAsia="Calibri" w:hAnsi="Calibri"/>
                <w:color w:val="1F2937"/>
                <w:sz w:val="22"/>
                <w:szCs w:val="22"/>
              </w:rPr>
              <w:t xml:space="preserve">This section is a summary. The full visual contract — tokens, components, motion, accessibility, content rules, screen patterns, and the modularity contract that makes a future rebrand a one-pull-request change — lives in the companion document, TotalMacro Design System. Every component shipped conforms to that document; deviations are bugs caught in CI.</w:t>
            </w:r>
          </w:p>
        </w:tc>
      </w:tr>
    </w:tbl>
    <w:p>
      <w:r>
        <w:br w:type="page"/>
      </w:r>
    </w:p>
    <w:p>
      <w:pPr>
        <w:pStyle w:val="Heading1"/>
        <w:spacing w:after="200" w:before="360"/>
      </w:pPr>
      <w:r>
        <w:rPr>
          <w:rFonts w:ascii="Calibri" w:cs="Calibri" w:eastAsia="Calibri" w:hAnsi="Calibri"/>
          <w:b/>
          <w:bCs/>
          <w:color w:val="1F2D4A"/>
          <w:sz w:val="32"/>
          <w:szCs w:val="32"/>
        </w:rPr>
        <w:t xml:space="preserve">9.  Delivery roadmap</w:t>
      </w:r>
    </w:p>
    <w:p>
      <w:pPr>
        <w:spacing w:after="120" w:before="0" w:line="300"/>
      </w:pPr>
      <w:r>
        <w:rPr>
          <w:rFonts w:ascii="Calibri" w:cs="Calibri" w:eastAsia="Calibri" w:hAnsi="Calibri"/>
          <w:color w:val="1F2937"/>
          <w:sz w:val="22"/>
          <w:szCs w:val="22"/>
        </w:rPr>
        <w:t xml:space="preserve">Discovery and design are considered complete; the roadmap begins at MVP build. Three phases, seven weeks elapsed, with explicit stage gates between each. Stage gates are not ceremonial — the project does not advance unless the gate criteria are met.</w:t>
      </w:r>
    </w:p>
    <w:p>
      <w:pPr>
        <w:pStyle w:val="Heading2"/>
        <w:spacing w:after="140" w:before="280"/>
      </w:pPr>
      <w:r>
        <w:rPr>
          <w:rFonts w:ascii="Calibri" w:cs="Calibri" w:eastAsia="Calibri" w:hAnsi="Calibri"/>
          <w:b/>
          <w:bCs/>
          <w:color w:val="1F2D4A"/>
          <w:sz w:val="26"/>
          <w:szCs w:val="26"/>
        </w:rPr>
        <w:t xml:space="preserve">9.1  Phase 1: MVP build (weeks 1–3)</w:t>
      </w:r>
    </w:p>
    <w:p>
      <w:pPr>
        <w:pStyle w:val="ListParagraph"/>
        <w:numPr>
          <w:ilvl w:val="0"/>
          <w:numId w:val="2"/>
        </w:numPr>
        <w:spacing w:after="80" w:line="280"/>
      </w:pPr>
      <w:r>
        <w:rPr>
          <w:rFonts w:ascii="Calibri" w:cs="Calibri" w:eastAsia="Calibri" w:hAnsi="Calibri"/>
          <w:b/>
          <w:bCs/>
          <w:color w:val="1F2937"/>
          <w:sz w:val="22"/>
          <w:szCs w:val="22"/>
        </w:rPr>
        <w:t xml:space="preserve">Week 1. </w:t>
      </w:r>
      <w:r>
        <w:rPr>
          <w:rFonts w:ascii="Calibri" w:cs="Calibri" w:eastAsia="Calibri" w:hAnsi="Calibri"/>
          <w:color w:val="1F2937"/>
          <w:sz w:val="22"/>
          <w:szCs w:val="22"/>
        </w:rPr>
        <w:t xml:space="preserve">Supabase project provisioned; schema deployed with full RLS; auth (magic link) wired end-to-end; React + Vite + Tailwind scaffold; daily journal entry and view operational; first deploy to Cloudflare Pages preview.</w:t>
      </w:r>
    </w:p>
    <w:p>
      <w:pPr>
        <w:pStyle w:val="ListParagraph"/>
        <w:numPr>
          <w:ilvl w:val="0"/>
          <w:numId w:val="2"/>
        </w:numPr>
        <w:spacing w:after="80" w:line="280"/>
      </w:pPr>
      <w:r>
        <w:rPr>
          <w:rFonts w:ascii="Calibri" w:cs="Calibri" w:eastAsia="Calibri" w:hAnsi="Calibri"/>
          <w:b/>
          <w:bCs/>
          <w:color w:val="1F2937"/>
          <w:sz w:val="22"/>
          <w:szCs w:val="22"/>
        </w:rPr>
        <w:t xml:space="preserve">Week 2. </w:t>
      </w:r>
      <w:r>
        <w:rPr>
          <w:rFonts w:ascii="Calibri" w:cs="Calibri" w:eastAsia="Calibri" w:hAnsi="Calibri"/>
          <w:color w:val="1F2937"/>
          <w:sz w:val="22"/>
          <w:szCs w:val="22"/>
        </w:rPr>
        <w:t xml:space="preserve">Onboarding flow with target setting; trends dashboard with daily, weekly, monthly views; weekly check-in flow; settings; account deletion with CSV export; PWA manifest and basic service worker.</w:t>
      </w:r>
    </w:p>
    <w:p>
      <w:pPr>
        <w:pStyle w:val="ListParagraph"/>
        <w:numPr>
          <w:ilvl w:val="0"/>
          <w:numId w:val="2"/>
        </w:numPr>
        <w:spacing w:after="80" w:line="280"/>
      </w:pPr>
      <w:r>
        <w:rPr>
          <w:rFonts w:ascii="Calibri" w:cs="Calibri" w:eastAsia="Calibri" w:hAnsi="Calibri"/>
          <w:b/>
          <w:bCs/>
          <w:color w:val="1F2937"/>
          <w:sz w:val="22"/>
          <w:szCs w:val="22"/>
        </w:rPr>
        <w:t xml:space="preserve">Week 3. </w:t>
      </w:r>
      <w:r>
        <w:rPr>
          <w:rFonts w:ascii="Calibri" w:cs="Calibri" w:eastAsia="Calibri" w:hAnsi="Calibri"/>
          <w:color w:val="1F2937"/>
          <w:sz w:val="22"/>
          <w:szCs w:val="22"/>
        </w:rPr>
        <w:t xml:space="preserve">Open Food Facts and USDA FoodData Central food search; meal templates; recent foods; offline sync hardening; RLS test suite running in CI.</w:t>
      </w:r>
    </w:p>
    <w:p>
      <w:pPr>
        <w:pStyle w:val="ListParagraph"/>
        <w:numPr>
          <w:ilvl w:val="0"/>
          <w:numId w:val="2"/>
        </w:numPr>
        <w:spacing w:after="80" w:line="280"/>
      </w:pPr>
      <w:r>
        <w:rPr>
          <w:rFonts w:ascii="Calibri" w:cs="Calibri" w:eastAsia="Calibri" w:hAnsi="Calibri"/>
          <w:b/>
          <w:bCs/>
          <w:color w:val="1F2937"/>
          <w:sz w:val="22"/>
          <w:szCs w:val="22"/>
        </w:rPr>
        <w:t xml:space="preserve">Stage gate 1. </w:t>
      </w:r>
      <w:r>
        <w:rPr>
          <w:rFonts w:ascii="Calibri" w:cs="Calibri" w:eastAsia="Calibri" w:hAnsi="Calibri"/>
          <w:color w:val="1F2937"/>
          <w:sz w:val="22"/>
          <w:szCs w:val="22"/>
        </w:rPr>
        <w:t xml:space="preserve">All MVP user journeys complete end-to-end; performance budget met (sub-2-second cold start; sub-200ms log save); RLS test suite green; you have used the app for one full day without falling back to the spreadsheet.</w:t>
      </w:r>
    </w:p>
    <w:p>
      <w:pPr>
        <w:pStyle w:val="Heading2"/>
        <w:spacing w:after="140" w:before="280"/>
      </w:pPr>
      <w:r>
        <w:rPr>
          <w:rFonts w:ascii="Calibri" w:cs="Calibri" w:eastAsia="Calibri" w:hAnsi="Calibri"/>
          <w:b/>
          <w:bCs/>
          <w:color w:val="1F2D4A"/>
          <w:sz w:val="26"/>
          <w:szCs w:val="26"/>
        </w:rPr>
        <w:t xml:space="preserve">9.2  Phase 2: Personal beta (weeks 4–5)</w:t>
      </w:r>
    </w:p>
    <w:p>
      <w:pPr>
        <w:pStyle w:val="ListParagraph"/>
        <w:numPr>
          <w:ilvl w:val="0"/>
          <w:numId w:val="2"/>
        </w:numPr>
        <w:spacing w:after="80" w:line="280"/>
      </w:pPr>
      <w:r>
        <w:rPr>
          <w:rFonts w:ascii="Calibri" w:cs="Calibri" w:eastAsia="Calibri" w:hAnsi="Calibri"/>
          <w:b/>
          <w:bCs/>
          <w:color w:val="1F2937"/>
          <w:sz w:val="22"/>
          <w:szCs w:val="22"/>
        </w:rPr>
        <w:t xml:space="preserve">Week 4. </w:t>
      </w:r>
      <w:r>
        <w:rPr>
          <w:rFonts w:ascii="Calibri" w:cs="Calibri" w:eastAsia="Calibri" w:hAnsi="Calibri"/>
          <w:color w:val="1F2937"/>
          <w:sz w:val="22"/>
          <w:szCs w:val="22"/>
        </w:rPr>
        <w:t xml:space="preserve">Daily personal use to surface rough edges; bug hunt and polish; Hevy API integration as a per-user setting (paste API key, nightly pull, workouts visible in trends).</w:t>
      </w:r>
    </w:p>
    <w:p>
      <w:pPr>
        <w:pStyle w:val="ListParagraph"/>
        <w:numPr>
          <w:ilvl w:val="0"/>
          <w:numId w:val="2"/>
        </w:numPr>
        <w:spacing w:after="80" w:line="280"/>
      </w:pPr>
      <w:r>
        <w:rPr>
          <w:rFonts w:ascii="Calibri" w:cs="Calibri" w:eastAsia="Calibri" w:hAnsi="Calibri"/>
          <w:b/>
          <w:bCs/>
          <w:color w:val="1F2937"/>
          <w:sz w:val="22"/>
          <w:szCs w:val="22"/>
        </w:rPr>
        <w:t xml:space="preserve">Week 5. </w:t>
      </w:r>
      <w:r>
        <w:rPr>
          <w:rFonts w:ascii="Calibri" w:cs="Calibri" w:eastAsia="Calibri" w:hAnsi="Calibri"/>
          <w:color w:val="1F2937"/>
          <w:sz w:val="22"/>
          <w:szCs w:val="22"/>
        </w:rPr>
        <w:t xml:space="preserve">Web Push notifications: subscription flow, evening close-out reminder, missed-weigh-in nudge; smart timing logic; per-metric subscription controls; barcode scanning via the BarcodeDetector Web API where supported.</w:t>
      </w:r>
    </w:p>
    <w:p>
      <w:pPr>
        <w:pStyle w:val="ListParagraph"/>
        <w:numPr>
          <w:ilvl w:val="0"/>
          <w:numId w:val="2"/>
        </w:numPr>
        <w:spacing w:after="80" w:line="280"/>
      </w:pPr>
      <w:r>
        <w:rPr>
          <w:rFonts w:ascii="Calibri" w:cs="Calibri" w:eastAsia="Calibri" w:hAnsi="Calibri"/>
          <w:b/>
          <w:bCs/>
          <w:color w:val="1F2937"/>
          <w:sz w:val="22"/>
          <w:szCs w:val="22"/>
        </w:rPr>
        <w:t xml:space="preserve">Stage gate 2. </w:t>
      </w:r>
      <w:r>
        <w:rPr>
          <w:rFonts w:ascii="Calibri" w:cs="Calibri" w:eastAsia="Calibri" w:hAnsi="Calibri"/>
          <w:color w:val="1F2937"/>
          <w:sz w:val="22"/>
          <w:szCs w:val="22"/>
        </w:rPr>
        <w:t xml:space="preserve">App feels good to use after seven consecutive days of personal use; zero P0 or P1 bugs; Hevy data flowing in cleanly; push notifications firing reliably across iOS Safari, Chrome on Android, and desktop Chrome / Safari.</w:t>
      </w:r>
    </w:p>
    <w:p>
      <w:pPr>
        <w:pStyle w:val="Heading2"/>
        <w:spacing w:after="140" w:before="280"/>
      </w:pPr>
      <w:r>
        <w:rPr>
          <w:rFonts w:ascii="Calibri" w:cs="Calibri" w:eastAsia="Calibri" w:hAnsi="Calibri"/>
          <w:b/>
          <w:bCs/>
          <w:color w:val="1F2D4A"/>
          <w:sz w:val="26"/>
          <w:szCs w:val="26"/>
        </w:rPr>
        <w:t xml:space="preserve">9.3  Phase 3: Public launch (weeks 6–7)</w:t>
      </w:r>
    </w:p>
    <w:p>
      <w:pPr>
        <w:pStyle w:val="ListParagraph"/>
        <w:numPr>
          <w:ilvl w:val="0"/>
          <w:numId w:val="2"/>
        </w:numPr>
        <w:spacing w:after="80" w:line="280"/>
      </w:pPr>
      <w:r>
        <w:rPr>
          <w:rFonts w:ascii="Calibri" w:cs="Calibri" w:eastAsia="Calibri" w:hAnsi="Calibri"/>
          <w:b/>
          <w:bCs/>
          <w:color w:val="1F2937"/>
          <w:sz w:val="22"/>
          <w:szCs w:val="22"/>
        </w:rPr>
        <w:t xml:space="preserve">Week 6. </w:t>
      </w:r>
      <w:r>
        <w:rPr>
          <w:rFonts w:ascii="Calibri" w:cs="Calibri" w:eastAsia="Calibri" w:hAnsi="Calibri"/>
          <w:color w:val="1F2937"/>
          <w:sz w:val="22"/>
          <w:szCs w:val="22"/>
        </w:rPr>
        <w:t xml:space="preserve">Capacitor wrapper for iOS and Android; HealthKit plugin (iOS) and Health Connect plugin (Android); steps and weight auto-sync from native health platforms; in-app permission flows.</w:t>
      </w:r>
    </w:p>
    <w:p>
      <w:pPr>
        <w:pStyle w:val="ListParagraph"/>
        <w:numPr>
          <w:ilvl w:val="0"/>
          <w:numId w:val="2"/>
        </w:numPr>
        <w:spacing w:after="80" w:line="280"/>
      </w:pPr>
      <w:r>
        <w:rPr>
          <w:rFonts w:ascii="Calibri" w:cs="Calibri" w:eastAsia="Calibri" w:hAnsi="Calibri"/>
          <w:b/>
          <w:bCs/>
          <w:color w:val="1F2937"/>
          <w:sz w:val="22"/>
          <w:szCs w:val="22"/>
        </w:rPr>
        <w:t xml:space="preserve">Week 7. </w:t>
      </w:r>
      <w:r>
        <w:rPr>
          <w:rFonts w:ascii="Calibri" w:cs="Calibri" w:eastAsia="Calibri" w:hAnsi="Calibri"/>
          <w:color w:val="1F2937"/>
          <w:sz w:val="22"/>
          <w:szCs w:val="22"/>
        </w:rPr>
        <w:t xml:space="preserve">App Store and Play Store submissions (Apple review takes 1–7 days; account for variance); production deploy on Cloudflare Pages with custom domain; public sign-up open; status page live; launch announcement.</w:t>
      </w:r>
    </w:p>
    <w:p>
      <w:pPr>
        <w:pStyle w:val="ListParagraph"/>
        <w:numPr>
          <w:ilvl w:val="0"/>
          <w:numId w:val="2"/>
        </w:numPr>
        <w:spacing w:after="80" w:line="280"/>
      </w:pPr>
      <w:r>
        <w:rPr>
          <w:rFonts w:ascii="Calibri" w:cs="Calibri" w:eastAsia="Calibri" w:hAnsi="Calibri"/>
          <w:b/>
          <w:bCs/>
          <w:color w:val="1F2937"/>
          <w:sz w:val="22"/>
          <w:szCs w:val="22"/>
        </w:rPr>
        <w:t xml:space="preserve">Stage gate 3 (go / no-go for public). </w:t>
      </w:r>
      <w:r>
        <w:rPr>
          <w:rFonts w:ascii="Calibri" w:cs="Calibri" w:eastAsia="Calibri" w:hAnsi="Calibri"/>
          <w:color w:val="1F2937"/>
          <w:sz w:val="22"/>
          <w:szCs w:val="22"/>
        </w:rPr>
        <w:t xml:space="preserve">RLS test suite passes including a malicious-user simulation; data export and account deletion verified end-to-end; first ten external users sign up successfully and reach a logged daily card; uptime over the prior week above 99.5 percent.</w:t>
      </w:r>
    </w:p>
    <w:p>
      <w:r>
        <w:br w:type="page"/>
      </w:r>
    </w:p>
    <w:p>
      <w:pPr>
        <w:pStyle w:val="Heading1"/>
        <w:spacing w:after="200" w:before="360"/>
      </w:pPr>
      <w:r>
        <w:rPr>
          <w:rFonts w:ascii="Calibri" w:cs="Calibri" w:eastAsia="Calibri" w:hAnsi="Calibri"/>
          <w:b/>
          <w:bCs/>
          <w:color w:val="1F2D4A"/>
          <w:sz w:val="32"/>
          <w:szCs w:val="32"/>
        </w:rPr>
        <w:t xml:space="preserve">10.  Operating model</w:t>
      </w:r>
    </w:p>
    <w:p>
      <w:pPr>
        <w:pStyle w:val="Heading2"/>
        <w:spacing w:after="140" w:before="280"/>
      </w:pPr>
      <w:r>
        <w:rPr>
          <w:rFonts w:ascii="Calibri" w:cs="Calibri" w:eastAsia="Calibri" w:hAnsi="Calibri"/>
          <w:b/>
          <w:bCs/>
          <w:color w:val="1F2D4A"/>
          <w:sz w:val="26"/>
          <w:szCs w:val="26"/>
        </w:rPr>
        <w:t xml:space="preserve">10.1  Roles</w:t>
      </w:r>
    </w:p>
    <w:p>
      <w:pPr>
        <w:spacing w:after="120" w:before="0" w:line="300"/>
      </w:pPr>
      <w:r>
        <w:rPr>
          <w:rFonts w:ascii="Calibri" w:cs="Calibri" w:eastAsia="Calibri" w:hAnsi="Calibri"/>
          <w:color w:val="1F2937"/>
          <w:sz w:val="22"/>
          <w:szCs w:val="22"/>
        </w:rPr>
        <w:t xml:space="preserve">Two parties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4080"/>
      </w:tblGrid>
      <w:tr>
        <w:trPr>
          <w:tblHeader/>
        </w:trPr>
        <w:tc>
          <w:tcPr>
            <w:tcW w:type="dxa" w:w="26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Role</w:t>
            </w:r>
          </w:p>
        </w:tc>
        <w:tc>
          <w:tcPr>
            <w:tcW w:type="dxa" w:w="26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Owner</w:t>
            </w:r>
          </w:p>
        </w:tc>
        <w:tc>
          <w:tcPr>
            <w:tcW w:type="dxa" w:w="40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Accountabilities</w:t>
            </w:r>
          </w:p>
        </w:tc>
      </w:tr>
      <w:tr>
        <w:tc>
          <w:tcPr>
            <w:tcW w:type="dxa" w:w="2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Product owner</w:t>
            </w:r>
          </w:p>
        </w:tc>
        <w:tc>
          <w:tcPr>
            <w:tcW w:type="dxa" w:w="2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You</w:t>
            </w:r>
          </w:p>
        </w:tc>
        <w:tc>
          <w:tcPr>
            <w:tcW w:type="dxa" w:w="40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Scope decisions; prioritisation between iterations; user testing; sign-off on each stage gate; final say on UX trade-offs</w:t>
            </w:r>
          </w:p>
        </w:tc>
      </w:tr>
      <w:tr>
        <w:tc>
          <w:tcPr>
            <w:tcW w:type="dxa" w:w="2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Full-stack builder</w:t>
            </w:r>
          </w:p>
        </w:tc>
        <w:tc>
          <w:tcPr>
            <w:tcW w:type="dxa" w:w="2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Claude</w:t>
            </w:r>
          </w:p>
        </w:tc>
        <w:tc>
          <w:tcPr>
            <w:tcW w:type="dxa" w:w="40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Schema, backend, frontend, integrations, deployment, testing, documentation; produces shippable increments at the agreed cadence; flags risks and trade-offs explicitly</w:t>
            </w:r>
          </w:p>
        </w:tc>
      </w:tr>
    </w:tbl>
    <w:p>
      <w:pPr>
        <w:pStyle w:val="Heading2"/>
        <w:spacing w:after="140" w:before="280"/>
      </w:pPr>
      <w:r>
        <w:rPr>
          <w:rFonts w:ascii="Calibri" w:cs="Calibri" w:eastAsia="Calibri" w:hAnsi="Calibri"/>
          <w:b/>
          <w:bCs/>
          <w:color w:val="1F2D4A"/>
          <w:sz w:val="26"/>
          <w:szCs w:val="26"/>
        </w:rPr>
        <w:t xml:space="preserve">10.2  Cadence</w:t>
      </w:r>
    </w:p>
    <w:p>
      <w:pPr>
        <w:pStyle w:val="ListParagraph"/>
        <w:numPr>
          <w:ilvl w:val="0"/>
          <w:numId w:val="2"/>
        </w:numPr>
        <w:spacing w:after="80" w:line="280"/>
      </w:pPr>
      <w:r>
        <w:rPr>
          <w:rFonts w:ascii="Calibri" w:cs="Calibri" w:eastAsia="Calibri" w:hAnsi="Calibri"/>
          <w:color w:val="1F2937"/>
          <w:sz w:val="22"/>
          <w:szCs w:val="22"/>
        </w:rPr>
        <w:t xml:space="preserve">One iteration per week. Each iteration ends with a deployed preview URL on Cloudflare Pages and a written summary of what changed, what was deferred, and what is open.</w:t>
      </w:r>
    </w:p>
    <w:p>
      <w:pPr>
        <w:pStyle w:val="ListParagraph"/>
        <w:numPr>
          <w:ilvl w:val="0"/>
          <w:numId w:val="2"/>
        </w:numPr>
        <w:spacing w:after="80" w:line="280"/>
      </w:pPr>
      <w:r>
        <w:rPr>
          <w:rFonts w:ascii="Calibri" w:cs="Calibri" w:eastAsia="Calibri" w:hAnsi="Calibri"/>
          <w:color w:val="1F2937"/>
          <w:sz w:val="22"/>
          <w:szCs w:val="22"/>
        </w:rPr>
        <w:t xml:space="preserve">Mid-week check-in (asynchronous; written) when the iteration covers risky scope (auth, RLS, integrations, deployment).</w:t>
      </w:r>
    </w:p>
    <w:p>
      <w:pPr>
        <w:pStyle w:val="ListParagraph"/>
        <w:numPr>
          <w:ilvl w:val="0"/>
          <w:numId w:val="2"/>
        </w:numPr>
        <w:spacing w:after="80" w:line="280"/>
      </w:pPr>
      <w:r>
        <w:rPr>
          <w:rFonts w:ascii="Calibri" w:cs="Calibri" w:eastAsia="Calibri" w:hAnsi="Calibri"/>
          <w:color w:val="1F2937"/>
          <w:sz w:val="22"/>
          <w:szCs w:val="22"/>
        </w:rPr>
        <w:t xml:space="preserve">End-of-iteration review: you use the preview URL; written feedback returns to me; next iteration scope confirmed.</w:t>
      </w:r>
    </w:p>
    <w:p>
      <w:pPr>
        <w:pStyle w:val="ListParagraph"/>
        <w:numPr>
          <w:ilvl w:val="0"/>
          <w:numId w:val="2"/>
        </w:numPr>
        <w:spacing w:after="80" w:line="280"/>
      </w:pPr>
      <w:r>
        <w:rPr>
          <w:rFonts w:ascii="Calibri" w:cs="Calibri" w:eastAsia="Calibri" w:hAnsi="Calibri"/>
          <w:color w:val="1F2937"/>
          <w:sz w:val="22"/>
          <w:szCs w:val="22"/>
        </w:rPr>
        <w:t xml:space="preserve">No stand-ups, no synchronous meetings unless explicitly requested. The cadence is async-first by design — it is the pattern that compresses calendar time.</w:t>
      </w:r>
    </w:p>
    <w:p>
      <w:pPr>
        <w:pStyle w:val="Heading2"/>
        <w:spacing w:after="140" w:before="280"/>
      </w:pPr>
      <w:r>
        <w:rPr>
          <w:rFonts w:ascii="Calibri" w:cs="Calibri" w:eastAsia="Calibri" w:hAnsi="Calibri"/>
          <w:b/>
          <w:bCs/>
          <w:color w:val="1F2D4A"/>
          <w:sz w:val="26"/>
          <w:szCs w:val="26"/>
        </w:rPr>
        <w:t xml:space="preserve">10.3  Tooling</w:t>
      </w:r>
    </w:p>
    <w:p>
      <w:pPr>
        <w:pStyle w:val="ListParagraph"/>
        <w:numPr>
          <w:ilvl w:val="0"/>
          <w:numId w:val="2"/>
        </w:numPr>
        <w:spacing w:after="80" w:line="280"/>
      </w:pPr>
      <w:r>
        <w:rPr>
          <w:rFonts w:ascii="Calibri" w:cs="Calibri" w:eastAsia="Calibri" w:hAnsi="Calibri"/>
          <w:color w:val="1F2937"/>
          <w:sz w:val="22"/>
          <w:szCs w:val="22"/>
        </w:rPr>
        <w:t xml:space="preserve">GitHub repository (private until public launch). Branch protection on main; preview deploys on every branch via Cloudflare Pages.</w:t>
      </w:r>
    </w:p>
    <w:p>
      <w:pPr>
        <w:pStyle w:val="ListParagraph"/>
        <w:numPr>
          <w:ilvl w:val="0"/>
          <w:numId w:val="2"/>
        </w:numPr>
        <w:spacing w:after="80" w:line="280"/>
      </w:pPr>
      <w:r>
        <w:rPr>
          <w:rFonts w:ascii="Calibri" w:cs="Calibri" w:eastAsia="Calibri" w:hAnsi="Calibri"/>
          <w:color w:val="1F2937"/>
          <w:sz w:val="22"/>
          <w:szCs w:val="22"/>
        </w:rPr>
        <w:t xml:space="preserve">Issue tracker: lightweight — Linear, Notion, or GitHub Issues. Open at most one bug list and one feature backlog; nothing else.</w:t>
      </w:r>
    </w:p>
    <w:p>
      <w:pPr>
        <w:pStyle w:val="ListParagraph"/>
        <w:numPr>
          <w:ilvl w:val="0"/>
          <w:numId w:val="2"/>
        </w:numPr>
        <w:spacing w:after="80" w:line="280"/>
      </w:pPr>
      <w:r>
        <w:rPr>
          <w:rFonts w:ascii="Calibri" w:cs="Calibri" w:eastAsia="Calibri" w:hAnsi="Calibri"/>
          <w:color w:val="1F2937"/>
          <w:sz w:val="22"/>
          <w:szCs w:val="22"/>
        </w:rPr>
        <w:t xml:space="preserve">Design artefacts in Figma if needed; otherwise direct-to-code with Tailwind and shadcn/ui primitives.</w:t>
      </w:r>
    </w:p>
    <w:p>
      <w:pPr>
        <w:pStyle w:val="ListParagraph"/>
        <w:numPr>
          <w:ilvl w:val="0"/>
          <w:numId w:val="2"/>
        </w:numPr>
        <w:spacing w:after="80" w:line="280"/>
      </w:pPr>
      <w:r>
        <w:rPr>
          <w:rFonts w:ascii="Calibri" w:cs="Calibri" w:eastAsia="Calibri" w:hAnsi="Calibri"/>
          <w:color w:val="1F2937"/>
          <w:sz w:val="22"/>
          <w:szCs w:val="22"/>
        </w:rPr>
        <w:t xml:space="preserve">Documentation in the repo: a README that walks any future contributor (including a future you) from clone to deployed PWA in under thirty minutes.</w:t>
      </w:r>
    </w:p>
    <w:p>
      <w:pPr>
        <w:pStyle w:val="Heading2"/>
        <w:spacing w:after="140" w:before="280"/>
      </w:pPr>
      <w:r>
        <w:rPr>
          <w:rFonts w:ascii="Calibri" w:cs="Calibri" w:eastAsia="Calibri" w:hAnsi="Calibri"/>
          <w:b/>
          <w:bCs/>
          <w:color w:val="1F2D4A"/>
          <w:sz w:val="26"/>
          <w:szCs w:val="26"/>
        </w:rPr>
        <w:t xml:space="preserve">10.4  Decision log</w:t>
      </w:r>
    </w:p>
    <w:p>
      <w:pPr>
        <w:spacing w:after="120" w:before="0" w:line="300"/>
      </w:pPr>
      <w:r>
        <w:rPr>
          <w:rFonts w:ascii="Calibri" w:cs="Calibri" w:eastAsia="Calibri" w:hAnsi="Calibri"/>
          <w:color w:val="1F2937"/>
          <w:sz w:val="22"/>
          <w:szCs w:val="22"/>
        </w:rPr>
        <w:t xml:space="preserve">Every non-trivial architectural decision is captured in a numbered log inside the repo (the ADR pattern: Architecture Decision Records). Each entry is short — context, decision, consequences — and dated. This is how a solo build avoids the failure mode where, six weeks in, neither party remembers why a particular choice was made.</w:t>
      </w:r>
    </w:p>
    <w:p>
      <w:r>
        <w:br w:type="page"/>
      </w:r>
    </w:p>
    <w:p>
      <w:pPr>
        <w:pStyle w:val="Heading1"/>
        <w:spacing w:after="200" w:before="360"/>
      </w:pPr>
      <w:r>
        <w:rPr>
          <w:rFonts w:ascii="Calibri" w:cs="Calibri" w:eastAsia="Calibri" w:hAnsi="Calibri"/>
          <w:b/>
          <w:bCs/>
          <w:color w:val="1F2D4A"/>
          <w:sz w:val="32"/>
          <w:szCs w:val="32"/>
        </w:rPr>
        <w:t xml:space="preserve">11.  Cost estimate</w:t>
      </w:r>
    </w:p>
    <w:p>
      <w:pPr>
        <w:pStyle w:val="Heading2"/>
        <w:spacing w:after="140" w:before="280"/>
      </w:pPr>
      <w:r>
        <w:rPr>
          <w:rFonts w:ascii="Calibri" w:cs="Calibri" w:eastAsia="Calibri" w:hAnsi="Calibri"/>
          <w:b/>
          <w:bCs/>
          <w:color w:val="1F2D4A"/>
          <w:sz w:val="26"/>
          <w:szCs w:val="26"/>
        </w:rPr>
        <w:t xml:space="preserve">11.1  Build cost</w:t>
      </w:r>
    </w:p>
    <w:p>
      <w:pPr>
        <w:spacing w:after="120" w:before="0" w:line="300"/>
      </w:pPr>
      <w:r>
        <w:rPr>
          <w:rFonts w:ascii="Calibri" w:cs="Calibri" w:eastAsia="Calibri" w:hAnsi="Calibri"/>
          <w:color w:val="1F2937"/>
          <w:sz w:val="22"/>
          <w:szCs w:val="22"/>
        </w:rPr>
        <w:t xml:space="preserve">USD 0. Every component of the build runs on a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rPr>
          <w:tblHeader/>
        </w:trPr>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Component</w:t>
            </w:r>
          </w:p>
        </w:tc>
        <w:tc>
          <w:tcPr>
            <w:tcW w:type="dxa" w:w="20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Provider</w:t>
            </w:r>
          </w:p>
        </w:tc>
        <w:tc>
          <w:tcPr>
            <w:tcW w:type="dxa" w:w="29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Free tier limit</w:t>
            </w:r>
          </w:p>
        </w:tc>
        <w:tc>
          <w:tcPr>
            <w:tcW w:type="dxa" w:w="20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Comfortable up to</w:t>
            </w:r>
          </w:p>
        </w:tc>
      </w:tr>
      <w:tr>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Database, auth, edge functions, storage</w:t>
            </w:r>
          </w:p>
        </w:tc>
        <w:tc>
          <w:tcPr>
            <w:tcW w:type="dxa" w:w="2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Supabase</w:t>
            </w:r>
          </w:p>
        </w:tc>
        <w:tc>
          <w:tcPr>
            <w:tcW w:type="dxa" w:w="29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500 MB database, 50K MAU, 1 GB storage, 5 GB egress</w:t>
            </w:r>
          </w:p>
        </w:tc>
        <w:tc>
          <w:tcPr>
            <w:tcW w:type="dxa" w:w="2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~10K active users</w:t>
            </w:r>
          </w:p>
        </w:tc>
      </w:tr>
      <w:tr>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Hosting, CDN, preview deploys</w:t>
            </w:r>
          </w:p>
        </w:tc>
        <w:tc>
          <w:tcPr>
            <w:tcW w:type="dxa" w:w="2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Cloudflare Pages</w:t>
            </w:r>
          </w:p>
        </w:tc>
        <w:tc>
          <w:tcPr>
            <w:tcW w:type="dxa" w:w="29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Unlimited bandwidth and requests, 500 builds/month</w:t>
            </w:r>
          </w:p>
        </w:tc>
        <w:tc>
          <w:tcPr>
            <w:tcW w:type="dxa" w:w="2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Any scale</w:t>
            </w:r>
          </w:p>
        </w:tc>
      </w:tr>
      <w:tr>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Source control and CI</w:t>
            </w:r>
          </w:p>
        </w:tc>
        <w:tc>
          <w:tcPr>
            <w:tcW w:type="dxa" w:w="2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GitHub</w:t>
            </w:r>
          </w:p>
        </w:tc>
        <w:tc>
          <w:tcPr>
            <w:tcW w:type="dxa" w:w="29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Free for public and private repos</w:t>
            </w:r>
          </w:p>
        </w:tc>
        <w:tc>
          <w:tcPr>
            <w:tcW w:type="dxa" w:w="2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Any scale</w:t>
            </w:r>
          </w:p>
        </w:tc>
      </w:tr>
      <w:tr>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Error monitoring</w:t>
            </w:r>
          </w:p>
        </w:tc>
        <w:tc>
          <w:tcPr>
            <w:tcW w:type="dxa" w:w="2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Sentry</w:t>
            </w:r>
          </w:p>
        </w:tc>
        <w:tc>
          <w:tcPr>
            <w:tcW w:type="dxa" w:w="29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5K errors/month, 10K performance events</w:t>
            </w:r>
          </w:p>
        </w:tc>
        <w:tc>
          <w:tcPr>
            <w:tcW w:type="dxa" w:w="2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~5K active users</w:t>
            </w:r>
          </w:p>
        </w:tc>
      </w:tr>
      <w:tr>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Product analytics</w:t>
            </w:r>
          </w:p>
        </w:tc>
        <w:tc>
          <w:tcPr>
            <w:tcW w:type="dxa" w:w="2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PostHog</w:t>
            </w:r>
          </w:p>
        </w:tc>
        <w:tc>
          <w:tcPr>
            <w:tcW w:type="dxa" w:w="29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1M events/month</w:t>
            </w:r>
          </w:p>
        </w:tc>
        <w:tc>
          <w:tcPr>
            <w:tcW w:type="dxa" w:w="2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~10K active users</w:t>
            </w:r>
          </w:p>
        </w:tc>
      </w:tr>
      <w:tr>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Nutrition data</w:t>
            </w:r>
          </w:p>
        </w:tc>
        <w:tc>
          <w:tcPr>
            <w:tcW w:type="dxa" w:w="2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Open Food Facts; USDA FoodData Central</w:t>
            </w:r>
          </w:p>
        </w:tc>
        <w:tc>
          <w:tcPr>
            <w:tcW w:type="dxa" w:w="29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 rate limits (OFF); 3.6K calls/hour (USDA)</w:t>
            </w:r>
          </w:p>
        </w:tc>
        <w:tc>
          <w:tcPr>
            <w:tcW w:type="dxa" w:w="2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Any scale</w:t>
            </w:r>
          </w:p>
        </w:tc>
      </w:tr>
    </w:tbl>
    <w:p>
      <w:pPr>
        <w:pStyle w:val="Heading2"/>
        <w:spacing w:after="140" w:before="280"/>
      </w:pPr>
      <w:r>
        <w:rPr>
          <w:rFonts w:ascii="Calibri" w:cs="Calibri" w:eastAsia="Calibri" w:hAnsi="Calibri"/>
          <w:b/>
          <w:bCs/>
          <w:color w:val="1F2D4A"/>
          <w:sz w:val="26"/>
          <w:szCs w:val="26"/>
        </w:rPr>
        <w:t xml:space="preserve">11.2  Run rate</w:t>
      </w:r>
    </w:p>
    <w:p>
      <w:pPr>
        <w:spacing w:after="120" w:before="0" w:line="300"/>
      </w:pPr>
      <w:r>
        <w:rPr>
          <w:rFonts w:ascii="Calibri" w:cs="Calibri" w:eastAsia="Calibri" w:hAnsi="Calibri"/>
          <w:color w:val="1F2937"/>
          <w:sz w:val="22"/>
          <w:szCs w:val="22"/>
        </w:rPr>
        <w:t xml:space="preserve">Steady-state cost remains zero through the scale that matters for a launching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Stage</w:t>
            </w:r>
          </w:p>
        </w:tc>
        <w:tc>
          <w:tcPr>
            <w:tcW w:type="dxa" w:w="3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Users</w:t>
            </w:r>
          </w:p>
        </w:tc>
        <w:tc>
          <w:tcPr>
            <w:tcW w:type="dxa" w:w="3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Monthly cost (USD)</w:t>
            </w:r>
          </w:p>
        </w:tc>
      </w:tr>
      <w:tr>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Personal beta</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w:t>
            </w:r>
          </w:p>
        </w:tc>
      </w:tr>
      <w:tr>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Public soft launch</w:t>
            </w:r>
          </w:p>
        </w:tc>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1–100</w:t>
            </w:r>
          </w:p>
        </w:tc>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w:t>
            </w:r>
          </w:p>
        </w:tc>
      </w:tr>
      <w:tr>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Word-of-mouth growth</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100–1,000</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w:t>
            </w:r>
          </w:p>
        </w:tc>
      </w:tr>
      <w:tr>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First inflection</w:t>
            </w:r>
          </w:p>
        </w:tc>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1,000–10,000</w:t>
            </w:r>
          </w:p>
        </w:tc>
        <w:tc>
          <w:tcPr>
            <w:tcW w:type="dxa" w:w="3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0–25 (Supabase Pro if free-tier limits are hit)</w:t>
            </w:r>
          </w:p>
        </w:tc>
      </w:tr>
      <w:tr>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Material scale</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10,000–100,000</w:t>
            </w:r>
          </w:p>
        </w:tc>
        <w:tc>
          <w:tcPr>
            <w:tcW w:type="dxa" w:w="3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50–300 (Supabase Pro plus add-ons; observability tier upgrade)</w:t>
            </w:r>
          </w:p>
        </w:tc>
      </w:tr>
    </w:tbl>
    <w:p>
      <w:pPr>
        <w:pStyle w:val="Heading2"/>
        <w:spacing w:after="140" w:before="280"/>
      </w:pPr>
      <w:r>
        <w:rPr>
          <w:rFonts w:ascii="Calibri" w:cs="Calibri" w:eastAsia="Calibri" w:hAnsi="Calibri"/>
          <w:b/>
          <w:bCs/>
          <w:color w:val="1F2D4A"/>
          <w:sz w:val="26"/>
          <w:szCs w:val="26"/>
        </w:rPr>
        <w:t xml:space="preserve">11.3  Pass-through costs (paid by the user, not the build)</w:t>
      </w:r>
    </w:p>
    <w:p>
      <w:pPr>
        <w:pStyle w:val="ListParagraph"/>
        <w:numPr>
          <w:ilvl w:val="0"/>
          <w:numId w:val="2"/>
        </w:numPr>
        <w:spacing w:after="80" w:line="280"/>
      </w:pPr>
      <w:r>
        <w:rPr>
          <w:rFonts w:ascii="Calibri" w:cs="Calibri" w:eastAsia="Calibri" w:hAnsi="Calibri"/>
          <w:color w:val="1F2937"/>
          <w:sz w:val="22"/>
          <w:szCs w:val="22"/>
        </w:rPr>
        <w:t xml:space="preserve">Hevy Pro subscription (USD 2.99 per month): required only if the user wants the Hevy integration; user pays Hevy directly.</w:t>
      </w:r>
    </w:p>
    <w:p>
      <w:pPr>
        <w:pStyle w:val="ListParagraph"/>
        <w:numPr>
          <w:ilvl w:val="0"/>
          <w:numId w:val="2"/>
        </w:numPr>
        <w:spacing w:after="80" w:line="280"/>
      </w:pPr>
      <w:r>
        <w:rPr>
          <w:rFonts w:ascii="Calibri" w:cs="Calibri" w:eastAsia="Calibri" w:hAnsi="Calibri"/>
          <w:color w:val="1F2937"/>
          <w:sz w:val="22"/>
          <w:szCs w:val="22"/>
        </w:rPr>
        <w:t xml:space="preserve">Apple Developer Program (USD 99 per year): required only at Phase 3 to publish the iOS Capacitor build to the App Store.</w:t>
      </w:r>
    </w:p>
    <w:p>
      <w:pPr>
        <w:pStyle w:val="ListParagraph"/>
        <w:numPr>
          <w:ilvl w:val="0"/>
          <w:numId w:val="2"/>
        </w:numPr>
        <w:spacing w:after="80" w:line="280"/>
      </w:pPr>
      <w:r>
        <w:rPr>
          <w:rFonts w:ascii="Calibri" w:cs="Calibri" w:eastAsia="Calibri" w:hAnsi="Calibri"/>
          <w:color w:val="1F2937"/>
          <w:sz w:val="22"/>
          <w:szCs w:val="22"/>
        </w:rPr>
        <w:t xml:space="preserve">Google Play Console (USD 25, one-time): required only at Phase 3 to publish the Android Capacitor build to the Play Store.</w:t>
      </w:r>
    </w:p>
    <w:p>
      <w:pPr>
        <w:pStyle w:val="Heading2"/>
        <w:spacing w:after="140" w:before="280"/>
      </w:pPr>
      <w:r>
        <w:rPr>
          <w:rFonts w:ascii="Calibri" w:cs="Calibri" w:eastAsia="Calibri" w:hAnsi="Calibri"/>
          <w:b/>
          <w:bCs/>
          <w:color w:val="1F2D4A"/>
          <w:sz w:val="26"/>
          <w:szCs w:val="26"/>
        </w:rPr>
        <w:t xml:space="preserve">11.4  The honest constraint</w:t>
      </w:r>
    </w:p>
    <w:p>
      <w:pPr>
        <w:spacing w:after="120" w:before="0" w:line="300"/>
      </w:pPr>
      <w:r>
        <w:rPr>
          <w:rFonts w:ascii="Calibri" w:cs="Calibri" w:eastAsia="Calibri" w:hAnsi="Calibri"/>
          <w:color w:val="1F2937"/>
          <w:sz w:val="22"/>
          <w:szCs w:val="22"/>
        </w:rPr>
        <w:t xml:space="preserve">Cost is not the constraint. The constraint is calendar time and decisions. The investment is your reviewing time — roughly two to four hours per week across seven weeks — and the discipline to defer Phase 4 features until Phase 3 has shipped. The dollar cost is rounding error; the cost of indecision is not.</w:t>
      </w:r>
    </w:p>
    <w:p>
      <w:r>
        <w:br w:type="page"/>
      </w:r>
    </w:p>
    <w:p>
      <w:pPr>
        <w:pStyle w:val="Heading1"/>
        <w:spacing w:after="200" w:before="360"/>
      </w:pPr>
      <w:r>
        <w:rPr>
          <w:rFonts w:ascii="Calibri" w:cs="Calibri" w:eastAsia="Calibri" w:hAnsi="Calibri"/>
          <w:b/>
          <w:bCs/>
          <w:color w:val="1F2D4A"/>
          <w:sz w:val="32"/>
          <w:szCs w:val="32"/>
        </w:rPr>
        <w:t xml:space="preserve">12.  Risk register</w:t>
      </w:r>
    </w:p>
    <w:p>
      <w:pPr>
        <w:spacing w:after="120" w:before="0" w:line="300"/>
      </w:pPr>
      <w:r>
        <w:rPr>
          <w:rFonts w:ascii="Calibri" w:cs="Calibri" w:eastAsia="Calibri" w:hAnsi="Calibri"/>
          <w:color w:val="1F2937"/>
          <w:sz w:val="22"/>
          <w:szCs w:val="22"/>
        </w:rPr>
        <w:t xml:space="preserve">Eight risks below, ordered by aggregate severity (likelihood times impact). Each carries an explicit mitigant. New risks identified during build are added to this register and reviewed at each stage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40"/>
        <w:gridCol w:w="480"/>
        <w:gridCol w:w="480"/>
        <w:gridCol w:w="4160"/>
      </w:tblGrid>
      <w:tr>
        <w:trPr>
          <w:tblHeader/>
        </w:trPr>
        <w:tc>
          <w:tcPr>
            <w:tcW w:type="dxa" w:w="6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t>
            </w:r>
          </w:p>
        </w:tc>
        <w:tc>
          <w:tcPr>
            <w:tcW w:type="dxa" w:w="364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Risk</w:t>
            </w:r>
          </w:p>
        </w:tc>
        <w:tc>
          <w:tcPr>
            <w:tcW w:type="dxa" w:w="4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w:t>
            </w:r>
          </w:p>
        </w:tc>
        <w:tc>
          <w:tcPr>
            <w:tcW w:type="dxa" w:w="4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I</w:t>
            </w:r>
          </w:p>
        </w:tc>
        <w:tc>
          <w:tcPr>
            <w:tcW w:type="dxa" w:w="41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Mitigant</w:t>
            </w:r>
          </w:p>
        </w:tc>
      </w:tr>
      <w:tr>
        <w:tc>
          <w:tcPr>
            <w:tcW w:type="dxa" w:w="6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w:t>
            </w:r>
          </w:p>
        </w:tc>
        <w:tc>
          <w:tcPr>
            <w:tcW w:type="dxa" w:w="3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60"/>
            </w:pPr>
            <w:r>
              <w:rPr>
                <w:rFonts w:ascii="Calibri" w:cs="Calibri" w:eastAsia="Calibri" w:hAnsi="Calibri"/>
                <w:b/>
                <w:bCs/>
                <w:color w:val="1F2937"/>
                <w:sz w:val="20"/>
                <w:szCs w:val="20"/>
              </w:rPr>
              <w:t xml:space="preserve">RLS misconfiguration leaks data across users</w:t>
            </w:r>
          </w:p>
          <w:p>
            <w:pPr>
              <w:spacing w:after="0"/>
            </w:pPr>
            <w:r>
              <w:rPr>
                <w:rFonts w:ascii="Calibri" w:cs="Calibri" w:eastAsia="Calibri" w:hAnsi="Calibri"/>
                <w:b w:val="false"/>
                <w:bCs w:val="false"/>
                <w:color w:val="1F2937"/>
                <w:sz w:val="20"/>
                <w:szCs w:val="20"/>
              </w:rPr>
              <w:t xml:space="preserve">Multi-tenancy makes this the most consequential failure mode of the system</w:t>
            </w:r>
          </w:p>
        </w:tc>
        <w:tc>
          <w:tcPr>
            <w:tcW w:type="dxa" w:w="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w:t>
            </w:r>
          </w:p>
        </w:tc>
        <w:tc>
          <w:tcPr>
            <w:tcW w:type="dxa" w:w="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w:t>
            </w:r>
          </w:p>
        </w:tc>
        <w:tc>
          <w:tcPr>
            <w:tcW w:type="dxa" w:w="41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RLS test suite running in CI on every commit; deliberately malicious-user test attempts to read another user’s rows and must fail at the database; manual penetration test before Phase 3 launch</w:t>
            </w:r>
          </w:p>
        </w:tc>
      </w:tr>
      <w:tr>
        <w:tc>
          <w:tcPr>
            <w:tcW w:type="dxa" w:w="6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2</w:t>
            </w:r>
          </w:p>
        </w:tc>
        <w:tc>
          <w:tcPr>
            <w:tcW w:type="dxa" w:w="3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60"/>
            </w:pPr>
            <w:r>
              <w:rPr>
                <w:rFonts w:ascii="Calibri" w:cs="Calibri" w:eastAsia="Calibri" w:hAnsi="Calibri"/>
                <w:b/>
                <w:bCs/>
                <w:color w:val="1F2937"/>
                <w:sz w:val="20"/>
                <w:szCs w:val="20"/>
              </w:rPr>
              <w:t xml:space="preserve">App Store rejection or delay (Phase 3)</w:t>
            </w:r>
          </w:p>
          <w:p>
            <w:pPr>
              <w:spacing w:after="0"/>
            </w:pPr>
            <w:r>
              <w:rPr>
                <w:rFonts w:ascii="Calibri" w:cs="Calibri" w:eastAsia="Calibri" w:hAnsi="Calibri"/>
                <w:b w:val="false"/>
                <w:bCs w:val="false"/>
                <w:color w:val="1F2937"/>
                <w:sz w:val="20"/>
                <w:szCs w:val="20"/>
              </w:rPr>
              <w:t xml:space="preserve">Apple’s review introduces a 1–7 day variance window; rejections on health-related apps are common</w:t>
            </w:r>
          </w:p>
        </w:tc>
        <w:tc>
          <w:tcPr>
            <w:tcW w:type="dxa" w:w="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w:t>
            </w:r>
          </w:p>
        </w:tc>
        <w:tc>
          <w:tcPr>
            <w:tcW w:type="dxa" w:w="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w:t>
            </w:r>
          </w:p>
        </w:tc>
        <w:tc>
          <w:tcPr>
            <w:tcW w:type="dxa" w:w="41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Submit a TestFlight build at the start of week 7; pre-clear health language; no unverifiable claims; PWA on Cloudflare Pages remains the public path even if the App Store stalls</w:t>
            </w:r>
          </w:p>
        </w:tc>
      </w:tr>
      <w:tr>
        <w:tc>
          <w:tcPr>
            <w:tcW w:type="dxa" w:w="6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3</w:t>
            </w:r>
          </w:p>
        </w:tc>
        <w:tc>
          <w:tcPr>
            <w:tcW w:type="dxa" w:w="3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60"/>
            </w:pPr>
            <w:r>
              <w:rPr>
                <w:rFonts w:ascii="Calibri" w:cs="Calibri" w:eastAsia="Calibri" w:hAnsi="Calibri"/>
                <w:b/>
                <w:bCs/>
                <w:color w:val="1F2937"/>
                <w:sz w:val="20"/>
                <w:szCs w:val="20"/>
              </w:rPr>
              <w:t xml:space="preserve">Adherence drops in personal beta</w:t>
            </w:r>
          </w:p>
          <w:p>
            <w:pPr>
              <w:spacing w:after="0"/>
            </w:pPr>
            <w:r>
              <w:rPr>
                <w:rFonts w:ascii="Calibri" w:cs="Calibri" w:eastAsia="Calibri" w:hAnsi="Calibri"/>
                <w:b w:val="false"/>
                <w:bCs w:val="false"/>
                <w:color w:val="1F2937"/>
                <w:sz w:val="20"/>
                <w:szCs w:val="20"/>
              </w:rPr>
              <w:t xml:space="preserve">If the new product is harder to use than the spreadsheet, it goes backwards</w:t>
            </w:r>
          </w:p>
        </w:tc>
        <w:tc>
          <w:tcPr>
            <w:tcW w:type="dxa" w:w="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w:t>
            </w:r>
          </w:p>
        </w:tc>
        <w:tc>
          <w:tcPr>
            <w:tcW w:type="dxa" w:w="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w:t>
            </w:r>
          </w:p>
        </w:tc>
        <w:tc>
          <w:tcPr>
            <w:tcW w:type="dxa" w:w="41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Stage gate 1 explicitly requires “one full day of personal use without falling back to the spreadsheet”; instrument every interaction in PostHog from week 1</w:t>
            </w:r>
          </w:p>
        </w:tc>
      </w:tr>
      <w:tr>
        <w:tc>
          <w:tcPr>
            <w:tcW w:type="dxa" w:w="6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4</w:t>
            </w:r>
          </w:p>
        </w:tc>
        <w:tc>
          <w:tcPr>
            <w:tcW w:type="dxa" w:w="3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60"/>
            </w:pPr>
            <w:r>
              <w:rPr>
                <w:rFonts w:ascii="Calibri" w:cs="Calibri" w:eastAsia="Calibri" w:hAnsi="Calibri"/>
                <w:b/>
                <w:bCs/>
                <w:color w:val="1F2937"/>
                <w:sz w:val="20"/>
                <w:szCs w:val="20"/>
              </w:rPr>
              <w:t xml:space="preserve">Health platform permission denial</w:t>
            </w:r>
          </w:p>
          <w:p>
            <w:pPr>
              <w:spacing w:after="0"/>
            </w:pPr>
            <w:r>
              <w:rPr>
                <w:rFonts w:ascii="Calibri" w:cs="Calibri" w:eastAsia="Calibri" w:hAnsi="Calibri"/>
                <w:b w:val="false"/>
                <w:bCs w:val="false"/>
                <w:color w:val="1F2937"/>
                <w:sz w:val="20"/>
                <w:szCs w:val="20"/>
              </w:rPr>
              <w:t xml:space="preserve">User declines HealthKit / Health Connect, breaking the auto-step-count promise</w:t>
            </w:r>
          </w:p>
        </w:tc>
        <w:tc>
          <w:tcPr>
            <w:tcW w:type="dxa" w:w="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w:t>
            </w:r>
          </w:p>
        </w:tc>
        <w:tc>
          <w:tcPr>
            <w:tcW w:type="dxa" w:w="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w:t>
            </w:r>
          </w:p>
        </w:tc>
        <w:tc>
          <w:tcPr>
            <w:tcW w:type="dxa" w:w="41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Manual step entry remains a first-class path; explain the trade-off in onboarding; show value of permissions before requesting them</w:t>
            </w:r>
          </w:p>
        </w:tc>
      </w:tr>
      <w:tr>
        <w:tc>
          <w:tcPr>
            <w:tcW w:type="dxa" w:w="6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w:t>
            </w:r>
          </w:p>
        </w:tc>
        <w:tc>
          <w:tcPr>
            <w:tcW w:type="dxa" w:w="3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60"/>
            </w:pPr>
            <w:r>
              <w:rPr>
                <w:rFonts w:ascii="Calibri" w:cs="Calibri" w:eastAsia="Calibri" w:hAnsi="Calibri"/>
                <w:b/>
                <w:bCs/>
                <w:color w:val="1F2937"/>
                <w:sz w:val="20"/>
                <w:szCs w:val="20"/>
              </w:rPr>
              <w:t xml:space="preserve">Free-tier limits hit unexpectedly</w:t>
            </w:r>
          </w:p>
          <w:p>
            <w:pPr>
              <w:spacing w:after="0"/>
            </w:pPr>
            <w:r>
              <w:rPr>
                <w:rFonts w:ascii="Calibri" w:cs="Calibri" w:eastAsia="Calibri" w:hAnsi="Calibri"/>
                <w:b w:val="false"/>
                <w:bCs w:val="false"/>
                <w:color w:val="1F2937"/>
                <w:sz w:val="20"/>
                <w:szCs w:val="20"/>
              </w:rPr>
              <w:t xml:space="preserve">Supabase free tier has hard ceilings on database size, MAU, edge invocations</w:t>
            </w:r>
          </w:p>
        </w:tc>
        <w:tc>
          <w:tcPr>
            <w:tcW w:type="dxa" w:w="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w:t>
            </w:r>
          </w:p>
        </w:tc>
        <w:tc>
          <w:tcPr>
            <w:tcW w:type="dxa" w:w="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w:t>
            </w:r>
          </w:p>
        </w:tc>
        <w:tc>
          <w:tcPr>
            <w:tcW w:type="dxa" w:w="41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Monitoring alarms on every limit at 80 percent; pre-budgeted upgrade path to Supabase Pro (USD 25/month); no architectural rework needed at the upgrade</w:t>
            </w:r>
          </w:p>
        </w:tc>
      </w:tr>
      <w:tr>
        <w:tc>
          <w:tcPr>
            <w:tcW w:type="dxa" w:w="6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6</w:t>
            </w:r>
          </w:p>
        </w:tc>
        <w:tc>
          <w:tcPr>
            <w:tcW w:type="dxa" w:w="3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60"/>
            </w:pPr>
            <w:r>
              <w:rPr>
                <w:rFonts w:ascii="Calibri" w:cs="Calibri" w:eastAsia="Calibri" w:hAnsi="Calibri"/>
                <w:b/>
                <w:bCs/>
                <w:color w:val="1F2937"/>
                <w:sz w:val="20"/>
                <w:szCs w:val="20"/>
              </w:rPr>
              <w:t xml:space="preserve">Hevy API access or pricing changes</w:t>
            </w:r>
          </w:p>
          <w:p>
            <w:pPr>
              <w:spacing w:after="0"/>
            </w:pPr>
            <w:r>
              <w:rPr>
                <w:rFonts w:ascii="Calibri" w:cs="Calibri" w:eastAsia="Calibri" w:hAnsi="Calibri"/>
                <w:b w:val="false"/>
                <w:bCs w:val="false"/>
                <w:color w:val="1F2937"/>
                <w:sz w:val="20"/>
                <w:szCs w:val="20"/>
              </w:rPr>
              <w:t xml:space="preserve">Single-vendor dependency for workout data; Hevy could withdraw API or reprice</w:t>
            </w:r>
          </w:p>
        </w:tc>
        <w:tc>
          <w:tcPr>
            <w:tcW w:type="dxa" w:w="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w:t>
            </w:r>
          </w:p>
        </w:tc>
        <w:tc>
          <w:tcPr>
            <w:tcW w:type="dxa" w:w="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w:t>
            </w:r>
          </w:p>
        </w:tc>
        <w:tc>
          <w:tcPr>
            <w:tcW w:type="dxa" w:w="41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Build the workout logger inside Phase 2 so Hevy is one source among others, not the only source; abstract behind an internal interface</w:t>
            </w:r>
          </w:p>
        </w:tc>
      </w:tr>
      <w:tr>
        <w:tc>
          <w:tcPr>
            <w:tcW w:type="dxa" w:w="6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7</w:t>
            </w:r>
          </w:p>
        </w:tc>
        <w:tc>
          <w:tcPr>
            <w:tcW w:type="dxa" w:w="364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60"/>
            </w:pPr>
            <w:r>
              <w:rPr>
                <w:rFonts w:ascii="Calibri" w:cs="Calibri" w:eastAsia="Calibri" w:hAnsi="Calibri"/>
                <w:b/>
                <w:bCs/>
                <w:color w:val="1F2937"/>
                <w:sz w:val="20"/>
                <w:szCs w:val="20"/>
              </w:rPr>
              <w:t xml:space="preserve">Solo-developer momentum loss</w:t>
            </w:r>
          </w:p>
          <w:p>
            <w:pPr>
              <w:spacing w:after="0"/>
            </w:pPr>
            <w:r>
              <w:rPr>
                <w:rFonts w:ascii="Calibri" w:cs="Calibri" w:eastAsia="Calibri" w:hAnsi="Calibri"/>
                <w:b w:val="false"/>
                <w:bCs w:val="false"/>
                <w:color w:val="1F2937"/>
                <w:sz w:val="20"/>
                <w:szCs w:val="20"/>
              </w:rPr>
              <w:t xml:space="preserve">A solo build with weekly cadence depends on consistent decisions from the product owner</w:t>
            </w:r>
          </w:p>
        </w:tc>
        <w:tc>
          <w:tcPr>
            <w:tcW w:type="dxa" w:w="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w:t>
            </w:r>
          </w:p>
        </w:tc>
        <w:tc>
          <w:tcPr>
            <w:tcW w:type="dxa" w:w="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w:t>
            </w:r>
          </w:p>
        </w:tc>
        <w:tc>
          <w:tcPr>
            <w:tcW w:type="dxa" w:w="41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Tight one-week iterations with shippable increments; each iteration ends with a working preview URL even if scope was cut; written summary of trade-offs preserves context</w:t>
            </w:r>
          </w:p>
        </w:tc>
      </w:tr>
      <w:tr>
        <w:tc>
          <w:tcPr>
            <w:tcW w:type="dxa" w:w="6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8</w:t>
            </w:r>
          </w:p>
        </w:tc>
        <w:tc>
          <w:tcPr>
            <w:tcW w:type="dxa" w:w="364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60"/>
            </w:pPr>
            <w:r>
              <w:rPr>
                <w:rFonts w:ascii="Calibri" w:cs="Calibri" w:eastAsia="Calibri" w:hAnsi="Calibri"/>
                <w:b/>
                <w:bCs/>
                <w:color w:val="1F2937"/>
                <w:sz w:val="20"/>
                <w:szCs w:val="20"/>
              </w:rPr>
              <w:t xml:space="preserve">Scope creep at public launch</w:t>
            </w:r>
          </w:p>
          <w:p>
            <w:pPr>
              <w:spacing w:after="0"/>
            </w:pPr>
            <w:r>
              <w:rPr>
                <w:rFonts w:ascii="Calibri" w:cs="Calibri" w:eastAsia="Calibri" w:hAnsi="Calibri"/>
                <w:b w:val="false"/>
                <w:bCs w:val="false"/>
                <w:color w:val="1F2937"/>
                <w:sz w:val="20"/>
                <w:szCs w:val="20"/>
              </w:rPr>
              <w:t xml:space="preserve">First external users will request features; backlog can balloon</w:t>
            </w:r>
          </w:p>
        </w:tc>
        <w:tc>
          <w:tcPr>
            <w:tcW w:type="dxa" w:w="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w:t>
            </w:r>
          </w:p>
        </w:tc>
        <w:tc>
          <w:tcPr>
            <w:tcW w:type="dxa" w:w="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w:t>
            </w:r>
          </w:p>
        </w:tc>
        <w:tc>
          <w:tcPr>
            <w:tcW w:type="dxa" w:w="41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Stage gate 3 is a hard scope freeze; all incoming requests routed to a Phase 4 backlog with explicit deferral notes; weekly triage rather than reactive build</w:t>
            </w:r>
          </w:p>
        </w:tc>
      </w:tr>
    </w:tbl>
    <w:p>
      <w:pPr>
        <w:spacing w:after="120"/>
      </w:pPr>
      <w:r>
        <w:rPr>
          <w:rFonts w:ascii="Calibri" w:cs="Calibri" w:eastAsia="Calibri" w:hAnsi="Calibri"/>
        </w:rPr>
        <w:t xml:space="preserve"/>
      </w:r>
    </w:p>
    <w:p>
      <w:pPr>
        <w:spacing w:after="120" w:before="0" w:line="300"/>
      </w:pPr>
      <w:r>
        <w:rPr>
          <w:rFonts w:ascii="Calibri" w:cs="Calibri" w:eastAsia="Calibri" w:hAnsi="Calibri"/>
          <w:b/>
          <w:bCs/>
          <w:color w:val="5B6470"/>
          <w:sz w:val="20"/>
          <w:szCs w:val="20"/>
        </w:rPr>
        <w:t xml:space="preserve">Legend.  </w:t>
      </w:r>
      <w:r>
        <w:rPr>
          <w:rFonts w:ascii="Calibri" w:cs="Calibri" w:eastAsia="Calibri" w:hAnsi="Calibri"/>
          <w:color w:val="5B6470"/>
          <w:sz w:val="20"/>
          <w:szCs w:val="20"/>
        </w:rPr>
        <w:t xml:space="preserve">L = Likelihood (L low, M medium, H high).  I = Impact (M medium, H high). Severity is the product of the two; mitigations target the higher of the two factors first.</w:t>
      </w:r>
    </w:p>
    <w:p>
      <w:r>
        <w:br w:type="page"/>
      </w:r>
    </w:p>
    <w:p>
      <w:pPr>
        <w:pStyle w:val="Heading1"/>
        <w:spacing w:after="200" w:before="360"/>
      </w:pPr>
      <w:r>
        <w:rPr>
          <w:rFonts w:ascii="Calibri" w:cs="Calibri" w:eastAsia="Calibri" w:hAnsi="Calibri"/>
          <w:b/>
          <w:bCs/>
          <w:color w:val="1F2D4A"/>
          <w:sz w:val="32"/>
          <w:szCs w:val="32"/>
        </w:rPr>
        <w:t xml:space="preserve">13.  KPIs and success criteria</w:t>
      </w:r>
    </w:p>
    <w:p>
      <w:pPr>
        <w:spacing w:after="120" w:before="0" w:line="300"/>
      </w:pPr>
      <w:r>
        <w:rPr>
          <w:rFonts w:ascii="Calibri" w:cs="Calibri" w:eastAsia="Calibri" w:hAnsi="Calibri"/>
          <w:color w:val="1F2937"/>
          <w:sz w:val="22"/>
          <w:szCs w:val="22"/>
        </w:rPr>
        <w:t xml:space="preserve">Three families of metrics, measured at three timestamps: end of personal beta, ninety days post-public-launch, and twelve months post-public-launch. Each KPI has an explicit target.</w:t>
      </w:r>
    </w:p>
    <w:p>
      <w:pPr>
        <w:pStyle w:val="Heading2"/>
        <w:spacing w:after="140" w:before="280"/>
      </w:pPr>
      <w:r>
        <w:rPr>
          <w:rFonts w:ascii="Calibri" w:cs="Calibri" w:eastAsia="Calibri" w:hAnsi="Calibri"/>
          <w:b/>
          <w:bCs/>
          <w:color w:val="1F2D4A"/>
          <w:sz w:val="26"/>
          <w:szCs w:val="26"/>
        </w:rPr>
        <w:t xml:space="preserve">13.1  Adoption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KPI</w:t>
            </w:r>
          </w:p>
        </w:tc>
        <w:tc>
          <w:tcPr>
            <w:tcW w:type="dxa" w:w="2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End of beta</w:t>
            </w:r>
          </w:p>
        </w:tc>
        <w:tc>
          <w:tcPr>
            <w:tcW w:type="dxa" w:w="2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Launch + 90 days</w:t>
            </w:r>
          </w:p>
        </w:tc>
        <w:tc>
          <w:tcPr>
            <w:tcW w:type="dxa" w:w="2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Launch + 12 months</w:t>
            </w:r>
          </w:p>
        </w:tc>
      </w:tr>
      <w:tr>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Activated users (completed onboarding)</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n/a (you only)</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75% of sign-ups</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85% of sign-ups</w:t>
            </w:r>
          </w:p>
        </w:tc>
      </w:tr>
      <w:tr>
        <w:tc>
          <w:tcPr>
            <w:tcW w:type="dxa" w:w="3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7-day retention</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n/a</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65%</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60%</w:t>
            </w:r>
          </w:p>
        </w:tc>
      </w:tr>
      <w:tr>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30-day retention</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n/a</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45%</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40%</w:t>
            </w:r>
          </w:p>
        </w:tc>
      </w:tr>
      <w:tr>
        <w:tc>
          <w:tcPr>
            <w:tcW w:type="dxa" w:w="3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Web Push opt-in rate</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Yes (you)</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55%</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50%</w:t>
            </w:r>
          </w:p>
        </w:tc>
      </w:tr>
      <w:tr>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HealthKit / Health Connect grant rate</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Yes (you)</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60%</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55%</w:t>
            </w:r>
          </w:p>
        </w:tc>
      </w:tr>
    </w:tbl>
    <w:p>
      <w:pPr>
        <w:pStyle w:val="Heading2"/>
        <w:spacing w:after="140" w:before="280"/>
      </w:pPr>
      <w:r>
        <w:rPr>
          <w:rFonts w:ascii="Calibri" w:cs="Calibri" w:eastAsia="Calibri" w:hAnsi="Calibri"/>
          <w:b/>
          <w:bCs/>
          <w:color w:val="1F2D4A"/>
          <w:sz w:val="26"/>
          <w:szCs w:val="26"/>
        </w:rPr>
        <w:t xml:space="preserve">13.2  Engagement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KPI</w:t>
            </w:r>
          </w:p>
        </w:tc>
        <w:tc>
          <w:tcPr>
            <w:tcW w:type="dxa" w:w="2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End of beta</w:t>
            </w:r>
          </w:p>
        </w:tc>
        <w:tc>
          <w:tcPr>
            <w:tcW w:type="dxa" w:w="2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Launch + 90 days</w:t>
            </w:r>
          </w:p>
        </w:tc>
        <w:tc>
          <w:tcPr>
            <w:tcW w:type="dxa" w:w="21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Launch + 12 months</w:t>
            </w:r>
          </w:p>
        </w:tc>
      </w:tr>
      <w:tr>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Daily journal log rate (active users)</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 of 7 days</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 of 7 days</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5.5 of 7 days</w:t>
            </w:r>
          </w:p>
        </w:tc>
      </w:tr>
      <w:tr>
        <w:tc>
          <w:tcPr>
            <w:tcW w:type="dxa" w:w="3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Weekly weigh-in completion (active users)</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85%</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75%</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80%</w:t>
            </w:r>
          </w:p>
        </w:tc>
      </w:tr>
      <w:tr>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Median time-to-log a meal</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&lt; 60 seconds</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&lt; 50 seconds</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&lt; 45 seconds</w:t>
            </w:r>
          </w:p>
        </w:tc>
      </w:tr>
      <w:tr>
        <w:tc>
          <w:tcPr>
            <w:tcW w:type="dxa" w:w="3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Crash-free sessions</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&gt; 99.5%</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&gt; 99.7%</w:t>
            </w:r>
          </w:p>
        </w:tc>
        <w:tc>
          <w:tcPr>
            <w:tcW w:type="dxa" w:w="21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&gt; 99.8%</w:t>
            </w:r>
          </w:p>
        </w:tc>
      </w:tr>
      <w:tr>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P95 cold-start time</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&lt; 2.0 s</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&lt; 1.5 s</w:t>
            </w:r>
          </w:p>
        </w:tc>
        <w:tc>
          <w:tcPr>
            <w:tcW w:type="dxa" w:w="21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&lt; 1.2 s</w:t>
            </w:r>
          </w:p>
        </w:tc>
      </w:tr>
    </w:tbl>
    <w:p>
      <w:pPr>
        <w:pStyle w:val="Heading2"/>
        <w:spacing w:after="140" w:before="280"/>
      </w:pPr>
      <w:r>
        <w:rPr>
          <w:rFonts w:ascii="Calibri" w:cs="Calibri" w:eastAsia="Calibri" w:hAnsi="Calibri"/>
          <w:b/>
          <w:bCs/>
          <w:color w:val="1F2D4A"/>
          <w:sz w:val="26"/>
          <w:szCs w:val="26"/>
        </w:rPr>
        <w:t xml:space="preserve">13.3  Outcome KPIs</w:t>
      </w:r>
    </w:p>
    <w:p>
      <w:pPr>
        <w:spacing w:after="120" w:before="0" w:line="300"/>
      </w:pPr>
      <w:r>
        <w:rPr>
          <w:rFonts w:ascii="Calibri" w:cs="Calibri" w:eastAsia="Calibri" w:hAnsi="Calibri"/>
          <w:color w:val="1F2937"/>
          <w:sz w:val="22"/>
          <w:szCs w:val="22"/>
        </w:rPr>
        <w:t xml:space="preserve">Outcomes are the point. The product can be beautifully engineered and engagement-rich and still fail — if it does not move the metrics that users signed up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KPI</w:t>
            </w:r>
          </w:p>
        </w:tc>
        <w:tc>
          <w:tcPr>
            <w:tcW w:type="dxa" w:w="25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Launch + 90 days</w:t>
            </w:r>
          </w:p>
        </w:tc>
        <w:tc>
          <w:tcPr>
            <w:tcW w:type="dxa" w:w="25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Launch + 12 months</w:t>
            </w:r>
          </w:p>
        </w:tc>
      </w:tr>
      <w:tr>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Median weight change vs personal goal trajectory (active users on a deficit)</w:t>
            </w:r>
          </w:p>
        </w:tc>
        <w:tc>
          <w:tcPr>
            <w:tcW w:type="dxa" w:w="2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On or ahead of plan</w:t>
            </w:r>
          </w:p>
        </w:tc>
        <w:tc>
          <w:tcPr>
            <w:tcW w:type="dxa" w:w="2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On or ahead of plan</w:t>
            </w:r>
          </w:p>
        </w:tc>
      </w:tr>
      <w:tr>
        <w:tc>
          <w:tcPr>
            <w:tcW w:type="dxa" w:w="4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Twelve-week journey completion rate</w:t>
            </w:r>
          </w:p>
        </w:tc>
        <w:tc>
          <w:tcPr>
            <w:tcW w:type="dxa" w:w="2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&gt; 65%</w:t>
            </w:r>
          </w:p>
        </w:tc>
        <w:tc>
          <w:tcPr>
            <w:tcW w:type="dxa" w:w="2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&gt; 75%</w:t>
            </w:r>
          </w:p>
        </w:tc>
      </w:tr>
      <w:tr>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LDL or HbA1c improvement (lab-confirmed, opt-in)</w:t>
            </w:r>
          </w:p>
        </w:tc>
        <w:tc>
          <w:tcPr>
            <w:tcW w:type="dxa" w:w="2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Not yet measurable</w:t>
            </w:r>
          </w:p>
        </w:tc>
        <w:tc>
          <w:tcPr>
            <w:tcW w:type="dxa" w:w="2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Median &gt; 10% improvement in at-risk segment</w:t>
            </w:r>
          </w:p>
        </w:tc>
      </w:tr>
      <w:tr>
        <w:tc>
          <w:tcPr>
            <w:tcW w:type="dxa" w:w="4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NPS or equivalent</w:t>
            </w:r>
          </w:p>
        </w:tc>
        <w:tc>
          <w:tcPr>
            <w:tcW w:type="dxa" w:w="2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&gt; +35</w:t>
            </w:r>
          </w:p>
        </w:tc>
        <w:tc>
          <w:tcPr>
            <w:tcW w:type="dxa" w:w="2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&gt; +50</w:t>
            </w:r>
          </w:p>
        </w:tc>
      </w:tr>
      <w:tr>
        <w:tc>
          <w:tcPr>
            <w:tcW w:type="dxa" w:w="4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Public sign-ups in the prior 30 days (steady state)</w:t>
            </w:r>
          </w:p>
        </w:tc>
        <w:tc>
          <w:tcPr>
            <w:tcW w:type="dxa" w:w="2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100–500</w:t>
            </w:r>
          </w:p>
        </w:tc>
        <w:tc>
          <w:tcPr>
            <w:tcW w:type="dxa" w:w="2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1,000+</w:t>
            </w:r>
          </w:p>
        </w:tc>
      </w:tr>
    </w:tbl>
    <w:p>
      <w:r>
        <w:br w:type="page"/>
      </w:r>
    </w:p>
    <w:p>
      <w:pPr>
        <w:pStyle w:val="Heading1"/>
        <w:spacing w:after="200" w:before="360"/>
      </w:pPr>
      <w:r>
        <w:rPr>
          <w:rFonts w:ascii="Calibri" w:cs="Calibri" w:eastAsia="Calibri" w:hAnsi="Calibri"/>
          <w:b/>
          <w:bCs/>
          <w:color w:val="1F2D4A"/>
          <w:sz w:val="32"/>
          <w:szCs w:val="32"/>
        </w:rPr>
        <w:t xml:space="preserve">14.  Decisions and next steps</w:t>
      </w:r>
    </w:p>
    <w:p>
      <w:pPr>
        <w:spacing w:after="120" w:before="0" w:line="300"/>
      </w:pPr>
      <w:r>
        <w:rPr>
          <w:rFonts w:ascii="Calibri" w:cs="Calibri" w:eastAsia="Calibri" w:hAnsi="Calibri"/>
          <w:color w:val="1F2937"/>
          <w:sz w:val="22"/>
          <w:szCs w:val="22"/>
        </w:rPr>
        <w:t xml:space="preserve">All architectural and product decisions are locked. The plan moves from approval into execution. This section captures the locked parameters and the concrete actions for the first iteration.</w:t>
      </w:r>
    </w:p>
    <w:p>
      <w:pPr>
        <w:pStyle w:val="Heading2"/>
        <w:spacing w:after="140" w:before="280"/>
      </w:pPr>
      <w:r>
        <w:rPr>
          <w:rFonts w:ascii="Calibri" w:cs="Calibri" w:eastAsia="Calibri" w:hAnsi="Calibri"/>
          <w:b/>
          <w:bCs/>
          <w:color w:val="1F2D4A"/>
          <w:sz w:val="26"/>
          <w:szCs w:val="26"/>
        </w:rPr>
        <w:t xml:space="preserve">14.1  Locked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rPr>
          <w:tblHeader/>
        </w:trPr>
        <w:tc>
          <w:tcPr>
            <w:tcW w:type="dxa" w:w="6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t>
            </w:r>
          </w:p>
        </w:tc>
        <w:tc>
          <w:tcPr>
            <w:tcW w:type="dxa" w:w="63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Decision</w:t>
            </w:r>
          </w:p>
        </w:tc>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Resolution</w:t>
            </w:r>
          </w:p>
        </w:tc>
      </w:tr>
      <w:tr>
        <w:tc>
          <w:tcPr>
            <w:tcW w:type="dxa" w:w="6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w:t>
            </w:r>
          </w:p>
        </w:tc>
        <w:tc>
          <w:tcPr>
            <w:tcW w:type="dxa" w:w="6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Seven-week, three-phase plan culminating in public launch</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Approved</w:t>
            </w:r>
          </w:p>
        </w:tc>
      </w:tr>
      <w:tr>
        <w:tc>
          <w:tcPr>
            <w:tcW w:type="dxa" w:w="6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2</w:t>
            </w:r>
          </w:p>
        </w:tc>
        <w:tc>
          <w:tcPr>
            <w:tcW w:type="dxa" w:w="6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HealthKit + Health Connect substitute for Google Fit; Open Food Facts + USDA substitute for MyFitnessPal</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Approved</w:t>
            </w:r>
          </w:p>
        </w:tc>
      </w:tr>
      <w:tr>
        <w:tc>
          <w:tcPr>
            <w:tcW w:type="dxa" w:w="6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3</w:t>
            </w:r>
          </w:p>
        </w:tc>
        <w:tc>
          <w:tcPr>
            <w:tcW w:type="dxa" w:w="6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Supabase + Cloudflare Pages stack; multi-tenancy via Postgres row-level security</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Approved</w:t>
            </w:r>
          </w:p>
        </w:tc>
      </w:tr>
      <w:tr>
        <w:tc>
          <w:tcPr>
            <w:tcW w:type="dxa" w:w="6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4</w:t>
            </w:r>
          </w:p>
        </w:tc>
        <w:tc>
          <w:tcPr>
            <w:tcW w:type="dxa" w:w="6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Web Push as the only notification channel; no email infrastructure</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Approved</w:t>
            </w:r>
          </w:p>
        </w:tc>
      </w:tr>
      <w:tr>
        <w:tc>
          <w:tcPr>
            <w:tcW w:type="dxa" w:w="6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w:t>
            </w:r>
          </w:p>
        </w:tc>
        <w:tc>
          <w:tcPr>
            <w:tcW w:type="dxa" w:w="6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Eight-row risk register and named mitigants</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Approved, reviewed at every stage gate</w:t>
            </w:r>
          </w:p>
        </w:tc>
      </w:tr>
    </w:tbl>
    <w:p>
      <w:pPr>
        <w:pStyle w:val="Heading2"/>
        <w:spacing w:after="140" w:before="280"/>
      </w:pPr>
      <w:r>
        <w:rPr>
          <w:rFonts w:ascii="Calibri" w:cs="Calibri" w:eastAsia="Calibri" w:hAnsi="Calibri"/>
          <w:b/>
          <w:bCs/>
          <w:color w:val="1F2D4A"/>
          <w:sz w:val="26"/>
          <w:szCs w:val="26"/>
        </w:rPr>
        <w:t xml:space="preserve">14.2  Product parameters</w:t>
      </w:r>
    </w:p>
    <w:p>
      <w:pPr>
        <w:spacing w:after="120" w:before="0" w:line="300"/>
      </w:pPr>
      <w:r>
        <w:rPr>
          <w:rFonts w:ascii="Calibri" w:cs="Calibri" w:eastAsia="Calibri" w:hAnsi="Calibri"/>
          <w:color w:val="1F2937"/>
          <w:sz w:val="22"/>
          <w:szCs w:val="22"/>
        </w:rPr>
        <w:t xml:space="preserve">Five parameters that shape the product, all confirmed. Each is implemented at the architecture layer so a future change is a contained edit rather than a cross-cutting refactor.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Parameter</w:t>
            </w:r>
          </w:p>
        </w:tc>
        <w:tc>
          <w:tcPr>
            <w:tcW w:type="dxa" w:w="33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Value</w:t>
            </w:r>
          </w:p>
        </w:tc>
        <w:tc>
          <w:tcPr>
            <w:tcW w:type="dxa" w:w="38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How it’s implemented</w:t>
            </w:r>
          </w:p>
        </w:tc>
      </w:tr>
      <w:tr>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Brand identity</w:t>
            </w:r>
          </w:p>
        </w:tc>
        <w:tc>
          <w:tcPr>
            <w:tcW w:type="dxa" w:w="3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TotalMacro — Forest as primary, Coral as accent, Ink as chrome</w:t>
            </w:r>
          </w:p>
        </w:tc>
        <w:tc>
          <w:tcPr>
            <w:tcW w:type="dxa" w:w="3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Three-layer token architecture per design system section 11; one-line change to brand.ts</w:t>
            </w:r>
          </w:p>
        </w:tc>
      </w:tr>
      <w:tr>
        <w:tc>
          <w:tcPr>
            <w:tcW w:type="dxa" w:w="2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Pricing model</w:t>
            </w:r>
          </w:p>
        </w:tc>
        <w:tc>
          <w:tcPr>
            <w:tcW w:type="dxa" w:w="3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Free at launch; future monetisation deferred</w:t>
            </w:r>
          </w:p>
        </w:tc>
        <w:tc>
          <w:tcPr>
            <w:tcW w:type="dxa" w:w="3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 payments code; no Stripe integration; no premium gates anywhere in the schema</w:t>
            </w:r>
          </w:p>
        </w:tc>
      </w:tr>
      <w:tr>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Geographic scope</w:t>
            </w:r>
          </w:p>
        </w:tc>
        <w:tc>
          <w:tcPr>
            <w:tcW w:type="dxa" w:w="3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Global from day one</w:t>
            </w:r>
          </w:p>
        </w:tc>
        <w:tc>
          <w:tcPr>
            <w:tcW w:type="dxa" w:w="3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i18n scaffolding from week 1; Open Food Facts coverage acceptable globally with USDA as fallback for English-speaking markets</w:t>
            </w:r>
          </w:p>
        </w:tc>
      </w:tr>
      <w:tr>
        <w:tc>
          <w:tcPr>
            <w:tcW w:type="dxa" w:w="2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Sign-up policy</w:t>
            </w:r>
          </w:p>
        </w:tc>
        <w:tc>
          <w:tcPr>
            <w:tcW w:type="dxa" w:w="3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Open public sign-up</w:t>
            </w:r>
          </w:p>
        </w:tc>
        <w:tc>
          <w:tcPr>
            <w:tcW w:type="dxa" w:w="3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Magic-link auth with no waitlist or invitation gate; rate-limited at the auth layer to defend against abuse</w:t>
            </w:r>
          </w:p>
        </w:tc>
      </w:tr>
      <w:tr>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Supabase region</w:t>
            </w:r>
          </w:p>
        </w:tc>
        <w:tc>
          <w:tcPr>
            <w:tcW w:type="dxa" w:w="3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Asia South (Mumbai)</w:t>
            </w:r>
          </w:p>
        </w:tc>
        <w:tc>
          <w:tcPr>
            <w:tcW w:type="dxa" w:w="3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Provisioned at project creation; sub-50ms latency to primary user, ~150ms to global users</w:t>
            </w:r>
          </w:p>
        </w:tc>
      </w:tr>
    </w:tbl>
    <w:p>
      <w:pPr>
        <w:pStyle w:val="Heading2"/>
        <w:spacing w:after="140" w:before="280"/>
      </w:pPr>
      <w:r>
        <w:rPr>
          <w:rFonts w:ascii="Calibri" w:cs="Calibri" w:eastAsia="Calibri" w:hAnsi="Calibri"/>
          <w:b/>
          <w:bCs/>
          <w:color w:val="1F2D4A"/>
          <w:sz w:val="26"/>
          <w:szCs w:val="26"/>
        </w:rPr>
        <w:t xml:space="preserve">14.3  Iteration 1, week 1: concrete actions</w:t>
      </w:r>
    </w:p>
    <w:p>
      <w:pPr>
        <w:spacing w:after="120" w:before="0" w:line="300"/>
      </w:pPr>
      <w:r>
        <w:rPr>
          <w:rFonts w:ascii="Calibri" w:cs="Calibri" w:eastAsia="Calibri" w:hAnsi="Calibri"/>
          <w:color w:val="1F2937"/>
          <w:sz w:val="22"/>
          <w:szCs w:val="22"/>
        </w:rPr>
        <w:t xml:space="preserve">Five steps, in order. Each is owned by me; you sign off at the end of the iteration on a deployed preview URL.</w:t>
      </w:r>
    </w:p>
    <w:p>
      <w:pPr>
        <w:pStyle w:val="ListParagraph"/>
        <w:numPr>
          <w:ilvl w:val="0"/>
          <w:numId w:val="7"/>
        </w:numPr>
        <w:spacing w:after="80" w:line="280"/>
      </w:pPr>
      <w:r>
        <w:rPr>
          <w:rFonts w:ascii="Calibri" w:cs="Calibri" w:eastAsia="Calibri" w:hAnsi="Calibri"/>
          <w:color w:val="1F2937"/>
          <w:sz w:val="22"/>
          <w:szCs w:val="22"/>
        </w:rPr>
        <w:t xml:space="preserve">Sign off on this plan and the design system.</w:t>
      </w:r>
    </w:p>
    <w:p>
      <w:pPr>
        <w:pStyle w:val="ListParagraph"/>
        <w:numPr>
          <w:ilvl w:val="0"/>
          <w:numId w:val="7"/>
        </w:numPr>
        <w:spacing w:after="80" w:line="280"/>
      </w:pPr>
      <w:r>
        <w:rPr>
          <w:rFonts w:ascii="Calibri" w:cs="Calibri" w:eastAsia="Calibri" w:hAnsi="Calibri"/>
          <w:color w:val="1F2937"/>
          <w:sz w:val="22"/>
          <w:szCs w:val="22"/>
        </w:rPr>
        <w:t xml:space="preserve">Provision the Supabase project in the Asia South (Mumbai) region; enable Auth (magic link), Database, and Edge Functions. Generate the service role key and store it locally; the anon key is committed to the repo.</w:t>
      </w:r>
    </w:p>
    <w:p>
      <w:pPr>
        <w:pStyle w:val="ListParagraph"/>
        <w:numPr>
          <w:ilvl w:val="0"/>
          <w:numId w:val="7"/>
        </w:numPr>
        <w:spacing w:after="80" w:line="280"/>
      </w:pPr>
      <w:r>
        <w:rPr>
          <w:rFonts w:ascii="Calibri" w:cs="Calibri" w:eastAsia="Calibri" w:hAnsi="Calibri"/>
          <w:color w:val="1F2937"/>
          <w:sz w:val="22"/>
          <w:szCs w:val="22"/>
        </w:rPr>
        <w:t xml:space="preserve">Create the GitHub repository (private), bootstrap the React + Vite + Tailwind scaffold, install the three-layer token pipeline from the design system, and connect Cloudflare Pages with preview deploys per branch.</w:t>
      </w:r>
    </w:p>
    <w:p>
      <w:pPr>
        <w:pStyle w:val="ListParagraph"/>
        <w:numPr>
          <w:ilvl w:val="0"/>
          <w:numId w:val="7"/>
        </w:numPr>
        <w:spacing w:after="80" w:line="280"/>
      </w:pPr>
      <w:r>
        <w:rPr>
          <w:rFonts w:ascii="Calibri" w:cs="Calibri" w:eastAsia="Calibri" w:hAnsi="Calibri"/>
          <w:color w:val="1F2937"/>
          <w:sz w:val="22"/>
          <w:szCs w:val="22"/>
        </w:rPr>
        <w:t xml:space="preserve">Generate VAPID keys for Web Push using web-push-libs; store the public key as a Vite environment variable and the private key as a Supabase Edge Function secret.</w:t>
      </w:r>
    </w:p>
    <w:p>
      <w:pPr>
        <w:pStyle w:val="ListParagraph"/>
        <w:numPr>
          <w:ilvl w:val="0"/>
          <w:numId w:val="7"/>
        </w:numPr>
        <w:spacing w:after="80" w:line="280"/>
      </w:pPr>
      <w:r>
        <w:rPr>
          <w:rFonts w:ascii="Calibri" w:cs="Calibri" w:eastAsia="Calibri" w:hAnsi="Calibri"/>
          <w:color w:val="1F2937"/>
          <w:sz w:val="22"/>
          <w:szCs w:val="22"/>
        </w:rPr>
        <w:t xml:space="preserve">Build iteration 1 deliverables: schema (nine tables with full RLS), magic-link auth flow, onboarding (five screens), daily journal entry and view, design-system page at /design-system showing every component. Deploy to preview URL.</w:t>
      </w:r>
    </w:p>
    <w:p>
      <w:pPr>
        <w:pStyle w:val="Heading2"/>
        <w:spacing w:after="140" w:before="280"/>
      </w:pPr>
      <w:r>
        <w:rPr>
          <w:rFonts w:ascii="Calibri" w:cs="Calibri" w:eastAsia="Calibri" w:hAnsi="Calibri"/>
          <w:b/>
          <w:bCs/>
          <w:color w:val="1F2D4A"/>
          <w:sz w:val="26"/>
          <w:szCs w:val="26"/>
        </w:rPr>
        <w:t xml:space="preserve">14.4  What I need from you to start</w:t>
      </w:r>
    </w:p>
    <w:p>
      <w:pPr>
        <w:pStyle w:val="ListParagraph"/>
        <w:numPr>
          <w:ilvl w:val="0"/>
          <w:numId w:val="2"/>
        </w:numPr>
        <w:spacing w:after="80" w:line="280"/>
      </w:pPr>
      <w:r>
        <w:rPr>
          <w:rFonts w:ascii="Calibri" w:cs="Calibri" w:eastAsia="Calibri" w:hAnsi="Calibri"/>
          <w:color w:val="1F2937"/>
          <w:sz w:val="22"/>
          <w:szCs w:val="22"/>
        </w:rPr>
        <w:t xml:space="preserve">Approval of this plan and the design system as the build contract.</w:t>
      </w:r>
    </w:p>
    <w:p>
      <w:pPr>
        <w:pStyle w:val="ListParagraph"/>
        <w:numPr>
          <w:ilvl w:val="0"/>
          <w:numId w:val="2"/>
        </w:numPr>
        <w:spacing w:after="80" w:line="280"/>
      </w:pPr>
      <w:r>
        <w:rPr>
          <w:rFonts w:ascii="Calibri" w:cs="Calibri" w:eastAsia="Calibri" w:hAnsi="Calibri"/>
          <w:color w:val="1F2937"/>
          <w:sz w:val="22"/>
          <w:szCs w:val="22"/>
        </w:rPr>
        <w:t xml:space="preserve">A Supabase account (free tier, Asia South region selected). I provision the project; you own the account.</w:t>
      </w:r>
    </w:p>
    <w:p>
      <w:pPr>
        <w:pStyle w:val="ListParagraph"/>
        <w:numPr>
          <w:ilvl w:val="0"/>
          <w:numId w:val="2"/>
        </w:numPr>
        <w:spacing w:after="80" w:line="280"/>
      </w:pPr>
      <w:r>
        <w:rPr>
          <w:rFonts w:ascii="Calibri" w:cs="Calibri" w:eastAsia="Calibri" w:hAnsi="Calibri"/>
          <w:color w:val="1F2937"/>
          <w:sz w:val="22"/>
          <w:szCs w:val="22"/>
        </w:rPr>
        <w:t xml:space="preserve">A Cloudflare account (free tier). I configure Pages; you own the account.</w:t>
      </w:r>
    </w:p>
    <w:p>
      <w:pPr>
        <w:pStyle w:val="ListParagraph"/>
        <w:numPr>
          <w:ilvl w:val="0"/>
          <w:numId w:val="2"/>
        </w:numPr>
        <w:spacing w:after="80" w:line="280"/>
      </w:pPr>
      <w:r>
        <w:rPr>
          <w:rFonts w:ascii="Calibri" w:cs="Calibri" w:eastAsia="Calibri" w:hAnsi="Calibri"/>
          <w:color w:val="1F2937"/>
          <w:sz w:val="22"/>
          <w:szCs w:val="22"/>
        </w:rPr>
        <w:t xml:space="preserve">A GitHub account or organisation where the private repo will live.</w:t>
      </w:r>
    </w:p>
    <w:p>
      <w:pPr>
        <w:pStyle w:val="ListParagraph"/>
        <w:numPr>
          <w:ilvl w:val="0"/>
          <w:numId w:val="2"/>
        </w:numPr>
        <w:spacing w:after="80" w:line="280"/>
      </w:pPr>
      <w:r>
        <w:rPr>
          <w:rFonts w:ascii="Calibri" w:cs="Calibri" w:eastAsia="Calibri" w:hAnsi="Calibri"/>
          <w:color w:val="1F2937"/>
          <w:sz w:val="22"/>
          <w:szCs w:val="22"/>
        </w:rPr>
        <w:t xml:space="preserve">Nothing else. No domain, no payment, no third-party services until they’re needed in later iterations.</w:t>
      </w:r>
    </w:p>
    <w:p>
      <w:pPr>
        <w:spacing w:after="360"/>
      </w:pPr>
      <w:r>
        <w:rPr>
          <w:rFonts w:ascii="Calibri" w:cs="Calibri" w:eastAsia="Calibri" w:hAnsi="Calibri"/>
        </w:rPr>
        <w:t xml:space="preserve"/>
      </w:r>
    </w:p>
    <w:p>
      <w:pPr>
        <w:pBdr>
          <w:bottom w:val="single" w:color="BFC4CC" w:sz="6" w:space="1"/>
        </w:pBdr>
        <w:spacing w:after="80" w:before="80"/>
      </w:pPr>
      <w:r>
        <w:rPr>
          <w:rFonts w:ascii="Calibri" w:cs="Calibri" w:eastAsia="Calibri" w:hAnsi="Calibri"/>
        </w:rPr>
        <w:t xml:space="preserve"/>
      </w:r>
    </w:p>
    <w:p>
      <w:pPr>
        <w:spacing w:after="120"/>
      </w:pPr>
      <w:r>
        <w:rPr>
          <w:rFonts w:ascii="Calibri" w:cs="Calibri" w:eastAsia="Calibri" w:hAnsi="Calibri"/>
        </w:rPr>
        <w:t xml:space="preserve"/>
      </w:r>
    </w:p>
    <w:p>
      <w:pPr>
        <w:spacing w:after="120" w:before="0" w:line="300"/>
      </w:pPr>
      <w:r>
        <w:rPr>
          <w:rFonts w:ascii="Calibri" w:cs="Calibri" w:eastAsia="Calibri" w:hAnsi="Calibri"/>
          <w:b/>
          <w:bCs/>
          <w:color w:val="5B6470"/>
          <w:sz w:val="20"/>
          <w:szCs w:val="20"/>
        </w:rPr>
        <w:t xml:space="preserve">End of document.  </w:t>
      </w:r>
      <w:r>
        <w:rPr>
          <w:rFonts w:ascii="Calibri" w:cs="Calibri" w:eastAsia="Calibri" w:hAnsi="Calibri"/>
          <w:i/>
          <w:iCs/>
          <w:color w:val="5B6470"/>
          <w:sz w:val="20"/>
          <w:szCs w:val="20"/>
        </w:rPr>
        <w:t xml:space="preserve">All decisions locked. The next artefact is code, not another document.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4CC" w:sz="4" w:space="4"/>
      </w:pBdr>
      <w:tabs>
        <w:tab w:val="right" w:pos="9360"/>
      </w:tabs>
    </w:pPr>
    <w:r>
      <w:rPr>
        <w:rFonts w:ascii="Calibri" w:cs="Calibri" w:eastAsia="Calibri" w:hAnsi="Calibri"/>
        <w:color w:val="5B6470"/>
        <w:sz w:val="18"/>
        <w:szCs w:val="18"/>
      </w:rPr>
      <w:t xml:space="preserve">May 2026</w:t>
    </w:r>
    <w:r>
      <w:rPr>
        <w:rFonts w:ascii="Calibri" w:cs="Calibri" w:eastAsia="Calibri" w:hAnsi="Calibri"/>
      </w:rPr>
      <w:t xml:space="preserve">	</w:t>
    </w:r>
    <w:r>
      <w:rPr>
        <w:rFonts w:ascii="Calibri" w:cs="Calibri" w:eastAsia="Calibri" w:hAnsi="Calibri"/>
        <w:color w:val="5B6470"/>
        <w:sz w:val="18"/>
        <w:szCs w:val="18"/>
      </w:rPr>
      <w:t xml:space="preserve">Page </w:t>
    </w:r>
    <w:r>
      <w:rPr>
        <w:rFonts w:ascii="Calibri" w:cs="Calibri" w:eastAsia="Calibri" w:hAnsi="Calibri"/>
        <w:color w:val="5B6470"/>
        <w:sz w:val="18"/>
        <w:szCs w:val="18"/>
      </w:rPr>
      <w:fldChar w:fldCharType="begin"/>
      <w:instrText xml:space="preserve">PAGE</w:instrText>
      <w:fldChar w:fldCharType="separate"/>
      <w:fldChar w:fldCharType="end"/>
    </w:r>
    <w:r>
      <w:rPr>
        <w:rFonts w:ascii="Calibri" w:cs="Calibri" w:eastAsia="Calibri" w:hAnsi="Calibri"/>
        <w:color w:val="5B6470"/>
        <w:sz w:val="18"/>
        <w:szCs w:val="18"/>
      </w:rPr>
      <w:t xml:space="preserve"> of </w:t>
    </w:r>
    <w:r>
      <w:rPr>
        <w:rFonts w:ascii="Calibri" w:cs="Calibri" w:eastAsia="Calibri" w:hAnsi="Calibri"/>
        <w:color w:val="5B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4CC" w:sz="4" w:space="4"/>
      </w:pBdr>
      <w:tabs>
        <w:tab w:val="right" w:pos="9360"/>
      </w:tabs>
      <w:spacing w:after="60"/>
    </w:pPr>
    <w:r>
      <w:rPr>
        <w:rFonts w:ascii="Calibri" w:cs="Calibri" w:eastAsia="Calibri" w:hAnsi="Calibri"/>
        <w:b/>
        <w:bCs/>
        <w:color w:val="C04828"/>
        <w:sz w:val="18"/>
        <w:szCs w:val="18"/>
      </w:rPr>
      <w:t xml:space="preserve">TotalMacro</w:t>
    </w:r>
    <w:r>
      <w:rPr>
        <w:rFonts w:ascii="Calibri" w:cs="Calibri" w:eastAsia="Calibri" w:hAnsi="Calibri"/>
        <w:color w:val="5B6470"/>
        <w:sz w:val="18"/>
        <w:szCs w:val="18"/>
      </w:rPr>
      <w:t xml:space="preserve">  —  Project plan, revision 2.1</w:t>
    </w:r>
    <w:r>
      <w:rPr>
        <w:rFonts w:ascii="Calibri" w:cs="Calibri" w:eastAsia="Calibri" w:hAnsi="Calibri"/>
      </w:rPr>
      <w:t xml:space="preserve">	</w:t>
    </w:r>
    <w:r>
      <w:rPr>
        <w:rFonts w:ascii="Calibri" w:cs="Calibri" w:eastAsia="Calibri" w:hAnsi="Calibri"/>
        <w:i/>
        <w:iCs/>
        <w:color w:val="5B6470"/>
        <w:sz w:val="18"/>
        <w:szCs w:val="18"/>
      </w:rPr>
      <w:t xml:space="preserve">Decisions locked; entering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abstractNum w:abstractNumId="4" w15:restartNumberingAfterBreak="0">
    <w:multiLevelType w:val="hybridMultilevel"/>
    <w:lvl w:ilvl="0" w15:tentative="1">
      <w:start w:val="1"/>
      <w:numFmt w:val="decimal"/>
      <w:lvlText w:val="%1."/>
      <w:lvlJc w:val="left"/>
      <w:pPr>
        <w:ind w:left="360" w:hanging="240"/>
      </w:pPr>
    </w:lvl>
  </w:abstractNum>
  <w:abstractNum w:abstractNumId="5" w15:restartNumberingAfterBreak="0">
    <w:multiLevelType w:val="hybridMultilevel"/>
    <w:lvl w:ilvl="0" w15:tentative="1">
      <w:start w:val="1"/>
      <w:numFmt w:val="decimal"/>
      <w:lvlText w:val="%1."/>
      <w:lvlJc w:val="left"/>
      <w:pPr>
        <w:ind w:left="360" w:hanging="240"/>
      </w:pPr>
    </w:lvl>
  </w:abstractNum>
  <w:abstractNum w:abstractNumId="6" w15:restartNumberingAfterBreak="0">
    <w:multiLevelType w:val="hybridMultilevel"/>
    <w:lvl w:ilvl="0" w15:tentative="1">
      <w:start w:val="1"/>
      <w:numFmt w:val="decimal"/>
      <w:lvlText w:val="%1."/>
      <w:lvlJc w:val="left"/>
      <w:pPr>
        <w:ind w:left="360" w:hanging="240"/>
      </w:pPr>
    </w:lvl>
  </w:abstractNum>
  <w:abstractNum w:abstractNumId="7" w15:restartNumberingAfterBreak="0">
    <w:multiLevelType w:val="hybridMultilevel"/>
    <w:lvl w:ilvl="0" w15:tentative="1">
      <w:start w:val="1"/>
      <w:numFmt w:val="decimal"/>
      <w:lvlText w:val="%1."/>
      <w:lvlJc w:val="left"/>
      <w:pPr>
        <w:ind w:left="360" w:hanging="240"/>
      </w:pPr>
    </w:lvl>
  </w:abstractNum>
  <w:abstractNum w:abstractNumId="8" w15:restartNumberingAfterBreak="0">
    <w:multiLevelType w:val="hybridMultilevel"/>
    <w:lvl w:ilvl="0" w15:tentative="1">
      <w:start w:val="1"/>
      <w:numFmt w:val="decimal"/>
      <w:lvlText w:val="%1."/>
      <w:lvlJc w:val="left"/>
      <w:pPr>
        <w:ind w:left="360" w:hanging="240"/>
      </w:pPr>
    </w:lvl>
  </w:abstractNum>
  <w:abstractNum w:abstractNumId="9" w15:restartNumberingAfterBreak="0">
    <w:multiLevelType w:val="hybridMultilevel"/>
    <w:lvl w:ilvl="0" w15:tentative="1">
      <w:start w:val="1"/>
      <w:numFmt w:val="decimal"/>
      <w:lvlText w:val="%1."/>
      <w:lvlJc w:val="left"/>
      <w:pPr>
        <w:ind w:left="360" w:hanging="240"/>
      </w:pPr>
    </w:lvl>
  </w:abstractNum>
  <w:abstractNum w:abstractNumId="10" w15:restartNumberingAfterBreak="0">
    <w:multiLevelType w:val="hybridMultilevel"/>
    <w:lvl w:ilvl="0" w15:tentative="1">
      <w:start w:val="1"/>
      <w:numFmt w:val="decimal"/>
      <w:lvlText w:val="%1."/>
      <w:lvlJc w:val="left"/>
      <w:pPr>
        <w:ind w:left="360" w:hanging="240"/>
      </w:pPr>
    </w:lvl>
  </w:abstractNum>
  <w:abstractNum w:abstractNumId="11" w15:restartNumberingAfterBreak="0">
    <w:multiLevelType w:val="hybridMultilevel"/>
    <w:lvl w:ilvl="0" w15:tentative="1">
      <w:start w:val="1"/>
      <w:numFmt w:val="decimal"/>
      <w:lvlText w:val="%1."/>
      <w:lvlJc w:val="left"/>
      <w:pPr>
        <w:ind w:left="360" w:hanging="240"/>
      </w:pPr>
    </w:lvl>
  </w:abstractNum>
  <w:abstractNum w:abstractNumId="12" w15:restartNumberingAfterBreak="0">
    <w:multiLevelType w:val="hybridMultilevel"/>
    <w:lvl w:ilvl="0" w15:tentative="1">
      <w:start w:val="1"/>
      <w:numFmt w:val="decimal"/>
      <w:lvlText w:val="%1."/>
      <w:lvlJc w:val="left"/>
      <w:pPr>
        <w:ind w:left="360" w:hanging="240"/>
      </w:pPr>
    </w:lvl>
  </w:abstractNum>
  <w:abstractNum w:abstractNumId="13" w15:restartNumberingAfterBreak="0">
    <w:multiLevelType w:val="hybridMultilevel"/>
    <w:lvl w:ilvl="0" w15:tentative="1">
      <w:start w:val="1"/>
      <w:numFmt w:val="decimal"/>
      <w:lvlText w:val="%1."/>
      <w:lvlJc w:val="left"/>
      <w:pPr>
        <w:ind w:left="360" w:hanging="240"/>
      </w:pPr>
    </w:lvl>
  </w:abstractNum>
  <w:abstractNum w:abstractNumId="14" w15:restartNumberingAfterBreak="0">
    <w:multiLevelType w:val="hybridMultilevel"/>
    <w:lvl w:ilvl="0" w15:tentative="1">
      <w:start w:val="1"/>
      <w:numFmt w:val="decimal"/>
      <w:lvlText w:val="%1."/>
      <w:lvlJc w:val="left"/>
      <w:pPr>
        <w:ind w:left="360" w:hanging="240"/>
      </w:pPr>
    </w:lvl>
  </w:abstractNum>
  <w:abstractNum w:abstractNumId="15" w15:restartNumberingAfterBreak="0">
    <w:multiLevelType w:val="hybridMultilevel"/>
    <w:lvl w:ilvl="0" w15:tentative="1">
      <w:start w:val="1"/>
      <w:numFmt w:val="decimal"/>
      <w:lvlText w:val="%1."/>
      <w:lvlJc w:val="left"/>
      <w:pPr>
        <w:ind w:left="360" w:hanging="240"/>
      </w:pPr>
    </w:lvl>
  </w:abstractNum>
  <w:abstractNum w:abstractNumId="16" w15:restartNumberingAfterBreak="0">
    <w:multiLevelType w:val="hybridMultilevel"/>
    <w:lvl w:ilvl="0" w15:tentative="1">
      <w:start w:val="1"/>
      <w:numFmt w:val="decimal"/>
      <w:lvlText w:val="%1."/>
      <w:lvlJc w:val="left"/>
      <w:pPr>
        <w:ind w:left="360" w:hanging="240"/>
      </w:pPr>
    </w:lvl>
  </w:abstractNum>
  <w:abstractNum w:abstractNumId="17" w15:restartNumberingAfterBreak="0">
    <w:multiLevelType w:val="hybridMultilevel"/>
    <w:lvl w:ilvl="0" w15:tentative="1">
      <w:start w:val="1"/>
      <w:numFmt w:val="decimal"/>
      <w:lvlText w:val="%1."/>
      <w:lvlJc w:val="left"/>
      <w:pPr>
        <w:ind w:left="360" w:hanging="240"/>
      </w:pPr>
    </w:lvl>
  </w:abstractNum>
  <w:abstractNum w:abstractNumId="18" w15:restartNumberingAfterBreak="0">
    <w:multiLevelType w:val="hybridMultilevel"/>
    <w:lvl w:ilvl="0" w15:tentative="1">
      <w:start w:val="1"/>
      <w:numFmt w:val="decimal"/>
      <w:lvlText w:val="%1."/>
      <w:lvlJc w:val="left"/>
      <w:pPr>
        <w:ind w:left="360" w:hanging="240"/>
      </w:pPr>
    </w:lvl>
  </w:abstractNum>
  <w:abstractNum w:abstractNumId="19" w15:restartNumberingAfterBreak="0">
    <w:multiLevelType w:val="hybridMultilevel"/>
    <w:lvl w:ilvl="0" w15:tentative="1">
      <w:start w:val="1"/>
      <w:numFmt w:val="decimal"/>
      <w:lvlText w:val="%1."/>
      <w:lvlJc w:val="left"/>
      <w:pPr>
        <w:ind w:left="360" w:hanging="240"/>
      </w:pPr>
    </w:lvl>
  </w:abstractNum>
  <w:abstractNum w:abstractNumId="20" w15:restartNumberingAfterBreak="0">
    <w:multiLevelType w:val="hybridMultilevel"/>
    <w:lvl w:ilvl="0" w15:tentative="1">
      <w:start w:val="1"/>
      <w:numFmt w:val="decimal"/>
      <w:lvlText w:val="%1."/>
      <w:lvlJc w:val="left"/>
      <w:pPr>
        <w:ind w:left="360" w:hanging="240"/>
      </w:pPr>
    </w:lvl>
  </w:abstractNum>
  <w:abstractNum w:abstractNumId="21" w15:restartNumberingAfterBreak="0">
    <w:multiLevelType w:val="hybridMultilevel"/>
    <w:lvl w:ilvl="0" w15:tentative="1">
      <w:start w:val="1"/>
      <w:numFmt w:val="decimal"/>
      <w:lvlText w:val="%1."/>
      <w:lvlJc w:val="left"/>
      <w:pPr>
        <w:ind w:left="360" w:hanging="240"/>
      </w:pPr>
    </w:lvl>
  </w:abstractNum>
  <w:abstractNum w:abstractNumId="22" w15:restartNumberingAfterBreak="0">
    <w:multiLevelType w:val="hybridMultilevel"/>
    <w:lvl w:ilvl="0" w15:tentative="1">
      <w:start w:val="1"/>
      <w:numFmt w:val="decimal"/>
      <w:lvlText w:val="%1."/>
      <w:lvlJc w:val="left"/>
      <w:pPr>
        <w:ind w:left="360" w:hanging="240"/>
      </w:pPr>
    </w:lvl>
  </w:abstractNum>
  <w:abstractNum w:abstractNumId="23" w15:restartNumberingAfterBreak="0">
    <w:multiLevelType w:val="hybridMultilevel"/>
    <w:lvl w:ilvl="0" w15:tentative="1">
      <w:start w:val="1"/>
      <w:numFmt w:val="decimal"/>
      <w:lvlText w:val="%1."/>
      <w:lvlJc w:val="left"/>
      <w:pPr>
        <w:ind w:left="360" w:hanging="240"/>
      </w:pPr>
    </w:lvl>
  </w:abstractNum>
  <w:abstractNum w:abstractNumId="24" w15:restartNumberingAfterBreak="0">
    <w:multiLevelType w:val="hybridMultilevel"/>
    <w:lvl w:ilvl="0" w15:tentative="1">
      <w:start w:val="1"/>
      <w:numFmt w:val="decimal"/>
      <w:lvlText w:val="%1."/>
      <w:lvlJc w:val="left"/>
      <w:pPr>
        <w:ind w:left="360" w:hanging="240"/>
      </w:pPr>
    </w:lvl>
  </w:abstractNum>
  <w:abstractNum w:abstractNumId="25" w15:restartNumberingAfterBreak="0">
    <w:multiLevelType w:val="hybridMultilevel"/>
    <w:lvl w:ilvl="0" w15:tentative="1">
      <w:start w:val="1"/>
      <w:numFmt w:val="decimal"/>
      <w:lvlText w:val="%1."/>
      <w:lvlJc w:val="left"/>
      <w:pPr>
        <w:ind w:left="360" w:hanging="240"/>
      </w:pPr>
    </w:lvl>
  </w:abstractNum>
  <w:abstractNum w:abstractNumId="26" w15:restartNumberingAfterBreak="0">
    <w:multiLevelType w:val="hybridMultilevel"/>
    <w:lvl w:ilvl="0" w15:tentative="1">
      <w:start w:val="1"/>
      <w:numFmt w:val="decimal"/>
      <w:lvlText w:val="%1."/>
      <w:lvlJc w:val="left"/>
      <w:pPr>
        <w:ind w:left="360" w:hanging="240"/>
      </w:pPr>
    </w:lvl>
  </w:abstractNum>
  <w:abstractNum w:abstractNumId="27" w15:restartNumberingAfterBreak="0">
    <w:multiLevelType w:val="hybridMultilevel"/>
    <w:lvl w:ilvl="0" w15:tentative="1">
      <w:start w:val="1"/>
      <w:numFmt w:val="decimal"/>
      <w:lvlText w:val="%1."/>
      <w:lvlJc w:val="left"/>
      <w:pPr>
        <w:ind w:left="360" w:hanging="240"/>
      </w:pPr>
    </w:lvl>
  </w:abstractNum>
  <w:abstractNum w:abstractNumId="28" w15:restartNumberingAfterBreak="0">
    <w:multiLevelType w:val="hybridMultilevel"/>
    <w:lvl w:ilvl="0" w15:tentative="1">
      <w:start w:val="1"/>
      <w:numFmt w:val="decimal"/>
      <w:lvlText w:val="%1."/>
      <w:lvlJc w:val="left"/>
      <w:pPr>
        <w:ind w:left="360" w:hanging="240"/>
      </w:pPr>
    </w:lvl>
  </w:abstractNum>
  <w:abstractNum w:abstractNumId="29" w15:restartNumberingAfterBreak="0">
    <w:multiLevelType w:val="hybridMultilevel"/>
    <w:lvl w:ilvl="0" w15:tentative="1">
      <w:start w:val="1"/>
      <w:numFmt w:val="decimal"/>
      <w:lvlText w:val="%1."/>
      <w:lvlJc w:val="left"/>
      <w:pPr>
        <w:ind w:left="360" w:hanging="240"/>
      </w:pPr>
    </w:lvl>
  </w:abstractNum>
  <w:abstractNum w:abstractNumId="30" w15:restartNumberingAfterBreak="0">
    <w:multiLevelType w:val="hybridMultilevel"/>
    <w:lvl w:ilvl="0" w15:tentative="1">
      <w:start w:val="1"/>
      <w:numFmt w:val="decimal"/>
      <w:lvlText w:val="%1."/>
      <w:lvlJc w:val="left"/>
      <w:pPr>
        <w:ind w:left="360" w:hanging="240"/>
      </w:pPr>
    </w:lvl>
  </w:abstractNum>
  <w:abstractNum w:abstractNumId="31" w15:restartNumberingAfterBreak="0">
    <w:multiLevelType w:val="hybridMultilevel"/>
    <w:lvl w:ilvl="0" w15:tentative="1">
      <w:start w:val="1"/>
      <w:numFmt w:val="decimal"/>
      <w:lvlText w:val="%1."/>
      <w:lvlJc w:val="left"/>
      <w:pPr>
        <w:ind w:left="360" w:hanging="240"/>
      </w:pPr>
    </w:lvl>
  </w:abstractNum>
  <w:abstractNum w:abstractNumId="32"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D4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2D4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TotalMacro PWA — Project plan, revision 2.1</dc:title>
  <dc:creator>Project plan</dc:creator>
  <cp:lastModifiedBy>Un-named</cp:lastModifiedBy>
  <cp:revision>1</cp:revision>
  <dcterms:created xsi:type="dcterms:W3CDTF">2026-05-10T13:24:47.143Z</dcterms:created>
  <dcterms:modified xsi:type="dcterms:W3CDTF">2026-05-10T13:24:47.143Z</dcterms:modified>
</cp:coreProperties>
</file>

<file path=docProps/custom.xml><?xml version="1.0" encoding="utf-8"?>
<Properties xmlns="http://schemas.openxmlformats.org/officeDocument/2006/custom-properties" xmlns:vt="http://schemas.openxmlformats.org/officeDocument/2006/docPropsVTypes"/>
</file>