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函数零点数列裂项概率综合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M-T-057-E1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把两个零点条件写成对数等式，两式相减即得 </w:t>
      </w:r>
      <m:oMath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的表达式，再判断其符号．关键是准确估计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各自的范围以确定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[-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M-T-054-V3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先把「任意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」翻译成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；再分别求两个最小值——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用复合函数单调性，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sty m:val="p"/>
            <m:sz m:val="21"/>
            <m:szCs m:val="21"/>
          </m:rPr>
          <m:t>|ln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；最后解一个一次不等式．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把零点个数转化为「水平线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的交点个数」，再按两段分别数交点，取交集即可．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M-T-415-V2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分两步：先由「两个交点」的判别式条件定出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（区间）；再把椭圆关于直线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作对称，得到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的轨迹从而定出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（区间）；最后在两个区间上各均匀取一点算几何概型．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M-T-267-V2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第（1）问由「等差中项」与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联立解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；第（2）问先写出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，再把通项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p>
            </m:sSup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裂成两项之差，裂项的关键是「两因子之差 = 分子」这个巧合．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=1-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f>
              <m:fPr>
                <m:type m:val="bar"/>
              </m:fPr>
              <m:num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num>
              <m:den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den>
            </m:f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；（2）（i）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是以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为首项、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为公比的等比数列；（ii）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的最大值为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．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M-T-399-V1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ξ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的分布（只取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两个值）求期望，令其等于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；第（2）（i）问同除以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，解一个「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常数」的方程；（ii）问把「期望更少」翻译成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，取对数后用函数单调性定最大整数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